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9BE3D" w14:textId="77777777" w:rsidR="00DB6927" w:rsidRPr="00130A4B" w:rsidRDefault="00DB6927" w:rsidP="00DB6927">
      <w:pPr>
        <w:spacing w:line="480" w:lineRule="auto"/>
        <w:rPr>
          <w:rFonts w:eastAsiaTheme="minorHAnsi"/>
          <w:b/>
          <w:bCs/>
        </w:rPr>
      </w:pPr>
      <w:r>
        <w:rPr>
          <w:rFonts w:eastAsiaTheme="minorHAnsi"/>
          <w:b/>
          <w:bCs/>
        </w:rPr>
        <w:t xml:space="preserve">Supplemental </w:t>
      </w:r>
      <w:r w:rsidRPr="00130A4B">
        <w:rPr>
          <w:rFonts w:eastAsiaTheme="minorHAnsi"/>
          <w:b/>
          <w:bCs/>
        </w:rPr>
        <w:t xml:space="preserve">Table </w:t>
      </w:r>
      <w:r>
        <w:rPr>
          <w:rFonts w:eastAsiaTheme="minorHAnsi"/>
          <w:b/>
          <w:bCs/>
        </w:rPr>
        <w:t>1</w:t>
      </w:r>
      <w:r w:rsidRPr="00130A4B">
        <w:rPr>
          <w:rFonts w:eastAsiaTheme="minorHAnsi"/>
          <w:b/>
          <w:bCs/>
        </w:rPr>
        <w:t xml:space="preserve">: </w:t>
      </w:r>
      <w:r>
        <w:rPr>
          <w:rFonts w:eastAsiaTheme="minorHAnsi"/>
          <w:b/>
          <w:bCs/>
        </w:rPr>
        <w:t>Sensitivity Analysis for 30-day Mortality and Readmissions in PSM Cohort  (</w:t>
      </w:r>
      <w:r>
        <w:rPr>
          <w:rFonts w:eastAsiaTheme="minorHAnsi"/>
          <w:b/>
          <w:bCs/>
        </w:rPr>
        <w:sym w:font="Symbol" w:char="F061"/>
      </w:r>
      <w:r>
        <w:rPr>
          <w:rFonts w:eastAsiaTheme="minorHAnsi"/>
          <w:b/>
          <w:bCs/>
        </w:rPr>
        <w:t xml:space="preserve"> = 0.05)</w:t>
      </w:r>
    </w:p>
    <w:tbl>
      <w:tblPr>
        <w:tblpPr w:leftFromText="180" w:rightFromText="180" w:vertAnchor="text" w:horzAnchor="margin" w:tblpY="428"/>
        <w:tblW w:w="101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36"/>
        <w:gridCol w:w="2406"/>
        <w:gridCol w:w="2238"/>
        <w:gridCol w:w="1794"/>
      </w:tblGrid>
      <w:tr w:rsidR="00DB6927" w:rsidRPr="00130A4B" w14:paraId="56759E33" w14:textId="77777777" w:rsidTr="00A96B18">
        <w:trPr>
          <w:trHeight w:val="300"/>
        </w:trPr>
        <w:tc>
          <w:tcPr>
            <w:tcW w:w="3736" w:type="dxa"/>
            <w:noWrap/>
            <w:vAlign w:val="bottom"/>
          </w:tcPr>
          <w:p w14:paraId="4623EF9E" w14:textId="77777777" w:rsidR="00DB6927" w:rsidRPr="00130A4B" w:rsidRDefault="00DB6927" w:rsidP="00A96B18">
            <w:r w:rsidRPr="00130A4B">
              <w:rPr>
                <w:b/>
                <w:bCs/>
              </w:rPr>
              <w:t>Variable</w:t>
            </w:r>
          </w:p>
        </w:tc>
        <w:tc>
          <w:tcPr>
            <w:tcW w:w="2406" w:type="dxa"/>
            <w:noWrap/>
            <w:vAlign w:val="center"/>
          </w:tcPr>
          <w:p w14:paraId="6BAC68D9" w14:textId="77777777" w:rsidR="00DB6927" w:rsidRPr="00130A4B" w:rsidRDefault="00DB6927" w:rsidP="00A96B18">
            <w:pPr>
              <w:jc w:val="center"/>
            </w:pPr>
            <w:r w:rsidRPr="00130A4B">
              <w:rPr>
                <w:b/>
                <w:bCs/>
              </w:rPr>
              <w:t>Routine (n=27,760)</w:t>
            </w:r>
          </w:p>
        </w:tc>
        <w:tc>
          <w:tcPr>
            <w:tcW w:w="2238" w:type="dxa"/>
            <w:noWrap/>
            <w:vAlign w:val="center"/>
          </w:tcPr>
          <w:p w14:paraId="503F2E9D" w14:textId="77777777" w:rsidR="00DB6927" w:rsidRPr="00130A4B" w:rsidRDefault="00DB6927" w:rsidP="00A96B18">
            <w:pPr>
              <w:jc w:val="center"/>
            </w:pPr>
            <w:r w:rsidRPr="00130A4B">
              <w:rPr>
                <w:b/>
                <w:bCs/>
              </w:rPr>
              <w:t>HHC (n=27,760)</w:t>
            </w:r>
          </w:p>
        </w:tc>
        <w:tc>
          <w:tcPr>
            <w:tcW w:w="1794" w:type="dxa"/>
            <w:noWrap/>
            <w:vAlign w:val="center"/>
          </w:tcPr>
          <w:p w14:paraId="22EC1886" w14:textId="77777777" w:rsidR="00DB6927" w:rsidRPr="00130A4B" w:rsidRDefault="00DB6927" w:rsidP="00A96B18">
            <w:pPr>
              <w:jc w:val="center"/>
              <w:rPr>
                <w:b/>
                <w:bCs/>
              </w:rPr>
            </w:pPr>
            <w:r w:rsidRPr="00130A4B">
              <w:rPr>
                <w:b/>
                <w:bCs/>
              </w:rPr>
              <w:t>p-value</w:t>
            </w:r>
          </w:p>
        </w:tc>
      </w:tr>
      <w:tr w:rsidR="00DB6927" w:rsidRPr="00130A4B" w14:paraId="3A2C9B73" w14:textId="77777777" w:rsidTr="00A96B18">
        <w:trPr>
          <w:trHeight w:val="300"/>
        </w:trPr>
        <w:tc>
          <w:tcPr>
            <w:tcW w:w="3736" w:type="dxa"/>
            <w:noWrap/>
            <w:vAlign w:val="center"/>
          </w:tcPr>
          <w:p w14:paraId="7942FC57" w14:textId="77777777" w:rsidR="00DB6927" w:rsidRDefault="00DB6927" w:rsidP="00A96B18">
            <w:pPr>
              <w:jc w:val="left"/>
            </w:pPr>
            <w:r>
              <w:t>Age</w:t>
            </w:r>
          </w:p>
        </w:tc>
        <w:tc>
          <w:tcPr>
            <w:tcW w:w="2406" w:type="dxa"/>
            <w:noWrap/>
            <w:vAlign w:val="center"/>
          </w:tcPr>
          <w:p w14:paraId="19D79270" w14:textId="77777777" w:rsidR="00DB6927" w:rsidRPr="00130A4B" w:rsidRDefault="00DB6927" w:rsidP="00A96B18">
            <w:pPr>
              <w:jc w:val="center"/>
            </w:pPr>
          </w:p>
        </w:tc>
        <w:tc>
          <w:tcPr>
            <w:tcW w:w="2238" w:type="dxa"/>
            <w:noWrap/>
            <w:vAlign w:val="center"/>
          </w:tcPr>
          <w:p w14:paraId="7E199DD6" w14:textId="77777777" w:rsidR="00DB6927" w:rsidRPr="00130A4B" w:rsidRDefault="00DB6927" w:rsidP="00A96B18">
            <w:pPr>
              <w:jc w:val="center"/>
            </w:pPr>
          </w:p>
        </w:tc>
        <w:tc>
          <w:tcPr>
            <w:tcW w:w="1794" w:type="dxa"/>
            <w:noWrap/>
            <w:vAlign w:val="center"/>
          </w:tcPr>
          <w:p w14:paraId="37C92210" w14:textId="77777777" w:rsidR="00DB6927" w:rsidRPr="00130A4B" w:rsidRDefault="00DB6927" w:rsidP="00A96B18">
            <w:pPr>
              <w:jc w:val="center"/>
            </w:pPr>
          </w:p>
        </w:tc>
      </w:tr>
      <w:tr w:rsidR="00DB6927" w:rsidRPr="00130A4B" w14:paraId="7EFB8742" w14:textId="77777777" w:rsidTr="00A96B18">
        <w:trPr>
          <w:trHeight w:val="300"/>
        </w:trPr>
        <w:tc>
          <w:tcPr>
            <w:tcW w:w="3736" w:type="dxa"/>
            <w:noWrap/>
            <w:vAlign w:val="center"/>
          </w:tcPr>
          <w:p w14:paraId="5C546A3C" w14:textId="77777777" w:rsidR="00DB6927" w:rsidRDefault="00DB6927" w:rsidP="00A96B18">
            <w:pPr>
              <w:ind w:left="288"/>
              <w:jc w:val="left"/>
            </w:pPr>
            <w:r>
              <w:t>&lt;83 years</w:t>
            </w:r>
          </w:p>
        </w:tc>
        <w:tc>
          <w:tcPr>
            <w:tcW w:w="2406" w:type="dxa"/>
            <w:noWrap/>
            <w:vAlign w:val="center"/>
          </w:tcPr>
          <w:p w14:paraId="2D7C695F" w14:textId="77777777" w:rsidR="00DB6927" w:rsidRDefault="00DB6927" w:rsidP="00A96B18">
            <w:pPr>
              <w:jc w:val="center"/>
            </w:pPr>
            <w:r w:rsidRPr="00FC1619">
              <w:t>2</w:t>
            </w:r>
            <w:r>
              <w:t>,</w:t>
            </w:r>
            <w:r w:rsidRPr="00FC1619">
              <w:t>118 (15.9%)</w:t>
            </w:r>
          </w:p>
          <w:p w14:paraId="18E338BB" w14:textId="77777777" w:rsidR="00DB6927" w:rsidRPr="00130A4B" w:rsidRDefault="00DB6927" w:rsidP="00A96B18">
            <w:pPr>
              <w:jc w:val="center"/>
            </w:pPr>
            <w:r>
              <w:t>n=13,342</w:t>
            </w:r>
          </w:p>
        </w:tc>
        <w:tc>
          <w:tcPr>
            <w:tcW w:w="2238" w:type="dxa"/>
            <w:noWrap/>
            <w:vAlign w:val="center"/>
          </w:tcPr>
          <w:p w14:paraId="600421E4" w14:textId="77777777" w:rsidR="00DB6927" w:rsidRDefault="00DB6927" w:rsidP="00A96B18">
            <w:pPr>
              <w:jc w:val="center"/>
            </w:pPr>
            <w:r w:rsidRPr="00FC1619">
              <w:t>2</w:t>
            </w:r>
            <w:r>
              <w:t>,</w:t>
            </w:r>
            <w:r w:rsidRPr="00FC1619">
              <w:t>672 (19.9%)</w:t>
            </w:r>
          </w:p>
          <w:p w14:paraId="19951E5E" w14:textId="77777777" w:rsidR="00DB6927" w:rsidRPr="00130A4B" w:rsidRDefault="00DB6927" w:rsidP="00A96B18">
            <w:pPr>
              <w:jc w:val="center"/>
            </w:pPr>
            <w:r>
              <w:t>n=13,420</w:t>
            </w:r>
          </w:p>
        </w:tc>
        <w:tc>
          <w:tcPr>
            <w:tcW w:w="1794" w:type="dxa"/>
            <w:noWrap/>
            <w:vAlign w:val="center"/>
          </w:tcPr>
          <w:p w14:paraId="08BABD44" w14:textId="77777777" w:rsidR="00DB6927" w:rsidRPr="00130A4B" w:rsidRDefault="00DB6927" w:rsidP="00A96B18">
            <w:pPr>
              <w:jc w:val="center"/>
            </w:pPr>
            <w:r w:rsidRPr="0034123E">
              <w:t>&lt;0.01</w:t>
            </w:r>
          </w:p>
        </w:tc>
      </w:tr>
      <w:tr w:rsidR="00DB6927" w:rsidRPr="00130A4B" w14:paraId="7F523A61" w14:textId="77777777" w:rsidTr="00A96B18">
        <w:trPr>
          <w:trHeight w:val="300"/>
        </w:trPr>
        <w:tc>
          <w:tcPr>
            <w:tcW w:w="3736" w:type="dxa"/>
            <w:noWrap/>
            <w:vAlign w:val="center"/>
          </w:tcPr>
          <w:p w14:paraId="1280D99A" w14:textId="77777777" w:rsidR="00DB6927" w:rsidRDefault="00DB6927" w:rsidP="00A96B18">
            <w:pPr>
              <w:ind w:left="288"/>
              <w:jc w:val="left"/>
            </w:pPr>
            <w:r>
              <w:sym w:font="Symbol" w:char="F0B3"/>
            </w:r>
            <w:r>
              <w:t>83 years</w:t>
            </w:r>
          </w:p>
        </w:tc>
        <w:tc>
          <w:tcPr>
            <w:tcW w:w="2406" w:type="dxa"/>
            <w:noWrap/>
            <w:vAlign w:val="center"/>
          </w:tcPr>
          <w:p w14:paraId="7428AEB3" w14:textId="77777777" w:rsidR="00DB6927" w:rsidRDefault="00DB6927" w:rsidP="00A96B18">
            <w:pPr>
              <w:jc w:val="center"/>
            </w:pPr>
            <w:r w:rsidRPr="00FC1619">
              <w:t>2</w:t>
            </w:r>
            <w:r>
              <w:t>,</w:t>
            </w:r>
            <w:r w:rsidRPr="00FC1619">
              <w:t>258 (15.7%)</w:t>
            </w:r>
          </w:p>
          <w:p w14:paraId="57C30D59" w14:textId="77777777" w:rsidR="00DB6927" w:rsidRPr="00130A4B" w:rsidRDefault="00DB6927" w:rsidP="00A96B18">
            <w:pPr>
              <w:jc w:val="center"/>
            </w:pPr>
            <w:r>
              <w:t>n=14,418</w:t>
            </w:r>
          </w:p>
        </w:tc>
        <w:tc>
          <w:tcPr>
            <w:tcW w:w="2238" w:type="dxa"/>
            <w:noWrap/>
            <w:vAlign w:val="center"/>
          </w:tcPr>
          <w:p w14:paraId="70E40724" w14:textId="77777777" w:rsidR="00DB6927" w:rsidRDefault="00DB6927" w:rsidP="00A96B18">
            <w:pPr>
              <w:jc w:val="center"/>
            </w:pPr>
            <w:r w:rsidRPr="00FC1619">
              <w:t>2</w:t>
            </w:r>
            <w:r>
              <w:t>,</w:t>
            </w:r>
            <w:r w:rsidRPr="00FC1619">
              <w:t>841 (19.8%)</w:t>
            </w:r>
          </w:p>
          <w:p w14:paraId="76F2DAEC" w14:textId="77777777" w:rsidR="00DB6927" w:rsidRPr="00130A4B" w:rsidRDefault="00DB6927" w:rsidP="00A96B18">
            <w:pPr>
              <w:jc w:val="center"/>
            </w:pPr>
            <w:r>
              <w:t>n=14,340</w:t>
            </w:r>
          </w:p>
        </w:tc>
        <w:tc>
          <w:tcPr>
            <w:tcW w:w="1794" w:type="dxa"/>
            <w:noWrap/>
            <w:vAlign w:val="center"/>
          </w:tcPr>
          <w:p w14:paraId="5DC590D6" w14:textId="77777777" w:rsidR="00DB6927" w:rsidRPr="00130A4B" w:rsidRDefault="00DB6927" w:rsidP="00A96B18">
            <w:pPr>
              <w:jc w:val="center"/>
            </w:pPr>
            <w:r w:rsidRPr="0034123E">
              <w:t>&lt;0.01</w:t>
            </w:r>
          </w:p>
        </w:tc>
      </w:tr>
      <w:tr w:rsidR="00DB6927" w:rsidRPr="00130A4B" w14:paraId="74BEBBA9" w14:textId="77777777" w:rsidTr="00A96B18">
        <w:trPr>
          <w:trHeight w:val="300"/>
        </w:trPr>
        <w:tc>
          <w:tcPr>
            <w:tcW w:w="3736" w:type="dxa"/>
            <w:noWrap/>
            <w:vAlign w:val="center"/>
            <w:hideMark/>
          </w:tcPr>
          <w:p w14:paraId="109696E0" w14:textId="77777777" w:rsidR="00DB6927" w:rsidRPr="00130A4B" w:rsidRDefault="00DB6927" w:rsidP="00A96B18">
            <w:pPr>
              <w:jc w:val="left"/>
            </w:pPr>
            <w:r>
              <w:t>Hospital bed capacity</w:t>
            </w:r>
          </w:p>
        </w:tc>
        <w:tc>
          <w:tcPr>
            <w:tcW w:w="2406" w:type="dxa"/>
            <w:noWrap/>
            <w:vAlign w:val="center"/>
          </w:tcPr>
          <w:p w14:paraId="7C26B7C2" w14:textId="77777777" w:rsidR="00DB6927" w:rsidRPr="00130A4B" w:rsidRDefault="00DB6927" w:rsidP="00A96B18">
            <w:pPr>
              <w:jc w:val="center"/>
            </w:pPr>
          </w:p>
        </w:tc>
        <w:tc>
          <w:tcPr>
            <w:tcW w:w="2238" w:type="dxa"/>
            <w:noWrap/>
            <w:vAlign w:val="center"/>
          </w:tcPr>
          <w:p w14:paraId="74648A01" w14:textId="77777777" w:rsidR="00DB6927" w:rsidRPr="00130A4B" w:rsidRDefault="00DB6927" w:rsidP="00A96B18">
            <w:pPr>
              <w:jc w:val="center"/>
            </w:pPr>
          </w:p>
        </w:tc>
        <w:tc>
          <w:tcPr>
            <w:tcW w:w="1794" w:type="dxa"/>
            <w:noWrap/>
            <w:vAlign w:val="center"/>
          </w:tcPr>
          <w:p w14:paraId="500F445E" w14:textId="77777777" w:rsidR="00DB6927" w:rsidRPr="00130A4B" w:rsidRDefault="00DB6927" w:rsidP="00A96B18">
            <w:pPr>
              <w:jc w:val="center"/>
            </w:pPr>
          </w:p>
        </w:tc>
      </w:tr>
      <w:tr w:rsidR="00DB6927" w:rsidRPr="00130A4B" w14:paraId="7DD4ADAB" w14:textId="77777777" w:rsidTr="00A96B18">
        <w:trPr>
          <w:trHeight w:val="300"/>
        </w:trPr>
        <w:tc>
          <w:tcPr>
            <w:tcW w:w="3736" w:type="dxa"/>
            <w:noWrap/>
            <w:vAlign w:val="center"/>
            <w:hideMark/>
          </w:tcPr>
          <w:p w14:paraId="543249B7" w14:textId="77777777" w:rsidR="00DB6927" w:rsidRPr="00130A4B" w:rsidRDefault="00DB6927" w:rsidP="00A96B18">
            <w:pPr>
              <w:ind w:left="288"/>
              <w:jc w:val="left"/>
            </w:pPr>
            <w:r>
              <w:t>Small</w:t>
            </w:r>
          </w:p>
        </w:tc>
        <w:tc>
          <w:tcPr>
            <w:tcW w:w="2406" w:type="dxa"/>
            <w:noWrap/>
            <w:vAlign w:val="center"/>
            <w:hideMark/>
          </w:tcPr>
          <w:p w14:paraId="2842CD1F" w14:textId="77777777" w:rsidR="00DB6927" w:rsidRDefault="00DB6927" w:rsidP="00A96B18">
            <w:pPr>
              <w:jc w:val="center"/>
            </w:pPr>
            <w:r w:rsidRPr="002453BD">
              <w:t>127 (19.4%)</w:t>
            </w:r>
          </w:p>
          <w:p w14:paraId="25C3D75C" w14:textId="77777777" w:rsidR="00DB6927" w:rsidRPr="00130A4B" w:rsidRDefault="00DB6927" w:rsidP="00A96B18">
            <w:pPr>
              <w:jc w:val="center"/>
            </w:pPr>
            <w:r>
              <w:t>n=656</w:t>
            </w:r>
          </w:p>
        </w:tc>
        <w:tc>
          <w:tcPr>
            <w:tcW w:w="2238" w:type="dxa"/>
            <w:noWrap/>
            <w:vAlign w:val="center"/>
            <w:hideMark/>
          </w:tcPr>
          <w:p w14:paraId="6529A7A1" w14:textId="77777777" w:rsidR="00DB6927" w:rsidRDefault="00DB6927" w:rsidP="00A96B18">
            <w:pPr>
              <w:jc w:val="center"/>
            </w:pPr>
            <w:r w:rsidRPr="002453BD">
              <w:t>158 (21.9%)</w:t>
            </w:r>
          </w:p>
          <w:p w14:paraId="0A10C912" w14:textId="77777777" w:rsidR="00DB6927" w:rsidRPr="00130A4B" w:rsidRDefault="00DB6927" w:rsidP="00A96B18">
            <w:pPr>
              <w:jc w:val="center"/>
            </w:pPr>
            <w:r>
              <w:t>n=723</w:t>
            </w:r>
          </w:p>
        </w:tc>
        <w:tc>
          <w:tcPr>
            <w:tcW w:w="1794" w:type="dxa"/>
            <w:noWrap/>
            <w:vAlign w:val="center"/>
            <w:hideMark/>
          </w:tcPr>
          <w:p w14:paraId="40FE7B80" w14:textId="77777777" w:rsidR="00DB6927" w:rsidRPr="00130A4B" w:rsidRDefault="00DB6927" w:rsidP="00A96B18">
            <w:pPr>
              <w:jc w:val="center"/>
            </w:pPr>
            <w:r w:rsidRPr="002453BD">
              <w:t>0.25</w:t>
            </w:r>
          </w:p>
        </w:tc>
      </w:tr>
      <w:tr w:rsidR="00DB6927" w:rsidRPr="00130A4B" w14:paraId="6469A8AA" w14:textId="77777777" w:rsidTr="00A96B18">
        <w:trPr>
          <w:trHeight w:val="300"/>
        </w:trPr>
        <w:tc>
          <w:tcPr>
            <w:tcW w:w="3736" w:type="dxa"/>
            <w:noWrap/>
            <w:vAlign w:val="center"/>
            <w:hideMark/>
          </w:tcPr>
          <w:p w14:paraId="631786F5" w14:textId="77777777" w:rsidR="00DB6927" w:rsidRPr="00130A4B" w:rsidRDefault="00DB6927" w:rsidP="00A96B18">
            <w:pPr>
              <w:ind w:left="288"/>
              <w:jc w:val="left"/>
            </w:pPr>
            <w:r>
              <w:t>Medium</w:t>
            </w:r>
          </w:p>
        </w:tc>
        <w:tc>
          <w:tcPr>
            <w:tcW w:w="2406" w:type="dxa"/>
            <w:noWrap/>
            <w:vAlign w:val="center"/>
            <w:hideMark/>
          </w:tcPr>
          <w:p w14:paraId="18A15F5D" w14:textId="77777777" w:rsidR="00DB6927" w:rsidRDefault="00DB6927" w:rsidP="00A96B18">
            <w:pPr>
              <w:jc w:val="center"/>
            </w:pPr>
            <w:r w:rsidRPr="002453BD">
              <w:t>948 (16.1%)</w:t>
            </w:r>
          </w:p>
          <w:p w14:paraId="01D43E04" w14:textId="77777777" w:rsidR="00DB6927" w:rsidRPr="00130A4B" w:rsidRDefault="00DB6927" w:rsidP="00A96B18">
            <w:pPr>
              <w:jc w:val="center"/>
            </w:pPr>
            <w:r>
              <w:t>n=5,898</w:t>
            </w:r>
          </w:p>
        </w:tc>
        <w:tc>
          <w:tcPr>
            <w:tcW w:w="2238" w:type="dxa"/>
            <w:noWrap/>
            <w:vAlign w:val="center"/>
            <w:hideMark/>
          </w:tcPr>
          <w:p w14:paraId="465BE104" w14:textId="77777777" w:rsidR="00DB6927" w:rsidRDefault="00DB6927" w:rsidP="00A96B18">
            <w:pPr>
              <w:jc w:val="center"/>
            </w:pPr>
            <w:r w:rsidRPr="002453BD">
              <w:t>1</w:t>
            </w:r>
            <w:r>
              <w:t>,</w:t>
            </w:r>
            <w:r w:rsidRPr="002453BD">
              <w:t>066 (18.2%)</w:t>
            </w:r>
          </w:p>
          <w:p w14:paraId="4DD42DD2" w14:textId="77777777" w:rsidR="00DB6927" w:rsidRPr="00130A4B" w:rsidRDefault="00DB6927" w:rsidP="00A96B18">
            <w:pPr>
              <w:jc w:val="center"/>
            </w:pPr>
            <w:r>
              <w:t>n=5,848</w:t>
            </w:r>
          </w:p>
        </w:tc>
        <w:tc>
          <w:tcPr>
            <w:tcW w:w="1794" w:type="dxa"/>
            <w:noWrap/>
            <w:vAlign w:val="center"/>
            <w:hideMark/>
          </w:tcPr>
          <w:p w14:paraId="5FEEBA30" w14:textId="77777777" w:rsidR="00DB6927" w:rsidRPr="00130A4B" w:rsidRDefault="00DB6927" w:rsidP="00A96B18">
            <w:pPr>
              <w:jc w:val="center"/>
            </w:pPr>
            <w:r w:rsidRPr="00D92176">
              <w:t>&lt;0.01</w:t>
            </w:r>
          </w:p>
        </w:tc>
      </w:tr>
      <w:tr w:rsidR="00DB6927" w:rsidRPr="00130A4B" w14:paraId="41F76949" w14:textId="77777777" w:rsidTr="00A96B18">
        <w:trPr>
          <w:trHeight w:val="300"/>
        </w:trPr>
        <w:tc>
          <w:tcPr>
            <w:tcW w:w="3736" w:type="dxa"/>
            <w:noWrap/>
            <w:vAlign w:val="center"/>
            <w:hideMark/>
          </w:tcPr>
          <w:p w14:paraId="44786ACF" w14:textId="77777777" w:rsidR="00DB6927" w:rsidRPr="00130A4B" w:rsidRDefault="00DB6927" w:rsidP="00A96B18">
            <w:pPr>
              <w:ind w:left="288"/>
              <w:jc w:val="left"/>
            </w:pPr>
            <w:r>
              <w:t>Large</w:t>
            </w:r>
          </w:p>
        </w:tc>
        <w:tc>
          <w:tcPr>
            <w:tcW w:w="2406" w:type="dxa"/>
            <w:noWrap/>
            <w:vAlign w:val="center"/>
            <w:hideMark/>
          </w:tcPr>
          <w:p w14:paraId="5AA65400" w14:textId="77777777" w:rsidR="00DB6927" w:rsidRDefault="00DB6927" w:rsidP="00A96B18">
            <w:pPr>
              <w:jc w:val="center"/>
            </w:pPr>
            <w:r w:rsidRPr="002453BD">
              <w:t>3</w:t>
            </w:r>
            <w:r>
              <w:t>,</w:t>
            </w:r>
            <w:r w:rsidRPr="002453BD">
              <w:t>301 (15.6%)</w:t>
            </w:r>
          </w:p>
          <w:p w14:paraId="39F164CF" w14:textId="77777777" w:rsidR="00DB6927" w:rsidRPr="00130A4B" w:rsidRDefault="00DB6927" w:rsidP="00A96B18">
            <w:pPr>
              <w:jc w:val="center"/>
            </w:pPr>
            <w:r>
              <w:t>n=21,206</w:t>
            </w:r>
          </w:p>
        </w:tc>
        <w:tc>
          <w:tcPr>
            <w:tcW w:w="2238" w:type="dxa"/>
            <w:noWrap/>
            <w:vAlign w:val="center"/>
            <w:hideMark/>
          </w:tcPr>
          <w:p w14:paraId="7CB526BF" w14:textId="77777777" w:rsidR="00DB6927" w:rsidRDefault="00DB6927" w:rsidP="00A96B18">
            <w:pPr>
              <w:jc w:val="center"/>
            </w:pPr>
            <w:r w:rsidRPr="002453BD">
              <w:t>4</w:t>
            </w:r>
            <w:r>
              <w:t>,</w:t>
            </w:r>
            <w:r w:rsidRPr="002453BD">
              <w:t>289 (20.2%)</w:t>
            </w:r>
          </w:p>
          <w:p w14:paraId="4C9C6D83" w14:textId="77777777" w:rsidR="00DB6927" w:rsidRPr="00130A4B" w:rsidRDefault="00DB6927" w:rsidP="00A96B18">
            <w:pPr>
              <w:jc w:val="center"/>
            </w:pPr>
            <w:r>
              <w:t>n=21,189</w:t>
            </w:r>
          </w:p>
        </w:tc>
        <w:tc>
          <w:tcPr>
            <w:tcW w:w="1794" w:type="dxa"/>
            <w:noWrap/>
            <w:vAlign w:val="center"/>
            <w:hideMark/>
          </w:tcPr>
          <w:p w14:paraId="28222BCF" w14:textId="77777777" w:rsidR="00DB6927" w:rsidRPr="00130A4B" w:rsidRDefault="00DB6927" w:rsidP="00A96B18">
            <w:pPr>
              <w:jc w:val="center"/>
            </w:pPr>
            <w:r w:rsidRPr="00D92176">
              <w:t>&lt;0.01</w:t>
            </w:r>
          </w:p>
        </w:tc>
      </w:tr>
      <w:tr w:rsidR="00DB6927" w:rsidRPr="00130A4B" w14:paraId="0E30972F" w14:textId="77777777" w:rsidTr="00A96B18">
        <w:trPr>
          <w:trHeight w:val="300"/>
        </w:trPr>
        <w:tc>
          <w:tcPr>
            <w:tcW w:w="3736" w:type="dxa"/>
            <w:noWrap/>
            <w:vAlign w:val="center"/>
            <w:hideMark/>
          </w:tcPr>
          <w:p w14:paraId="4B8EDB21" w14:textId="77777777" w:rsidR="00DB6927" w:rsidRPr="00130A4B" w:rsidRDefault="00DB6927" w:rsidP="00A96B18">
            <w:pPr>
              <w:jc w:val="left"/>
            </w:pPr>
            <w:r>
              <w:t>Comorbidity burden</w:t>
            </w:r>
          </w:p>
        </w:tc>
        <w:tc>
          <w:tcPr>
            <w:tcW w:w="2406" w:type="dxa"/>
            <w:noWrap/>
            <w:vAlign w:val="center"/>
          </w:tcPr>
          <w:p w14:paraId="42795103" w14:textId="77777777" w:rsidR="00DB6927" w:rsidRPr="00130A4B" w:rsidRDefault="00DB6927" w:rsidP="00A96B18">
            <w:pPr>
              <w:jc w:val="center"/>
            </w:pPr>
          </w:p>
        </w:tc>
        <w:tc>
          <w:tcPr>
            <w:tcW w:w="2238" w:type="dxa"/>
            <w:noWrap/>
            <w:vAlign w:val="center"/>
          </w:tcPr>
          <w:p w14:paraId="4325B9A1" w14:textId="77777777" w:rsidR="00DB6927" w:rsidRPr="00130A4B" w:rsidRDefault="00DB6927" w:rsidP="00A96B18">
            <w:pPr>
              <w:jc w:val="center"/>
            </w:pPr>
          </w:p>
        </w:tc>
        <w:tc>
          <w:tcPr>
            <w:tcW w:w="1794" w:type="dxa"/>
            <w:noWrap/>
            <w:vAlign w:val="center"/>
          </w:tcPr>
          <w:p w14:paraId="194F31A7" w14:textId="77777777" w:rsidR="00DB6927" w:rsidRPr="00130A4B" w:rsidRDefault="00DB6927" w:rsidP="00A96B18">
            <w:pPr>
              <w:jc w:val="center"/>
            </w:pPr>
          </w:p>
        </w:tc>
      </w:tr>
      <w:tr w:rsidR="00DB6927" w:rsidRPr="00130A4B" w14:paraId="42DB135B" w14:textId="77777777" w:rsidTr="00A96B18">
        <w:trPr>
          <w:trHeight w:val="300"/>
        </w:trPr>
        <w:tc>
          <w:tcPr>
            <w:tcW w:w="3736" w:type="dxa"/>
            <w:noWrap/>
            <w:vAlign w:val="center"/>
            <w:hideMark/>
          </w:tcPr>
          <w:p w14:paraId="79248C6F" w14:textId="77777777" w:rsidR="00DB6927" w:rsidRPr="00130A4B" w:rsidRDefault="00DB6927" w:rsidP="00A96B18">
            <w:pPr>
              <w:ind w:left="288"/>
              <w:jc w:val="left"/>
            </w:pPr>
            <w:r>
              <w:t>&lt;6 preprocedural comorbidities</w:t>
            </w:r>
          </w:p>
        </w:tc>
        <w:tc>
          <w:tcPr>
            <w:tcW w:w="2406" w:type="dxa"/>
            <w:noWrap/>
            <w:vAlign w:val="center"/>
            <w:hideMark/>
          </w:tcPr>
          <w:p w14:paraId="0A2C7E88" w14:textId="77777777" w:rsidR="00DB6927" w:rsidRDefault="00DB6927" w:rsidP="00A96B18">
            <w:pPr>
              <w:jc w:val="center"/>
            </w:pPr>
            <w:r w:rsidRPr="00845B2F">
              <w:t>1</w:t>
            </w:r>
            <w:r>
              <w:t>,</w:t>
            </w:r>
            <w:r w:rsidRPr="00845B2F">
              <w:t>064 (12.6%)</w:t>
            </w:r>
          </w:p>
          <w:p w14:paraId="67FED2CA" w14:textId="77777777" w:rsidR="00DB6927" w:rsidRPr="00130A4B" w:rsidRDefault="00DB6927" w:rsidP="00A96B18">
            <w:pPr>
              <w:jc w:val="center"/>
            </w:pPr>
            <w:r>
              <w:t>n=8,433</w:t>
            </w:r>
          </w:p>
        </w:tc>
        <w:tc>
          <w:tcPr>
            <w:tcW w:w="2238" w:type="dxa"/>
            <w:noWrap/>
            <w:vAlign w:val="center"/>
            <w:hideMark/>
          </w:tcPr>
          <w:p w14:paraId="35E96FBE" w14:textId="77777777" w:rsidR="00DB6927" w:rsidRDefault="00DB6927" w:rsidP="00A96B18">
            <w:pPr>
              <w:jc w:val="center"/>
            </w:pPr>
            <w:r w:rsidRPr="00845B2F">
              <w:t>1</w:t>
            </w:r>
            <w:r>
              <w:t>,</w:t>
            </w:r>
            <w:r w:rsidRPr="00845B2F">
              <w:t>435 (17.4%)</w:t>
            </w:r>
          </w:p>
          <w:p w14:paraId="57709620" w14:textId="77777777" w:rsidR="00DB6927" w:rsidRPr="00130A4B" w:rsidRDefault="00DB6927" w:rsidP="00A96B18">
            <w:pPr>
              <w:jc w:val="center"/>
            </w:pPr>
            <w:r>
              <w:t>n=8,265</w:t>
            </w:r>
          </w:p>
        </w:tc>
        <w:tc>
          <w:tcPr>
            <w:tcW w:w="1794" w:type="dxa"/>
            <w:noWrap/>
            <w:vAlign w:val="center"/>
            <w:hideMark/>
          </w:tcPr>
          <w:p w14:paraId="153C3C1E" w14:textId="77777777" w:rsidR="00DB6927" w:rsidRPr="00130A4B" w:rsidRDefault="00DB6927" w:rsidP="00A96B18">
            <w:pPr>
              <w:jc w:val="center"/>
            </w:pPr>
            <w:r w:rsidRPr="004F7118">
              <w:t>&lt;0.01</w:t>
            </w:r>
          </w:p>
        </w:tc>
      </w:tr>
      <w:tr w:rsidR="00DB6927" w:rsidRPr="00130A4B" w14:paraId="01D237A5" w14:textId="77777777" w:rsidTr="00A96B18">
        <w:trPr>
          <w:trHeight w:val="300"/>
        </w:trPr>
        <w:tc>
          <w:tcPr>
            <w:tcW w:w="3736" w:type="dxa"/>
            <w:noWrap/>
            <w:vAlign w:val="center"/>
            <w:hideMark/>
          </w:tcPr>
          <w:p w14:paraId="69825655" w14:textId="77777777" w:rsidR="00DB6927" w:rsidRPr="00130A4B" w:rsidRDefault="00DB6927" w:rsidP="00A96B18">
            <w:pPr>
              <w:ind w:left="288"/>
              <w:jc w:val="left"/>
            </w:pPr>
            <w:r>
              <w:sym w:font="Symbol" w:char="F0B3"/>
            </w:r>
            <w:r>
              <w:t>6 preprocedural comorbidities</w:t>
            </w:r>
          </w:p>
        </w:tc>
        <w:tc>
          <w:tcPr>
            <w:tcW w:w="2406" w:type="dxa"/>
            <w:noWrap/>
            <w:vAlign w:val="center"/>
            <w:hideMark/>
          </w:tcPr>
          <w:p w14:paraId="4836F7A2" w14:textId="77777777" w:rsidR="00DB6927" w:rsidRDefault="00DB6927" w:rsidP="00A96B18">
            <w:pPr>
              <w:jc w:val="center"/>
            </w:pPr>
            <w:r w:rsidRPr="00845B2F">
              <w:t>3</w:t>
            </w:r>
            <w:r>
              <w:t>,</w:t>
            </w:r>
            <w:r w:rsidRPr="00845B2F">
              <w:t>312 (17.1%)</w:t>
            </w:r>
          </w:p>
          <w:p w14:paraId="7FC6EC3F" w14:textId="77777777" w:rsidR="00DB6927" w:rsidRPr="00130A4B" w:rsidRDefault="00DB6927" w:rsidP="00A96B18">
            <w:pPr>
              <w:jc w:val="center"/>
            </w:pPr>
            <w:r>
              <w:t>n=19,327</w:t>
            </w:r>
          </w:p>
        </w:tc>
        <w:tc>
          <w:tcPr>
            <w:tcW w:w="2238" w:type="dxa"/>
            <w:noWrap/>
            <w:vAlign w:val="center"/>
            <w:hideMark/>
          </w:tcPr>
          <w:p w14:paraId="0D622A65" w14:textId="77777777" w:rsidR="00DB6927" w:rsidRDefault="00DB6927" w:rsidP="00A96B18">
            <w:pPr>
              <w:jc w:val="center"/>
            </w:pPr>
            <w:r w:rsidRPr="00845B2F">
              <w:t>4</w:t>
            </w:r>
            <w:r>
              <w:t>,</w:t>
            </w:r>
            <w:r w:rsidRPr="00845B2F">
              <w:t>078 (20.9%)</w:t>
            </w:r>
          </w:p>
          <w:p w14:paraId="0A0121C3" w14:textId="77777777" w:rsidR="00DB6927" w:rsidRPr="00130A4B" w:rsidRDefault="00DB6927" w:rsidP="00A96B18">
            <w:pPr>
              <w:jc w:val="center"/>
            </w:pPr>
            <w:r>
              <w:t>n=19,495</w:t>
            </w:r>
          </w:p>
        </w:tc>
        <w:tc>
          <w:tcPr>
            <w:tcW w:w="1794" w:type="dxa"/>
            <w:noWrap/>
            <w:vAlign w:val="center"/>
            <w:hideMark/>
          </w:tcPr>
          <w:p w14:paraId="6878EABD" w14:textId="77777777" w:rsidR="00DB6927" w:rsidRPr="00130A4B" w:rsidRDefault="00DB6927" w:rsidP="00A96B18">
            <w:pPr>
              <w:jc w:val="center"/>
            </w:pPr>
            <w:r w:rsidRPr="004F7118">
              <w:t>&lt;0.01</w:t>
            </w:r>
          </w:p>
        </w:tc>
      </w:tr>
    </w:tbl>
    <w:p w14:paraId="78AD6664" w14:textId="77777777" w:rsidR="00DB6927" w:rsidRDefault="00DB6927" w:rsidP="00DB6927">
      <w:pPr>
        <w:pStyle w:val="Backmatter"/>
        <w:spacing w:before="156" w:after="156"/>
      </w:pPr>
    </w:p>
    <w:p w14:paraId="082451BB" w14:textId="77777777" w:rsidR="0014134E" w:rsidRPr="00DB6927" w:rsidRDefault="00BB704A">
      <w:pPr>
        <w:rPr>
          <w:b/>
        </w:rPr>
      </w:pPr>
      <w:bookmarkStart w:id="0" w:name="_GoBack"/>
      <w:bookmarkEnd w:id="0"/>
    </w:p>
    <w:sectPr w:rsidR="0014134E" w:rsidRPr="00DB6927" w:rsidSect="0042629F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42146" w14:textId="77777777" w:rsidR="00BB704A" w:rsidRDefault="00BB704A" w:rsidP="00DB6927">
      <w:pPr>
        <w:spacing w:line="240" w:lineRule="auto"/>
      </w:pPr>
      <w:r>
        <w:separator/>
      </w:r>
    </w:p>
  </w:endnote>
  <w:endnote w:type="continuationSeparator" w:id="0">
    <w:p w14:paraId="2E852B60" w14:textId="77777777" w:rsidR="00BB704A" w:rsidRDefault="00BB704A" w:rsidP="00DB69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ECB37" w14:textId="77777777" w:rsidR="00BB704A" w:rsidRDefault="00BB704A" w:rsidP="00DB6927">
      <w:pPr>
        <w:spacing w:line="240" w:lineRule="auto"/>
      </w:pPr>
      <w:r>
        <w:separator/>
      </w:r>
    </w:p>
  </w:footnote>
  <w:footnote w:type="continuationSeparator" w:id="0">
    <w:p w14:paraId="17736E81" w14:textId="77777777" w:rsidR="00BB704A" w:rsidRDefault="00BB704A" w:rsidP="00DB69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468F5"/>
    <w:multiLevelType w:val="hybridMultilevel"/>
    <w:tmpl w:val="658299A2"/>
    <w:lvl w:ilvl="0" w:tplc="CE24E69A">
      <w:start w:val="1"/>
      <w:numFmt w:val="bullet"/>
      <w:lvlRestart w:val="0"/>
      <w:pStyle w:val="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97"/>
    <w:rsid w:val="000D1489"/>
    <w:rsid w:val="001114CC"/>
    <w:rsid w:val="001C4626"/>
    <w:rsid w:val="0042629F"/>
    <w:rsid w:val="005F2597"/>
    <w:rsid w:val="006D58B8"/>
    <w:rsid w:val="007D759C"/>
    <w:rsid w:val="0089265E"/>
    <w:rsid w:val="00A11BB4"/>
    <w:rsid w:val="00BB704A"/>
    <w:rsid w:val="00CF40B9"/>
    <w:rsid w:val="00DB6927"/>
    <w:rsid w:val="00ED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09E0357-BFC5-47C5-8E56-FF0EA2863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B6927"/>
    <w:pPr>
      <w:spacing w:line="260" w:lineRule="atLeast"/>
      <w:jc w:val="both"/>
    </w:pPr>
    <w:rPr>
      <w:rFonts w:ascii="Palatino Linotype" w:eastAsia="宋体" w:hAnsi="Palatino Linotype" w:cs="Times New Roman"/>
      <w:noProof/>
      <w:color w:val="000000"/>
      <w:kern w:val="0"/>
      <w:sz w:val="20"/>
      <w:szCs w:val="20"/>
    </w:rPr>
  </w:style>
  <w:style w:type="paragraph" w:styleId="1">
    <w:name w:val="heading 1"/>
    <w:aliases w:val="Heading level 1"/>
    <w:basedOn w:val="a"/>
    <w:next w:val="a"/>
    <w:link w:val="10"/>
    <w:uiPriority w:val="9"/>
    <w:qFormat/>
    <w:rsid w:val="001114CC"/>
    <w:pPr>
      <w:keepNext/>
      <w:keepLines/>
      <w:adjustRightInd w:val="0"/>
      <w:snapToGrid w:val="0"/>
      <w:spacing w:before="360" w:after="360" w:line="240" w:lineRule="auto"/>
      <w:outlineLvl w:val="0"/>
    </w:pPr>
    <w:rPr>
      <w:rFonts w:ascii="Times New Roman" w:eastAsia="Times New Roman" w:hAnsi="Times New Roman"/>
      <w:b/>
      <w:bCs/>
      <w:kern w:val="44"/>
      <w:sz w:val="24"/>
      <w:szCs w:val="24"/>
    </w:rPr>
  </w:style>
  <w:style w:type="paragraph" w:styleId="2">
    <w:name w:val="heading 2"/>
    <w:aliases w:val="Heading level 2"/>
    <w:basedOn w:val="a"/>
    <w:next w:val="a"/>
    <w:link w:val="20"/>
    <w:uiPriority w:val="9"/>
    <w:qFormat/>
    <w:rsid w:val="001114CC"/>
    <w:pPr>
      <w:keepNext/>
      <w:keepLines/>
      <w:adjustRightInd w:val="0"/>
      <w:snapToGrid w:val="0"/>
      <w:spacing w:before="240" w:after="240" w:line="240" w:lineRule="auto"/>
      <w:outlineLvl w:val="1"/>
    </w:pPr>
    <w:rPr>
      <w:rFonts w:ascii="Times New Roman" w:eastAsia="Times New Roman" w:hAnsi="Times New Roman"/>
      <w:b/>
      <w:bCs/>
      <w:i/>
      <w:sz w:val="21"/>
      <w:szCs w:val="21"/>
    </w:rPr>
  </w:style>
  <w:style w:type="paragraph" w:styleId="3">
    <w:name w:val="heading 3"/>
    <w:aliases w:val="Heading level 3"/>
    <w:basedOn w:val="a"/>
    <w:next w:val="a"/>
    <w:link w:val="30"/>
    <w:uiPriority w:val="9"/>
    <w:qFormat/>
    <w:rsid w:val="001114CC"/>
    <w:pPr>
      <w:keepNext/>
      <w:keepLines/>
      <w:adjustRightInd w:val="0"/>
      <w:snapToGrid w:val="0"/>
      <w:spacing w:before="160" w:after="160" w:line="240" w:lineRule="auto"/>
      <w:outlineLvl w:val="2"/>
    </w:pPr>
    <w:rPr>
      <w:rFonts w:ascii="Times New Roman" w:eastAsia="Times New Roman" w:hAnsi="Times New Roman"/>
      <w:bCs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stract">
    <w:name w:val="Abstract"/>
    <w:next w:val="a"/>
    <w:uiPriority w:val="5"/>
    <w:qFormat/>
    <w:rsid w:val="001114C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ffiliation">
    <w:name w:val="Affiliation"/>
    <w:uiPriority w:val="3"/>
    <w:qFormat/>
    <w:rsid w:val="001114C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Articletitle">
    <w:name w:val="Article title"/>
    <w:next w:val="a"/>
    <w:uiPriority w:val="1"/>
    <w:qFormat/>
    <w:rsid w:val="001114CC"/>
    <w:pPr>
      <w:adjustRightInd w:val="0"/>
      <w:snapToGrid w:val="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36"/>
      <w:szCs w:val="20"/>
      <w:lang w:eastAsia="de-DE" w:bidi="en-US"/>
    </w:rPr>
  </w:style>
  <w:style w:type="paragraph" w:customStyle="1" w:styleId="Articletype">
    <w:name w:val="Article type"/>
    <w:next w:val="a"/>
    <w:qFormat/>
    <w:rsid w:val="001114CC"/>
    <w:pPr>
      <w:adjustRightInd w:val="0"/>
      <w:snapToGrid w:val="0"/>
    </w:pPr>
    <w:rPr>
      <w:rFonts w:ascii="Times New Roman" w:eastAsia="Times New Roman" w:hAnsi="Times New Roman" w:cs="Times New Roman"/>
      <w:i/>
      <w:snapToGrid w:val="0"/>
      <w:color w:val="000000"/>
      <w:kern w:val="0"/>
      <w:sz w:val="20"/>
      <w:lang w:eastAsia="de-DE" w:bidi="en-US"/>
    </w:rPr>
  </w:style>
  <w:style w:type="paragraph" w:customStyle="1" w:styleId="Authornames">
    <w:name w:val="Authornames"/>
    <w:next w:val="a"/>
    <w:uiPriority w:val="2"/>
    <w:qFormat/>
    <w:rsid w:val="001114C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Backmatter">
    <w:name w:val="Back matter"/>
    <w:uiPriority w:val="18"/>
    <w:qFormat/>
    <w:rsid w:val="001114CC"/>
    <w:pPr>
      <w:adjustRightInd w:val="0"/>
      <w:snapToGrid w:val="0"/>
      <w:spacing w:beforeLines="50" w:before="50" w:afterLines="50" w:after="50"/>
      <w:jc w:val="both"/>
    </w:pPr>
    <w:rPr>
      <w:rFonts w:ascii="Times New Roman" w:eastAsia="Times New Roman" w:hAnsi="Times New Roman" w:cs="Times New Roman"/>
      <w:b/>
      <w:snapToGrid w:val="0"/>
      <w:color w:val="000000"/>
      <w:kern w:val="0"/>
      <w:sz w:val="24"/>
      <w:szCs w:val="24"/>
      <w:lang w:eastAsia="en-US" w:bidi="en-US"/>
    </w:rPr>
  </w:style>
  <w:style w:type="paragraph" w:customStyle="1" w:styleId="Bullet">
    <w:name w:val="Bullet"/>
    <w:uiPriority w:val="16"/>
    <w:qFormat/>
    <w:rsid w:val="001114CC"/>
    <w:pPr>
      <w:numPr>
        <w:numId w:val="1"/>
      </w:numPr>
      <w:adjustRightInd w:val="0"/>
      <w:snapToGrid w:val="0"/>
      <w:spacing w:before="40" w:after="40"/>
      <w:ind w:hangingChars="200" w:hanging="200"/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E-mail">
    <w:name w:val="E-mail"/>
    <w:link w:val="E-mail0"/>
    <w:uiPriority w:val="4"/>
    <w:qFormat/>
    <w:rsid w:val="001114CC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E-mail0">
    <w:name w:val="E-mail 字符"/>
    <w:basedOn w:val="a0"/>
    <w:link w:val="E-mail"/>
    <w:uiPriority w:val="4"/>
    <w:rsid w:val="001114CC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">
    <w:name w:val="Figure"/>
    <w:uiPriority w:val="15"/>
    <w:qFormat/>
    <w:rsid w:val="001114CC"/>
    <w:pPr>
      <w:adjustRightInd w:val="0"/>
      <w:snapToGrid w:val="0"/>
      <w:jc w:val="center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Figurecaption">
    <w:name w:val="Figure caption"/>
    <w:uiPriority w:val="14"/>
    <w:qFormat/>
    <w:rsid w:val="001114C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Keywords">
    <w:name w:val="Keywords"/>
    <w:next w:val="a"/>
    <w:link w:val="Keywords0"/>
    <w:uiPriority w:val="6"/>
    <w:qFormat/>
    <w:rsid w:val="001114CC"/>
    <w:pPr>
      <w:adjustRightInd w:val="0"/>
      <w:snapToGrid w:val="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character" w:customStyle="1" w:styleId="Keywords0">
    <w:name w:val="Keywords 字符"/>
    <w:basedOn w:val="a0"/>
    <w:link w:val="Keywords"/>
    <w:uiPriority w:val="6"/>
    <w:rsid w:val="001114CC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Reference">
    <w:name w:val="Reference"/>
    <w:link w:val="Reference0"/>
    <w:uiPriority w:val="19"/>
    <w:qFormat/>
    <w:rsid w:val="001114CC"/>
    <w:pPr>
      <w:ind w:left="200" w:hangingChars="200" w:hanging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character" w:customStyle="1" w:styleId="Reference0">
    <w:name w:val="Reference 字符"/>
    <w:basedOn w:val="Keywords0"/>
    <w:link w:val="Reference"/>
    <w:uiPriority w:val="19"/>
    <w:rsid w:val="001114CC"/>
    <w:rPr>
      <w:rFonts w:ascii="Times New Roman" w:eastAsia="Times New Roman" w:hAnsi="Times New Roman" w:cs="Times New Roman"/>
      <w:snapToGrid w:val="0"/>
      <w:color w:val="000000"/>
      <w:kern w:val="0"/>
      <w:sz w:val="18"/>
      <w:szCs w:val="21"/>
      <w:lang w:eastAsia="de-DE" w:bidi="en-US"/>
    </w:rPr>
  </w:style>
  <w:style w:type="paragraph" w:customStyle="1" w:styleId="Tablebody">
    <w:name w:val="Table body"/>
    <w:uiPriority w:val="11"/>
    <w:qFormat/>
    <w:rsid w:val="001114CC"/>
    <w:pPr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de-DE" w:bidi="en-US"/>
    </w:rPr>
  </w:style>
  <w:style w:type="paragraph" w:customStyle="1" w:styleId="Tablecaption">
    <w:name w:val="Table caption"/>
    <w:uiPriority w:val="11"/>
    <w:qFormat/>
    <w:rsid w:val="001114CC"/>
    <w:pPr>
      <w:adjustRightInd w:val="0"/>
      <w:snapToGrid w:val="0"/>
      <w:spacing w:beforeLines="100" w:before="100" w:afterLines="100" w:after="100"/>
      <w:jc w:val="center"/>
    </w:pPr>
    <w:rPr>
      <w:rFonts w:ascii="Times New Roman" w:eastAsia="Times New Roman" w:hAnsi="Times New Roman" w:cs="Times New Roman"/>
      <w:b/>
      <w:noProof/>
      <w:color w:val="000000"/>
      <w:kern w:val="0"/>
      <w:szCs w:val="24"/>
      <w:lang w:bidi="en-US"/>
    </w:rPr>
  </w:style>
  <w:style w:type="paragraph" w:customStyle="1" w:styleId="Tablefooter">
    <w:name w:val="Table footer"/>
    <w:next w:val="a"/>
    <w:uiPriority w:val="12"/>
    <w:qFormat/>
    <w:rsid w:val="001114CC"/>
    <w:pPr>
      <w:jc w:val="both"/>
    </w:pPr>
    <w:rPr>
      <w:rFonts w:ascii="Times New Roman" w:eastAsia="Times New Roman" w:hAnsi="Times New Roman" w:cs="Times New Roman"/>
      <w:color w:val="000000"/>
      <w:kern w:val="0"/>
      <w:szCs w:val="21"/>
      <w:lang w:eastAsia="de-DE" w:bidi="en-US"/>
    </w:rPr>
  </w:style>
  <w:style w:type="paragraph" w:customStyle="1" w:styleId="Text">
    <w:name w:val="Text"/>
    <w:link w:val="Text0"/>
    <w:uiPriority w:val="10"/>
    <w:qFormat/>
    <w:rsid w:val="001114CC"/>
    <w:pPr>
      <w:ind w:firstLineChars="200" w:firstLine="200"/>
      <w:jc w:val="both"/>
    </w:pPr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Text0">
    <w:name w:val="Text 字符"/>
    <w:basedOn w:val="a0"/>
    <w:link w:val="Text"/>
    <w:uiPriority w:val="10"/>
    <w:rsid w:val="001114CC"/>
    <w:rPr>
      <w:rFonts w:ascii="Times New Roman" w:eastAsia="Times New Roman" w:hAnsi="Times New Roman" w:cs="Times New Roman"/>
      <w:snapToGrid w:val="0"/>
      <w:color w:val="000000"/>
      <w:kern w:val="0"/>
      <w:szCs w:val="28"/>
      <w:lang w:eastAsia="de-DE" w:bidi="en-US"/>
    </w:rPr>
  </w:style>
  <w:style w:type="character" w:customStyle="1" w:styleId="10">
    <w:name w:val="标题 1 字符"/>
    <w:aliases w:val="Heading level 1 字符"/>
    <w:basedOn w:val="a0"/>
    <w:link w:val="1"/>
    <w:uiPriority w:val="9"/>
    <w:rsid w:val="001114CC"/>
    <w:rPr>
      <w:rFonts w:ascii="Times New Roman" w:eastAsia="Times New Roman" w:hAnsi="Times New Roman" w:cs="Times New Roman"/>
      <w:b/>
      <w:bCs/>
      <w:noProof/>
      <w:color w:val="000000"/>
      <w:kern w:val="44"/>
      <w:sz w:val="24"/>
      <w:szCs w:val="24"/>
    </w:rPr>
  </w:style>
  <w:style w:type="character" w:customStyle="1" w:styleId="20">
    <w:name w:val="标题 2 字符"/>
    <w:aliases w:val="Heading level 2 字符"/>
    <w:basedOn w:val="a0"/>
    <w:link w:val="2"/>
    <w:uiPriority w:val="9"/>
    <w:rsid w:val="001114CC"/>
    <w:rPr>
      <w:rFonts w:ascii="Times New Roman" w:eastAsia="Times New Roman" w:hAnsi="Times New Roman" w:cs="Times New Roman"/>
      <w:b/>
      <w:bCs/>
      <w:i/>
      <w:noProof/>
      <w:color w:val="000000"/>
      <w:kern w:val="0"/>
      <w:szCs w:val="21"/>
    </w:rPr>
  </w:style>
  <w:style w:type="character" w:customStyle="1" w:styleId="30">
    <w:name w:val="标题 3 字符"/>
    <w:aliases w:val="Heading level 3 字符"/>
    <w:basedOn w:val="a0"/>
    <w:link w:val="3"/>
    <w:uiPriority w:val="9"/>
    <w:rsid w:val="001114CC"/>
    <w:rPr>
      <w:rFonts w:ascii="Times New Roman" w:eastAsia="Times New Roman" w:hAnsi="Times New Roman" w:cs="Times New Roman"/>
      <w:bCs/>
      <w:i/>
      <w:noProof/>
      <w:color w:val="000000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DB692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69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6927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noProof w:val="0"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69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581</Characters>
  <Application>Microsoft Office Word</Application>
  <DocSecurity>0</DocSecurity>
  <Lines>16</Lines>
  <Paragraphs>11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Yuki</dc:creator>
  <cp:keywords/>
  <dc:description/>
  <cp:lastModifiedBy>Yuki</cp:lastModifiedBy>
  <cp:revision>3</cp:revision>
  <dcterms:created xsi:type="dcterms:W3CDTF">2025-10-09T03:06:00Z</dcterms:created>
  <dcterms:modified xsi:type="dcterms:W3CDTF">2025-10-09T03:06:00Z</dcterms:modified>
</cp:coreProperties>
</file>