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C9468" w14:textId="1AF4F4E3" w:rsidR="003008B5" w:rsidRPr="00CC520F" w:rsidRDefault="00281B64" w:rsidP="00B661EC">
      <w:pPr>
        <w:pStyle w:val="Tablecaption"/>
        <w:spacing w:before="240" w:after="240"/>
      </w:pPr>
      <w:r w:rsidRPr="00281B64">
        <w:t>Supplementary</w:t>
      </w:r>
      <w:r w:rsidR="003008B5" w:rsidRPr="00CC520F">
        <w:t xml:space="preserve"> Table</w:t>
      </w:r>
      <w:r>
        <w:t xml:space="preserve"> </w:t>
      </w:r>
      <w:r w:rsidR="003008B5" w:rsidRPr="00CC520F">
        <w:t>1</w:t>
      </w:r>
      <w:r w:rsidR="00B661EC">
        <w:t>.</w:t>
      </w:r>
      <w:r w:rsidR="003008B5" w:rsidRPr="00CC520F">
        <w:t xml:space="preserve"> Gene Discoveries First Emerged by Decadal Period</w:t>
      </w:r>
      <w:r w:rsidR="00B661EC">
        <w:t>–</w:t>
      </w:r>
      <w:r w:rsidR="003008B5" w:rsidRPr="00CC520F">
        <w:t>With Genes’ Discovery Year and PMID Detail</w:t>
      </w:r>
      <w:r w:rsidR="00B661EC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3719"/>
        <w:gridCol w:w="4044"/>
      </w:tblGrid>
      <w:tr w:rsidR="003008B5" w:rsidRPr="002612C7" w14:paraId="6913D878" w14:textId="77777777" w:rsidTr="00B661EC">
        <w:tc>
          <w:tcPr>
            <w:tcW w:w="0" w:type="auto"/>
            <w:vAlign w:val="center"/>
            <w:hideMark/>
          </w:tcPr>
          <w:p w14:paraId="70260550" w14:textId="77777777" w:rsidR="003008B5" w:rsidRPr="009D124C" w:rsidRDefault="003008B5" w:rsidP="009D124C">
            <w:pPr>
              <w:pStyle w:val="Tablebody"/>
            </w:pPr>
            <w:r w:rsidRPr="009D124C">
              <w:t>Decade</w:t>
            </w:r>
          </w:p>
        </w:tc>
        <w:tc>
          <w:tcPr>
            <w:tcW w:w="0" w:type="auto"/>
            <w:vAlign w:val="center"/>
            <w:hideMark/>
          </w:tcPr>
          <w:p w14:paraId="7DA6BC5A" w14:textId="77777777" w:rsidR="003008B5" w:rsidRPr="009D124C" w:rsidRDefault="003008B5" w:rsidP="009D124C">
            <w:pPr>
              <w:pStyle w:val="Tablebody"/>
            </w:pPr>
            <w:r w:rsidRPr="009D124C">
              <w:t>Genes First Discovered During the Period (Year – Gene)</w:t>
            </w:r>
          </w:p>
        </w:tc>
        <w:tc>
          <w:tcPr>
            <w:tcW w:w="0" w:type="auto"/>
            <w:vAlign w:val="center"/>
            <w:hideMark/>
          </w:tcPr>
          <w:p w14:paraId="0094D74A" w14:textId="77777777" w:rsidR="003008B5" w:rsidRPr="009D124C" w:rsidRDefault="003008B5" w:rsidP="009D124C">
            <w:pPr>
              <w:pStyle w:val="Tablebody"/>
            </w:pPr>
            <w:r w:rsidRPr="009D124C">
              <w:t>Genes’ Discovery Year and PMID Detail</w:t>
            </w:r>
          </w:p>
        </w:tc>
      </w:tr>
      <w:tr w:rsidR="003008B5" w:rsidRPr="002612C7" w14:paraId="5CEF2FDD" w14:textId="77777777" w:rsidTr="00B661EC">
        <w:tc>
          <w:tcPr>
            <w:tcW w:w="0" w:type="auto"/>
            <w:vAlign w:val="center"/>
            <w:hideMark/>
          </w:tcPr>
          <w:p w14:paraId="39646257" w14:textId="32A80A16" w:rsidR="003008B5" w:rsidRPr="009D124C" w:rsidRDefault="003444F9" w:rsidP="009D124C">
            <w:pPr>
              <w:pStyle w:val="Tablebody"/>
            </w:pPr>
            <w:r w:rsidRPr="009D124C">
              <w:t>1990</w:t>
            </w:r>
            <w:r w:rsidR="003008B5" w:rsidRPr="009D124C">
              <w:t>–1999, The Pre-Genomic Era of Clinical and Biochemical Discovery</w:t>
            </w:r>
          </w:p>
        </w:tc>
        <w:tc>
          <w:tcPr>
            <w:tcW w:w="0" w:type="auto"/>
            <w:vAlign w:val="center"/>
            <w:hideMark/>
          </w:tcPr>
          <w:p w14:paraId="5B1D7460" w14:textId="77777777" w:rsidR="003008B5" w:rsidRPr="009D124C" w:rsidRDefault="003008B5" w:rsidP="009D124C">
            <w:pPr>
              <w:pStyle w:val="Tablebody"/>
            </w:pPr>
            <w:r w:rsidRPr="009D124C">
              <w:t>8 genes:</w:t>
            </w:r>
          </w:p>
          <w:p w14:paraId="14067FBD" w14:textId="77777777" w:rsidR="003008B5" w:rsidRPr="009D124C" w:rsidRDefault="003008B5" w:rsidP="009D124C">
            <w:pPr>
              <w:pStyle w:val="Tablebody"/>
            </w:pPr>
            <w:r w:rsidRPr="009D124C">
              <w:t>1992 - MT-ATP6</w:t>
            </w:r>
          </w:p>
          <w:p w14:paraId="585F289C" w14:textId="77777777" w:rsidR="003008B5" w:rsidRPr="009D124C" w:rsidRDefault="003008B5" w:rsidP="009D124C">
            <w:pPr>
              <w:pStyle w:val="Tablebody"/>
            </w:pPr>
            <w:r w:rsidRPr="009D124C">
              <w:t xml:space="preserve"> 1993 - PDHA1, 1995 - SDHA, 1998 - NDUFS4, 1998 - NDUFS8, 1998 - SURF1, 1999 - NDUFV1, 1999 - NDUFS7</w:t>
            </w:r>
          </w:p>
          <w:p w14:paraId="55A5D64A" w14:textId="77777777" w:rsidR="003008B5" w:rsidRPr="009D124C" w:rsidRDefault="003008B5" w:rsidP="009D124C">
            <w:pPr>
              <w:pStyle w:val="Tablebody"/>
            </w:pPr>
          </w:p>
        </w:tc>
        <w:tc>
          <w:tcPr>
            <w:tcW w:w="0" w:type="auto"/>
            <w:vAlign w:val="center"/>
            <w:hideMark/>
          </w:tcPr>
          <w:p w14:paraId="561ACB1E" w14:textId="3263A0C2" w:rsidR="003008B5" w:rsidRPr="009D124C" w:rsidRDefault="003008B5" w:rsidP="009D124C">
            <w:pPr>
              <w:pStyle w:val="Tablebody"/>
            </w:pPr>
            <w:r w:rsidRPr="009D124C">
              <w:t xml:space="preserve">MT-ATP6 (Ref#1 PMID: 1550128, 1992): Mitochondrial, Subunit of Complex V;; PDHA1 (Matthews, P M e al, Ref#2 PMID: 8498846, 1993): (De </w:t>
            </w:r>
            <w:proofErr w:type="spellStart"/>
            <w:r w:rsidRPr="009D124C">
              <w:t>Meirleir</w:t>
            </w:r>
            <w:proofErr w:type="spellEnd"/>
            <w:r w:rsidRPr="009D124C">
              <w:t>, L et al, Ref#3 PMID: 7898978, 1994): Nuclear, X-linked, E1α subunit of Pyruvate Dehydrogenase Complex (PDHC);;  SURF1 (Ref#4 PMID: 9837813, 1998): Nuclear, Assembly factor for Complex IV;; NDUFS8 (Ref#5 PMID: 9837812, 1998): Nuclear, Core subunit of Complex I;; NDUFS7 (Ref#6 PMID: 10360771, 1999): Nuclear, Core subunit of Complex I.</w:t>
            </w:r>
          </w:p>
        </w:tc>
      </w:tr>
      <w:tr w:rsidR="003008B5" w:rsidRPr="002612C7" w14:paraId="204D6F39" w14:textId="77777777" w:rsidTr="00B661EC">
        <w:tc>
          <w:tcPr>
            <w:tcW w:w="0" w:type="auto"/>
            <w:vAlign w:val="center"/>
            <w:hideMark/>
          </w:tcPr>
          <w:p w14:paraId="5F0C15B0" w14:textId="77777777" w:rsidR="003008B5" w:rsidRPr="009D124C" w:rsidRDefault="003008B5" w:rsidP="009D124C">
            <w:pPr>
              <w:pStyle w:val="Tablebody"/>
            </w:pPr>
            <w:r w:rsidRPr="009D124C">
              <w:t>2000–2009, The Early Genomics Era and Expansion of Genetic Etiologies</w:t>
            </w:r>
          </w:p>
        </w:tc>
        <w:tc>
          <w:tcPr>
            <w:tcW w:w="0" w:type="auto"/>
            <w:vAlign w:val="center"/>
            <w:hideMark/>
          </w:tcPr>
          <w:p w14:paraId="6DA8EA0F" w14:textId="77777777" w:rsidR="003008B5" w:rsidRPr="009D124C" w:rsidRDefault="003008B5" w:rsidP="009D124C">
            <w:pPr>
              <w:pStyle w:val="Tablebody"/>
            </w:pPr>
            <w:r w:rsidRPr="009D124C">
              <w:t>19 genes:</w:t>
            </w:r>
          </w:p>
          <w:p w14:paraId="04283B96" w14:textId="77777777" w:rsidR="003008B5" w:rsidRPr="009D124C" w:rsidRDefault="003008B5" w:rsidP="009D124C">
            <w:pPr>
              <w:pStyle w:val="Tablebody"/>
            </w:pPr>
            <w:r w:rsidRPr="009D124C">
              <w:t>2000 - MT-TK, 2000 - MT-CO3, 2002 - BCS1L, 2003 - MT-ND6, 2003 - MT-ND5, 2003 - LRPPRC, 2004 - MT-ND3, 2004 - COX15, 2004 - NDUFS3, 2005 - NDUFS1, 2005 - NDUFAF2, 2006 - PDHX, 2006 - PDSS2, 2007 - SUCLA2, 2007 - MT-ND2, 2008 - NDUFA2, 2009 - MT-TW, 2009 - TACO1, 2009 – PDHB</w:t>
            </w:r>
          </w:p>
          <w:p w14:paraId="16829FF8" w14:textId="77777777" w:rsidR="003008B5" w:rsidRPr="009D124C" w:rsidRDefault="003008B5" w:rsidP="009D124C">
            <w:pPr>
              <w:pStyle w:val="Tablebody"/>
            </w:pPr>
          </w:p>
        </w:tc>
        <w:tc>
          <w:tcPr>
            <w:tcW w:w="0" w:type="auto"/>
            <w:vAlign w:val="center"/>
            <w:hideMark/>
          </w:tcPr>
          <w:p w14:paraId="2C3FA298" w14:textId="586F1916" w:rsidR="003008B5" w:rsidRPr="009D124C" w:rsidRDefault="003008B5" w:rsidP="009D124C">
            <w:pPr>
              <w:pStyle w:val="Tablebody"/>
            </w:pPr>
            <w:r w:rsidRPr="009D124C">
              <w:br/>
              <w:t xml:space="preserve">NDUFS4 (Ref#7 PMID: 11181577, 2001): Nuclear, Subunit of Complex I;; MT-CO3 (Ref#8 PMID: 11063732, 2000): Mitochondrial, Subunit of Complex IV;; MT-TK (Ref#9 PMID: 11108511, 2000): Mitochondrial, tRNA-Lys, involved in mitochondrial translation;; NDUFS3 (Ref#10 PMID: 14729820, 2004): Nuclear, Core subunit of Complex I;; MT-ND5 (Ref#11 PMID: 14557590, 2003): Mitochondrial, Subunit of Complex I;; SDHA (Ref#12 PMID: 16488174, 2006): Nuclear, Subunit of Complex II;; COX15 (Ref#13 PMID: 15235026, 2004): Nuclear, Assembly factor for Complex IV;; MT-ND3 (Ref#14 PMID: 14764913, 2004): Mitochondrial, Subunit of Complex I;; PDHX (Ref#15 PMID: 16566017, 2006): Nuclear, E3 binding protein of PDHC;; NDUFS1 (Ref#16 PMID: 15824269, 2005): Nuclear, Core subunit of Complex I;; PDSS2 (Ref#17 PMID: 17186472, 2006): Nuclear, Coenzyme Q10 biosynthesis;; MT-ND2 (Ref#18 PMID: 16996290, 2007): Mitochondrial, Subunit of Complex I;; MT-ND6 (Ref#19 PMID: 14595656, 2003): Mitochondrial, Subunit of Complex I;; NDUFV1 (Ref#20 PMID: 17162199, 2007): Nuclear, Core subunit of Complex I;; SUCLA2 (Ref#21 PMID: 17301081, 2007): Nuclear, Krebs cycle enzyme;; NDUFA2 (Ref#22 PMID: 18513682, 2008): Nuclear, Subunit of Complex I;; TACO1 (Ref#23 PMID: 19503089, 2009): Nuclear, Translational </w:t>
            </w:r>
            <w:r w:rsidRPr="009D124C">
              <w:lastRenderedPageBreak/>
              <w:t>activator of COX I;; PDHB (Ref#24 PMID: 19924563, 2009): Nuclear, E1β subunit of PDHC;;  NDUFAF5 ( C20orf7 ) (Ref#25 PMID: 19542079, 2010): Nuclear, Complex I assembly factor;; MT-TW (Ref#26 PMID: 19349200, 2009): Mitochondrial, tRNA-Trp.</w:t>
            </w:r>
          </w:p>
        </w:tc>
      </w:tr>
      <w:tr w:rsidR="003008B5" w:rsidRPr="002612C7" w14:paraId="6F905A6A" w14:textId="77777777" w:rsidTr="00B661EC">
        <w:tc>
          <w:tcPr>
            <w:tcW w:w="0" w:type="auto"/>
            <w:vAlign w:val="center"/>
            <w:hideMark/>
          </w:tcPr>
          <w:p w14:paraId="55B0948E" w14:textId="77777777" w:rsidR="003008B5" w:rsidRPr="009D124C" w:rsidRDefault="003008B5" w:rsidP="009D124C">
            <w:pPr>
              <w:pStyle w:val="Tablebody"/>
            </w:pPr>
            <w:r w:rsidRPr="009D124C">
              <w:lastRenderedPageBreak/>
              <w:t>2010–2019, The Next-Generation Sequencing Revolution</w:t>
            </w:r>
          </w:p>
        </w:tc>
        <w:tc>
          <w:tcPr>
            <w:tcW w:w="0" w:type="auto"/>
            <w:vAlign w:val="center"/>
            <w:hideMark/>
          </w:tcPr>
          <w:p w14:paraId="723FE3EC" w14:textId="77777777" w:rsidR="003008B5" w:rsidRPr="009D124C" w:rsidRDefault="003008B5" w:rsidP="009D124C">
            <w:pPr>
              <w:pStyle w:val="Tablebody"/>
            </w:pPr>
            <w:r w:rsidRPr="009D124C">
              <w:t>51 genes:</w:t>
            </w:r>
          </w:p>
          <w:p w14:paraId="1817DADC" w14:textId="77777777" w:rsidR="003008B5" w:rsidRPr="009D124C" w:rsidRDefault="003008B5" w:rsidP="009D124C">
            <w:pPr>
              <w:pStyle w:val="Tablebody"/>
            </w:pPr>
            <w:r w:rsidRPr="009D124C">
              <w:t>2010 - MTRFR, 2010 - NDUFAF5, 2010 - FOXRED1, 2011 - NDUFA10, 2011 - NDUFA12, 2011 - TPK1, 2011 - MTFMT, 2012 - MT-TI, 2012 - NDUFA9, 2012 - SERAC1, 2013 - TUFM, 2013 - LIPT1, 2013 - SLC19A3, 2013 - FBXL4, 2014 - GYG2, 2014 - PET100, 2014 - IARS2, 2014 - TSFM, 2014 - ECHS1, 2015 - NDUFV2, 2015 - NARS2, 2015 - GFM2, 2015 - COX8A, 2015 - HIBCH, 2016 - GTPBP3, 2016 - CDKL5, 2016 - NDUFB8, 2016 - SLC25A46, 2016 - SCO2, 2016 - MFF, 2016 - EARS2, 2016 - PARS2, 2016 - NDUFAF6, 2016 - ADAR, 2017 - OPA1, 2017 - ACY1, 2017 - PNPT1, 2017 - NDUFAF4, 2017 - NDUFAF3, 2017 - MRPS34, 2017 - NDUFS6, 2018 - ADAMTSL2, 2018 - ATP5MK, 2019 - CRAT, 2019 - NDUFAF8, 2019 - TIMMDC1, 2019 - NDUFS2, 2019 - TIMM50, 2019 - NDUFA1, 2019 - PUS1, 2019 - PTCD3</w:t>
            </w:r>
          </w:p>
        </w:tc>
        <w:tc>
          <w:tcPr>
            <w:tcW w:w="0" w:type="auto"/>
            <w:vAlign w:val="center"/>
            <w:hideMark/>
          </w:tcPr>
          <w:p w14:paraId="36839B62" w14:textId="2ECC82A8" w:rsidR="003008B5" w:rsidRPr="009D124C" w:rsidRDefault="003008B5" w:rsidP="009D124C">
            <w:pPr>
              <w:pStyle w:val="Tablebody"/>
            </w:pPr>
            <w:r w:rsidRPr="009D124C">
              <w:br/>
              <w:t xml:space="preserve">NDUFA10 (Ref#27 PMID: 21150889, 2011): Nuclear, Subunit of Complex I;; NDUFA12 (Ref#28 PMID: 21617257, 2011): Nuclear, Subunit of Complex I;; MT-TI (Ref#29 PMID: 21982779, 2012): Mitochondrial, tRNA-Ile;; LIPT1 (Ref#30 PMID: 24341803, 2013): Nuclear, Lipoic acid metabolism;; GYG2 (Ref#31 PMID: 24100632, 2014): Nuclear, Glycogen synthesis;; TSFM (Ref#32 PMID: 25037205, 2014): Nuclear, Mitochondrial translation elongation factor;; PET100 (Ref#33 PMID: 24462369, 2014): Nuclear, Assembly factor for Complex IV;; ECHS1 (Ref#34 PMID: 25125611, 2014): Nuclear, Valine catabolism;; NARS2 (Ref#35 PMID: 25807530, 2015): Nuclear, Mitochondrial </w:t>
            </w:r>
            <w:proofErr w:type="spellStart"/>
            <w:r w:rsidRPr="009D124C">
              <w:t>asparaginyl</w:t>
            </w:r>
            <w:proofErr w:type="spellEnd"/>
            <w:r w:rsidRPr="009D124C">
              <w:t xml:space="preserve">-tRNA synthetase;; NDUFV2 (Ref#36 PMID: 26008862, 2015): Nuclear, Core subunit of Complex I;; COX8A (Ref#37 PMID: 26685157, 2016): Nuclear, Subunit of Complex IV;; MFF (Ref#38 PMID: 26783368, 2016): Nuclear, Mitochondrial fission factor;; NDUFAF3 (Ref#39 PMID: 27986404, 2017): Nuclear, Assembly factor of Complex I;; MRPS34 (Ref#40 PMID: 28777931, 2017): Nuclear, Small </w:t>
            </w:r>
            <w:proofErr w:type="spellStart"/>
            <w:r w:rsidRPr="009D124C">
              <w:t>mitoribosomal</w:t>
            </w:r>
            <w:proofErr w:type="spellEnd"/>
            <w:r w:rsidRPr="009D124C">
              <w:t xml:space="preserve"> subunit protein;; PNPT1 (Ref#41 PMID: 28645153, 2017): Nuclear, Mitochondrial RNA processing;; OPA1 (Ref#42 PMID: 28442211, 2017): Nuclear, Mitochondrial fusion and cristae morphology;; TRMU (Ref#43 PMID: 33365252, 2021 - but case is from this era): Nuclear, Mitochondrial tRNA modification;; TIMMDC1 (Ref#44 PMID: 30981218, 2019): Nuclear, Complex I assembly factor;; NDUFAF8 (Ref#45 PMID: 31866046, 2019): Nuclear, Complex I assembly factor;; CRAT (Ref#46 PMID: 31448845, 2019): Nuclear, Carnitine acetyltransferase;; DNAJC30 (Ref#47 PMID: 35148383, 2022 - but describes cases from this era): Nuclear, Complex I repair;; PTCD3 (Ref#48 PMID: 30607703, 2019): Nuclear, </w:t>
            </w:r>
            <w:proofErr w:type="spellStart"/>
            <w:r w:rsidRPr="009D124C">
              <w:t>Mitoribosomal</w:t>
            </w:r>
            <w:proofErr w:type="spellEnd"/>
            <w:r w:rsidRPr="009D124C">
              <w:t xml:space="preserve"> protein.</w:t>
            </w:r>
          </w:p>
          <w:p w14:paraId="6633E2CA" w14:textId="20249562" w:rsidR="003008B5" w:rsidRPr="009D124C" w:rsidRDefault="003008B5" w:rsidP="009D124C">
            <w:pPr>
              <w:pStyle w:val="Tablebody"/>
            </w:pPr>
          </w:p>
        </w:tc>
      </w:tr>
      <w:tr w:rsidR="003008B5" w:rsidRPr="002612C7" w14:paraId="698D4A9A" w14:textId="77777777" w:rsidTr="00B661EC">
        <w:tc>
          <w:tcPr>
            <w:tcW w:w="0" w:type="auto"/>
            <w:vAlign w:val="center"/>
            <w:hideMark/>
          </w:tcPr>
          <w:p w14:paraId="0FE97817" w14:textId="77777777" w:rsidR="003008B5" w:rsidRPr="009D124C" w:rsidRDefault="003008B5" w:rsidP="009D124C">
            <w:pPr>
              <w:pStyle w:val="Tablebody"/>
            </w:pPr>
            <w:r w:rsidRPr="009D124C">
              <w:t xml:space="preserve">2020–Present, The </w:t>
            </w:r>
            <w:r w:rsidRPr="009D124C">
              <w:lastRenderedPageBreak/>
              <w:t>Modern Era of Targeted Therapies and Sophisticated Models</w:t>
            </w:r>
          </w:p>
          <w:p w14:paraId="0AB0CD45" w14:textId="77777777" w:rsidR="003008B5" w:rsidRPr="009D124C" w:rsidRDefault="003008B5" w:rsidP="009D124C">
            <w:pPr>
              <w:pStyle w:val="Tablebody"/>
            </w:pPr>
          </w:p>
        </w:tc>
        <w:tc>
          <w:tcPr>
            <w:tcW w:w="0" w:type="auto"/>
            <w:vAlign w:val="center"/>
            <w:hideMark/>
          </w:tcPr>
          <w:p w14:paraId="3BBF8B69" w14:textId="77777777" w:rsidR="003008B5" w:rsidRPr="009D124C" w:rsidRDefault="003008B5" w:rsidP="009D124C">
            <w:pPr>
              <w:pStyle w:val="Tablebody"/>
            </w:pPr>
            <w:r w:rsidRPr="009D124C">
              <w:lastRenderedPageBreak/>
              <w:t>38 genes:</w:t>
            </w:r>
          </w:p>
          <w:p w14:paraId="3E540F97" w14:textId="77777777" w:rsidR="003008B5" w:rsidRPr="009D124C" w:rsidRDefault="003008B5" w:rsidP="009D124C">
            <w:pPr>
              <w:pStyle w:val="Tablebody"/>
            </w:pPr>
            <w:r w:rsidRPr="009D124C">
              <w:lastRenderedPageBreak/>
              <w:t>2020 - SUOX, 2020 - SQOR, 2020 - COQ4, 2020 - HSD17B10, 2020 - RMND1, 2020 - TRMU, 2020 - NDUFA13, 2020 - NDUFC2, 2020 - NAXE, 2020 - VPS13D, 2020 - FASTKD2, 2020 - UQCRC2, 2021 - FDXR, 2021 - HPDL, 2022 - DNAJC30, 2022 - NFU1, 2022 - MRPL38, 2022 - SLC25A19, 2022 - L2HGDH, 2022 - DLD, 2022 - DLAT, 2022 - ETHE1, 2022 - PMPCB, 2022 - PMPCA, 2022 - MTO1, 2022 - ALDH5A1, 2022 - ATP5PO, 2022 - NDUFA4, 2022 - SUCLG1, 2022 - TARS2, 2023 - MRPL39, 2023 - TMEM126B, 2024 - NDUFA3, 2024 - MRPS36, 2024 - VARS2, 2024 - RNF213, 2024 - POLG, 2025 - FASTKD5</w:t>
            </w:r>
          </w:p>
        </w:tc>
        <w:tc>
          <w:tcPr>
            <w:tcW w:w="0" w:type="auto"/>
            <w:vAlign w:val="center"/>
            <w:hideMark/>
          </w:tcPr>
          <w:p w14:paraId="44699431" w14:textId="78C85E63" w:rsidR="003008B5" w:rsidRPr="009D124C" w:rsidRDefault="003008B5" w:rsidP="009D124C">
            <w:pPr>
              <w:pStyle w:val="Tablebody"/>
            </w:pPr>
            <w:r w:rsidRPr="009D124C">
              <w:lastRenderedPageBreak/>
              <w:br/>
            </w:r>
            <w:r w:rsidRPr="009D124C">
              <w:lastRenderedPageBreak/>
              <w:t xml:space="preserve">SQOR (Ref#49 PMID: 32160317, 2020): Nuclear, </w:t>
            </w:r>
            <w:proofErr w:type="spellStart"/>
            <w:r w:rsidRPr="009D124C">
              <w:t>Sulfide:quinone</w:t>
            </w:r>
            <w:proofErr w:type="spellEnd"/>
            <w:r w:rsidRPr="009D124C">
              <w:t xml:space="preserve"> oxidoreductase, involved in H2S catabolism;; NDUFC2 (Ref#50 PMID: 32969598, 2020): Nuclear, Subunit of Complex I;; TMEM126B (Ref#51 PMID: 36482121, 2023): Nuclear, Complex I assembly factor;; MRPS36 (Ref#52 PMID: 38685873, 2024): Nuclear, Component of the OGDHC complex;; NDUFA3 (Ref#53 PMID: 39661167, 2024): Nuclear, Subunit of Complex I;; FASTKD5 (Ref#54 PMID: 40499538, 2025): Nuclear, Mitochondrial mRNA processing.</w:t>
            </w:r>
          </w:p>
          <w:p w14:paraId="39E6E288" w14:textId="0F978F85" w:rsidR="003008B5" w:rsidRPr="009D124C" w:rsidRDefault="003008B5" w:rsidP="009D124C">
            <w:pPr>
              <w:pStyle w:val="Tablebody"/>
            </w:pPr>
          </w:p>
        </w:tc>
      </w:tr>
    </w:tbl>
    <w:p w14:paraId="6C73F5EC" w14:textId="77777777" w:rsidR="003008B5" w:rsidRPr="005D7140" w:rsidRDefault="003008B5" w:rsidP="003008B5">
      <w:pPr>
        <w:spacing w:line="360" w:lineRule="auto"/>
        <w:rPr>
          <w:rFonts w:ascii="Times New Roman" w:hAnsi="Times New Roman"/>
          <w:sz w:val="21"/>
          <w:szCs w:val="21"/>
        </w:rPr>
      </w:pPr>
    </w:p>
    <w:p w14:paraId="45CED9CE" w14:textId="77777777" w:rsidR="00563DB8" w:rsidRDefault="00563DB8" w:rsidP="003008B5"/>
    <w:p w14:paraId="6F1B2D47" w14:textId="55082795" w:rsidR="003008B5" w:rsidRPr="003008B5" w:rsidRDefault="003008B5" w:rsidP="003008B5"/>
    <w:p w14:paraId="00A4E6D2" w14:textId="2B826211" w:rsidR="003008B5" w:rsidRPr="003008B5" w:rsidRDefault="003008B5" w:rsidP="00475D9B">
      <w:pPr>
        <w:pStyle w:val="Backmatter"/>
        <w:spacing w:before="120" w:after="120"/>
      </w:pPr>
      <w:r w:rsidRPr="003008B5">
        <w:t>Reference List</w:t>
      </w:r>
      <w:r w:rsidR="00563DB8">
        <w:t xml:space="preserve"> for </w:t>
      </w:r>
      <w:bookmarkStart w:id="0" w:name="_GoBack"/>
      <w:r w:rsidR="00281B64" w:rsidRPr="00281B64">
        <w:t>Supplementary</w:t>
      </w:r>
      <w:bookmarkEnd w:id="0"/>
      <w:r w:rsidR="00563DB8">
        <w:t xml:space="preserve"> Table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7813"/>
        <w:gridCol w:w="870"/>
      </w:tblGrid>
      <w:tr w:rsidR="003008B5" w:rsidRPr="003008B5" w14:paraId="6B3C8B13" w14:textId="77777777" w:rsidTr="009D124C">
        <w:tc>
          <w:tcPr>
            <w:tcW w:w="0" w:type="auto"/>
            <w:vAlign w:val="center"/>
            <w:hideMark/>
          </w:tcPr>
          <w:p w14:paraId="5137BAAA" w14:textId="6348C6FD" w:rsidR="003008B5" w:rsidRPr="003008B5" w:rsidRDefault="00596CAC" w:rsidP="00475D9B">
            <w:pPr>
              <w:pStyle w:val="Tablebody"/>
            </w:pPr>
            <w:proofErr w:type="spellStart"/>
            <w:r>
              <w:t>Ref#</w:t>
            </w:r>
            <w:r w:rsidR="003008B5" w:rsidRPr="003008B5">
              <w:t>SN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00E453" w14:textId="4A04DC31" w:rsidR="003008B5" w:rsidRPr="003008B5" w:rsidRDefault="003008B5" w:rsidP="00475D9B">
            <w:pPr>
              <w:pStyle w:val="Tablebody"/>
            </w:pPr>
            <w:r w:rsidRPr="003008B5">
              <w:t>Citation</w:t>
            </w:r>
            <w:r w:rsidR="00D3220F" w:rsidRPr="003008B5">
              <w:t xml:space="preserve"> </w:t>
            </w:r>
            <w:r w:rsidR="00D3220F">
              <w:t xml:space="preserve">in </w:t>
            </w:r>
            <w:r w:rsidR="00D3220F" w:rsidRPr="003008B5">
              <w:t>NLM</w:t>
            </w:r>
            <w:r w:rsidR="00D3220F">
              <w:t xml:space="preserve"> format</w:t>
            </w:r>
          </w:p>
        </w:tc>
        <w:tc>
          <w:tcPr>
            <w:tcW w:w="0" w:type="auto"/>
            <w:vAlign w:val="center"/>
            <w:hideMark/>
          </w:tcPr>
          <w:p w14:paraId="57441DEA" w14:textId="77777777" w:rsidR="003008B5" w:rsidRPr="003008B5" w:rsidRDefault="003008B5" w:rsidP="00475D9B">
            <w:pPr>
              <w:pStyle w:val="Tablebody"/>
            </w:pPr>
            <w:r w:rsidRPr="003008B5">
              <w:t>PMID</w:t>
            </w:r>
          </w:p>
        </w:tc>
      </w:tr>
      <w:tr w:rsidR="003008B5" w:rsidRPr="003008B5" w14:paraId="45AFFE3F" w14:textId="77777777" w:rsidTr="009D124C">
        <w:tc>
          <w:tcPr>
            <w:tcW w:w="0" w:type="auto"/>
            <w:vAlign w:val="center"/>
            <w:hideMark/>
          </w:tcPr>
          <w:p w14:paraId="0CB0356B" w14:textId="6F46855E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FDF15B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Tatuch</w:t>
            </w:r>
            <w:proofErr w:type="spellEnd"/>
            <w:r w:rsidRPr="003008B5">
              <w:t xml:space="preserve"> Y, Christodoulou J, Feigenbaum A, Clarke JT, </w:t>
            </w:r>
            <w:proofErr w:type="spellStart"/>
            <w:r w:rsidRPr="003008B5">
              <w:t>Wherret</w:t>
            </w:r>
            <w:proofErr w:type="spellEnd"/>
            <w:r w:rsidRPr="003008B5">
              <w:t xml:space="preserve"> J, Smith C, et al. Heteroplasmic mtDNA mutation (T----G) at 8993 can cause Leigh disease when the percentage of abnormal mtDNA is high. Am J Hum Genet. 1992 Apr;50(4):852-8.</w:t>
            </w:r>
          </w:p>
        </w:tc>
        <w:tc>
          <w:tcPr>
            <w:tcW w:w="0" w:type="auto"/>
            <w:vAlign w:val="center"/>
            <w:hideMark/>
          </w:tcPr>
          <w:p w14:paraId="4F2125B2" w14:textId="77777777" w:rsidR="003008B5" w:rsidRPr="003008B5" w:rsidRDefault="003008B5" w:rsidP="00475D9B">
            <w:pPr>
              <w:pStyle w:val="Tablebody"/>
            </w:pPr>
            <w:r w:rsidRPr="003008B5">
              <w:t>1550128</w:t>
            </w:r>
          </w:p>
        </w:tc>
      </w:tr>
      <w:tr w:rsidR="003008B5" w:rsidRPr="003008B5" w14:paraId="6EBDFD39" w14:textId="77777777" w:rsidTr="009D124C">
        <w:tc>
          <w:tcPr>
            <w:tcW w:w="0" w:type="auto"/>
            <w:vAlign w:val="center"/>
            <w:hideMark/>
          </w:tcPr>
          <w:p w14:paraId="0BB995E6" w14:textId="7F775F54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B85851" w14:textId="77777777" w:rsidR="003008B5" w:rsidRPr="003008B5" w:rsidRDefault="003008B5" w:rsidP="00475D9B">
            <w:pPr>
              <w:pStyle w:val="Tablebody"/>
            </w:pPr>
            <w:r w:rsidRPr="003008B5">
              <w:t>Matthews PM, Marchington DR, Squier M, Land J, Brown RM, Brown GK. Molecular genetic characterization of an X-linked form of Leigh's syndrome. Ann Neurol. 1993 Jun;33(6):652-5.</w:t>
            </w:r>
          </w:p>
        </w:tc>
        <w:tc>
          <w:tcPr>
            <w:tcW w:w="0" w:type="auto"/>
            <w:vAlign w:val="center"/>
            <w:hideMark/>
          </w:tcPr>
          <w:p w14:paraId="60210B5E" w14:textId="77777777" w:rsidR="003008B5" w:rsidRPr="003008B5" w:rsidRDefault="003008B5" w:rsidP="00475D9B">
            <w:pPr>
              <w:pStyle w:val="Tablebody"/>
            </w:pPr>
            <w:r w:rsidRPr="003008B5">
              <w:t>8498846</w:t>
            </w:r>
          </w:p>
        </w:tc>
      </w:tr>
      <w:tr w:rsidR="003008B5" w:rsidRPr="003008B5" w14:paraId="760C0E5B" w14:textId="77777777" w:rsidTr="009D124C">
        <w:tc>
          <w:tcPr>
            <w:tcW w:w="0" w:type="auto"/>
            <w:vAlign w:val="center"/>
            <w:hideMark/>
          </w:tcPr>
          <w:p w14:paraId="09A85904" w14:textId="21912735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6B91BF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De Meirleir L, Lissens W, Benelli C, Ponsot G, Desguerre I, Marsac C, et al. </w:t>
            </w:r>
            <w:r w:rsidRPr="003008B5">
              <w:t>Aberrant splicing of exon 6 in the pyruvate dehydrogenase-E1 alpha mRNA linked to a silent mutation in a large family with Leigh's encephalomyelopathy. Pediatr Res. 1994 Dec;36(6):707-12.</w:t>
            </w:r>
          </w:p>
        </w:tc>
        <w:tc>
          <w:tcPr>
            <w:tcW w:w="0" w:type="auto"/>
            <w:vAlign w:val="center"/>
            <w:hideMark/>
          </w:tcPr>
          <w:p w14:paraId="2BC31512" w14:textId="77777777" w:rsidR="003008B5" w:rsidRPr="003008B5" w:rsidRDefault="003008B5" w:rsidP="00475D9B">
            <w:pPr>
              <w:pStyle w:val="Tablebody"/>
            </w:pPr>
            <w:r w:rsidRPr="003008B5">
              <w:t>7898978</w:t>
            </w:r>
          </w:p>
        </w:tc>
      </w:tr>
      <w:tr w:rsidR="003008B5" w:rsidRPr="003008B5" w14:paraId="230B1747" w14:textId="77777777" w:rsidTr="009D124C">
        <w:tc>
          <w:tcPr>
            <w:tcW w:w="0" w:type="auto"/>
            <w:vAlign w:val="center"/>
            <w:hideMark/>
          </w:tcPr>
          <w:p w14:paraId="478FA973" w14:textId="5899E250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D648C4C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Tiranti V, Hoertnagel K, Carrozzo R, Galimberti C, Munaro M, Granatiero M, et al. </w:t>
            </w:r>
            <w:r w:rsidRPr="003008B5">
              <w:t>Mutations of SURF-1 in Leigh disease associated with cytochrome c oxidase deficiency. Am J Hum Genet. 1998 Dec;63(6):1609-21.</w:t>
            </w:r>
          </w:p>
        </w:tc>
        <w:tc>
          <w:tcPr>
            <w:tcW w:w="0" w:type="auto"/>
            <w:vAlign w:val="center"/>
            <w:hideMark/>
          </w:tcPr>
          <w:p w14:paraId="4567328D" w14:textId="77777777" w:rsidR="003008B5" w:rsidRPr="003008B5" w:rsidRDefault="003008B5" w:rsidP="00475D9B">
            <w:pPr>
              <w:pStyle w:val="Tablebody"/>
            </w:pPr>
            <w:r w:rsidRPr="003008B5">
              <w:t>9837813</w:t>
            </w:r>
          </w:p>
        </w:tc>
      </w:tr>
      <w:tr w:rsidR="003008B5" w:rsidRPr="003008B5" w14:paraId="1EBF14BD" w14:textId="77777777" w:rsidTr="009D124C">
        <w:tc>
          <w:tcPr>
            <w:tcW w:w="0" w:type="auto"/>
            <w:vAlign w:val="center"/>
            <w:hideMark/>
          </w:tcPr>
          <w:p w14:paraId="7B88C047" w14:textId="6CB14A95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455A8E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Loeffen</w:t>
            </w:r>
            <w:proofErr w:type="spellEnd"/>
            <w:r w:rsidRPr="003008B5">
              <w:t xml:space="preserve"> J, </w:t>
            </w:r>
            <w:proofErr w:type="spellStart"/>
            <w:r w:rsidRPr="003008B5">
              <w:t>Smeitink</w:t>
            </w:r>
            <w:proofErr w:type="spellEnd"/>
            <w:r w:rsidRPr="003008B5">
              <w:t xml:space="preserve"> J, </w:t>
            </w:r>
            <w:proofErr w:type="spellStart"/>
            <w:r w:rsidRPr="003008B5">
              <w:t>Triepels</w:t>
            </w:r>
            <w:proofErr w:type="spellEnd"/>
            <w:r w:rsidRPr="003008B5">
              <w:t xml:space="preserve"> R, </w:t>
            </w:r>
            <w:proofErr w:type="spellStart"/>
            <w:r w:rsidRPr="003008B5">
              <w:t>Smeets</w:t>
            </w:r>
            <w:proofErr w:type="spellEnd"/>
            <w:r w:rsidRPr="003008B5">
              <w:t xml:space="preserve"> R, </w:t>
            </w:r>
            <w:proofErr w:type="spellStart"/>
            <w:r w:rsidRPr="003008B5">
              <w:t>Schuelke</w:t>
            </w:r>
            <w:proofErr w:type="spellEnd"/>
            <w:r w:rsidRPr="003008B5">
              <w:t xml:space="preserve"> M, </w:t>
            </w:r>
            <w:proofErr w:type="spellStart"/>
            <w:r w:rsidRPr="003008B5">
              <w:t>Sengers</w:t>
            </w:r>
            <w:proofErr w:type="spellEnd"/>
            <w:r w:rsidRPr="003008B5">
              <w:t xml:space="preserve"> R, et al. The first nuclear-encoded complex I mutation in a patient with Leigh syndrome. Am J Hum Genet. 1998 Dec;63(6):1598-608.</w:t>
            </w:r>
          </w:p>
        </w:tc>
        <w:tc>
          <w:tcPr>
            <w:tcW w:w="0" w:type="auto"/>
            <w:vAlign w:val="center"/>
            <w:hideMark/>
          </w:tcPr>
          <w:p w14:paraId="27AFCFAE" w14:textId="77777777" w:rsidR="003008B5" w:rsidRPr="003008B5" w:rsidRDefault="003008B5" w:rsidP="00475D9B">
            <w:pPr>
              <w:pStyle w:val="Tablebody"/>
            </w:pPr>
            <w:r w:rsidRPr="003008B5">
              <w:t>9837812</w:t>
            </w:r>
          </w:p>
        </w:tc>
      </w:tr>
      <w:tr w:rsidR="003008B5" w:rsidRPr="003008B5" w14:paraId="7783AB97" w14:textId="77777777" w:rsidTr="009D124C">
        <w:tc>
          <w:tcPr>
            <w:tcW w:w="0" w:type="auto"/>
            <w:vAlign w:val="center"/>
            <w:hideMark/>
          </w:tcPr>
          <w:p w14:paraId="238B57ED" w14:textId="212BC6E1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B8DA98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Triepels</w:t>
            </w:r>
            <w:proofErr w:type="spellEnd"/>
            <w:r w:rsidRPr="003008B5">
              <w:t xml:space="preserve"> RH, van den Heuvel LP, </w:t>
            </w:r>
            <w:proofErr w:type="spellStart"/>
            <w:r w:rsidRPr="003008B5">
              <w:t>Loeffen</w:t>
            </w:r>
            <w:proofErr w:type="spellEnd"/>
            <w:r w:rsidRPr="003008B5">
              <w:t xml:space="preserve"> JL, </w:t>
            </w:r>
            <w:proofErr w:type="spellStart"/>
            <w:r w:rsidRPr="003008B5">
              <w:t>Buskens</w:t>
            </w:r>
            <w:proofErr w:type="spellEnd"/>
            <w:r w:rsidRPr="003008B5">
              <w:t xml:space="preserve"> CA, Smeets RJ, Rubio Gozalbo ME, et al. Leigh syndrome associated with a mutation in the NDUFS7 (PSST) nuclear encoded subunit of complex I. Ann Neurol. 1999 Jun;45(6):787-90.</w:t>
            </w:r>
          </w:p>
        </w:tc>
        <w:tc>
          <w:tcPr>
            <w:tcW w:w="0" w:type="auto"/>
            <w:vAlign w:val="center"/>
            <w:hideMark/>
          </w:tcPr>
          <w:p w14:paraId="55A6B53C" w14:textId="77777777" w:rsidR="003008B5" w:rsidRPr="003008B5" w:rsidRDefault="003008B5" w:rsidP="00475D9B">
            <w:pPr>
              <w:pStyle w:val="Tablebody"/>
            </w:pPr>
            <w:r w:rsidRPr="003008B5">
              <w:t>10360771</w:t>
            </w:r>
          </w:p>
        </w:tc>
      </w:tr>
      <w:tr w:rsidR="003008B5" w:rsidRPr="003008B5" w14:paraId="4E48C305" w14:textId="77777777" w:rsidTr="009D124C">
        <w:tc>
          <w:tcPr>
            <w:tcW w:w="0" w:type="auto"/>
            <w:vAlign w:val="center"/>
            <w:hideMark/>
          </w:tcPr>
          <w:p w14:paraId="115AB62C" w14:textId="77E167CF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0B6244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Petruzzella V, Vergari R, Puzziferri I, Boffoli D, Lamantea E, Zeviani M, et al. </w:t>
            </w:r>
            <w:r w:rsidRPr="003008B5">
              <w:t xml:space="preserve">A nonsense mutation in the NDUFS4 gene encoding the 18 </w:t>
            </w:r>
            <w:proofErr w:type="spellStart"/>
            <w:r w:rsidRPr="003008B5">
              <w:t>kDa</w:t>
            </w:r>
            <w:proofErr w:type="spellEnd"/>
            <w:r w:rsidRPr="003008B5">
              <w:t xml:space="preserve"> (AQDQ) subunit of complex I </w:t>
            </w:r>
            <w:proofErr w:type="gramStart"/>
            <w:r w:rsidRPr="003008B5">
              <w:t>abolishes</w:t>
            </w:r>
            <w:proofErr w:type="gramEnd"/>
            <w:r w:rsidRPr="003008B5">
              <w:t xml:space="preserve"> assembly and activity of the complex in a patient with Leigh-like syndrome. Hum Mol Genet. 2001 Mar 1;10(5):529-35.</w:t>
            </w:r>
          </w:p>
        </w:tc>
        <w:tc>
          <w:tcPr>
            <w:tcW w:w="0" w:type="auto"/>
            <w:vAlign w:val="center"/>
            <w:hideMark/>
          </w:tcPr>
          <w:p w14:paraId="2FC5B1F5" w14:textId="77777777" w:rsidR="003008B5" w:rsidRPr="003008B5" w:rsidRDefault="003008B5" w:rsidP="00475D9B">
            <w:pPr>
              <w:pStyle w:val="Tablebody"/>
            </w:pPr>
            <w:r w:rsidRPr="003008B5">
              <w:t>11181577</w:t>
            </w:r>
          </w:p>
        </w:tc>
      </w:tr>
      <w:tr w:rsidR="003008B5" w:rsidRPr="003008B5" w14:paraId="7D2625F0" w14:textId="77777777" w:rsidTr="009D124C">
        <w:tc>
          <w:tcPr>
            <w:tcW w:w="0" w:type="auto"/>
            <w:vAlign w:val="center"/>
            <w:hideMark/>
          </w:tcPr>
          <w:p w14:paraId="586E6770" w14:textId="650DCEE4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E831E9D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Tiranti V, Corona P, Greco M, Taanman JW, Carrara F, Lamantea E, et al. </w:t>
            </w:r>
            <w:r w:rsidRPr="003008B5">
              <w:t>A novel frameshift mutation of the mtDNA COIII gene leads to impaired assembly of cytochrome c oxidase in a patient affected by Leigh-like syndrome. Hum Mol Genet. 2000 Nov 1;9(18):2733-42.</w:t>
            </w:r>
          </w:p>
        </w:tc>
        <w:tc>
          <w:tcPr>
            <w:tcW w:w="0" w:type="auto"/>
            <w:vAlign w:val="center"/>
            <w:hideMark/>
          </w:tcPr>
          <w:p w14:paraId="273A283B" w14:textId="77777777" w:rsidR="003008B5" w:rsidRPr="003008B5" w:rsidRDefault="003008B5" w:rsidP="00475D9B">
            <w:pPr>
              <w:pStyle w:val="Tablebody"/>
            </w:pPr>
            <w:r w:rsidRPr="003008B5">
              <w:t>11063732</w:t>
            </w:r>
          </w:p>
        </w:tc>
      </w:tr>
      <w:tr w:rsidR="003008B5" w:rsidRPr="003008B5" w14:paraId="5B3B2DA5" w14:textId="77777777" w:rsidTr="009D124C">
        <w:tc>
          <w:tcPr>
            <w:tcW w:w="0" w:type="auto"/>
            <w:vAlign w:val="center"/>
            <w:hideMark/>
          </w:tcPr>
          <w:p w14:paraId="3B8A6578" w14:textId="31AE390F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lastRenderedPageBreak/>
              <w:t>Ref#</w:t>
            </w:r>
            <w:r w:rsidR="003008B5" w:rsidRPr="003008B5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7637B0B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Shtilbans</w:t>
            </w:r>
            <w:proofErr w:type="spellEnd"/>
            <w:r w:rsidRPr="003008B5">
              <w:t xml:space="preserve"> A, </w:t>
            </w:r>
            <w:proofErr w:type="spellStart"/>
            <w:r w:rsidRPr="003008B5">
              <w:t>Shanske</w:t>
            </w:r>
            <w:proofErr w:type="spellEnd"/>
            <w:r w:rsidRPr="003008B5">
              <w:t xml:space="preserve"> S, Goodman S, Sue CM, Bruno C, Johnson TL, et al. G8363A mutation in the mitochondrial DNA transfer ribonucleic </w:t>
            </w:r>
            <w:proofErr w:type="spellStart"/>
            <w:r w:rsidRPr="003008B5">
              <w:t>acidLys</w:t>
            </w:r>
            <w:proofErr w:type="spellEnd"/>
            <w:r w:rsidRPr="003008B5">
              <w:t xml:space="preserve"> gene: another cause of Leigh syndrome. J Child Neurol. 2000 Nov;15(11):759-61.</w:t>
            </w:r>
          </w:p>
        </w:tc>
        <w:tc>
          <w:tcPr>
            <w:tcW w:w="0" w:type="auto"/>
            <w:vAlign w:val="center"/>
            <w:hideMark/>
          </w:tcPr>
          <w:p w14:paraId="4E7435A7" w14:textId="77777777" w:rsidR="003008B5" w:rsidRPr="003008B5" w:rsidRDefault="003008B5" w:rsidP="00475D9B">
            <w:pPr>
              <w:pStyle w:val="Tablebody"/>
            </w:pPr>
            <w:r w:rsidRPr="003008B5">
              <w:t>11108511</w:t>
            </w:r>
          </w:p>
        </w:tc>
      </w:tr>
      <w:tr w:rsidR="003008B5" w:rsidRPr="003008B5" w14:paraId="391E41C2" w14:textId="77777777" w:rsidTr="009D124C">
        <w:tc>
          <w:tcPr>
            <w:tcW w:w="0" w:type="auto"/>
            <w:vAlign w:val="center"/>
            <w:hideMark/>
          </w:tcPr>
          <w:p w14:paraId="0852F4F4" w14:textId="2C7A9FC4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8BD83B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Bénit</w:t>
            </w:r>
            <w:proofErr w:type="spellEnd"/>
            <w:r w:rsidRPr="003008B5">
              <w:t xml:space="preserve"> P, </w:t>
            </w:r>
            <w:proofErr w:type="spellStart"/>
            <w:r w:rsidRPr="003008B5">
              <w:t>Slama</w:t>
            </w:r>
            <w:proofErr w:type="spellEnd"/>
            <w:r w:rsidRPr="003008B5">
              <w:t xml:space="preserve"> A, </w:t>
            </w:r>
            <w:proofErr w:type="spellStart"/>
            <w:r w:rsidRPr="003008B5">
              <w:t>Cartault</w:t>
            </w:r>
            <w:proofErr w:type="spellEnd"/>
            <w:r w:rsidRPr="003008B5">
              <w:t xml:space="preserve"> F, </w:t>
            </w:r>
            <w:proofErr w:type="spellStart"/>
            <w:r w:rsidRPr="003008B5">
              <w:t>Giurgea</w:t>
            </w:r>
            <w:proofErr w:type="spellEnd"/>
            <w:r w:rsidRPr="003008B5">
              <w:t xml:space="preserve"> I, Chretien D, Lebon S, et al. Mutant NDUFS3 subunit of mitochondrial complex I causes Leigh syndrome. J Med Genet. 2004 Jan;41(1):14-7.</w:t>
            </w:r>
          </w:p>
        </w:tc>
        <w:tc>
          <w:tcPr>
            <w:tcW w:w="0" w:type="auto"/>
            <w:vAlign w:val="center"/>
            <w:hideMark/>
          </w:tcPr>
          <w:p w14:paraId="1CF333FD" w14:textId="77777777" w:rsidR="003008B5" w:rsidRPr="003008B5" w:rsidRDefault="003008B5" w:rsidP="00475D9B">
            <w:pPr>
              <w:pStyle w:val="Tablebody"/>
            </w:pPr>
            <w:r w:rsidRPr="003008B5">
              <w:t>14729820</w:t>
            </w:r>
          </w:p>
        </w:tc>
      </w:tr>
      <w:tr w:rsidR="003008B5" w:rsidRPr="003008B5" w14:paraId="0EBDA12C" w14:textId="77777777" w:rsidTr="009D124C">
        <w:tc>
          <w:tcPr>
            <w:tcW w:w="0" w:type="auto"/>
            <w:vAlign w:val="center"/>
            <w:hideMark/>
          </w:tcPr>
          <w:p w14:paraId="58CD88F1" w14:textId="774FF30C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00B5ABE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Petruzzella V, Di Giacinto G, Scacco S, Piemonte F, Torraco A, Carrozzo R, et al. </w:t>
            </w:r>
            <w:r w:rsidRPr="003008B5">
              <w:t>Atypical Leigh syndrome associated with the D393N mutation in the mitochondrial ND5 subunit. Neurology. 2003 Oct 14;61(7):1017-8.</w:t>
            </w:r>
          </w:p>
        </w:tc>
        <w:tc>
          <w:tcPr>
            <w:tcW w:w="0" w:type="auto"/>
            <w:vAlign w:val="center"/>
            <w:hideMark/>
          </w:tcPr>
          <w:p w14:paraId="2EA51905" w14:textId="77777777" w:rsidR="003008B5" w:rsidRPr="003008B5" w:rsidRDefault="003008B5" w:rsidP="00475D9B">
            <w:pPr>
              <w:pStyle w:val="Tablebody"/>
            </w:pPr>
            <w:r w:rsidRPr="003008B5">
              <w:t>14557590</w:t>
            </w:r>
          </w:p>
        </w:tc>
      </w:tr>
      <w:tr w:rsidR="003008B5" w:rsidRPr="003008B5" w14:paraId="3A5E0F70" w14:textId="77777777" w:rsidTr="009D124C">
        <w:tc>
          <w:tcPr>
            <w:tcW w:w="0" w:type="auto"/>
            <w:vAlign w:val="center"/>
            <w:hideMark/>
          </w:tcPr>
          <w:p w14:paraId="1BDCCBFC" w14:textId="512C1330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08A4277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Horváth</w:t>
            </w:r>
            <w:proofErr w:type="spellEnd"/>
            <w:r w:rsidRPr="003008B5">
              <w:t xml:space="preserve"> R, </w:t>
            </w:r>
            <w:proofErr w:type="spellStart"/>
            <w:r w:rsidRPr="003008B5">
              <w:t>Abicht</w:t>
            </w:r>
            <w:proofErr w:type="spellEnd"/>
            <w:r w:rsidRPr="003008B5">
              <w:t xml:space="preserve"> A, </w:t>
            </w:r>
            <w:proofErr w:type="spellStart"/>
            <w:r w:rsidRPr="003008B5">
              <w:t>Holinski</w:t>
            </w:r>
            <w:proofErr w:type="spellEnd"/>
            <w:r w:rsidRPr="003008B5">
              <w:t xml:space="preserve">-Feder E, </w:t>
            </w:r>
            <w:proofErr w:type="spellStart"/>
            <w:r w:rsidRPr="003008B5">
              <w:t>Laner</w:t>
            </w:r>
            <w:proofErr w:type="spellEnd"/>
            <w:r w:rsidRPr="003008B5">
              <w:t xml:space="preserve"> A, </w:t>
            </w:r>
            <w:proofErr w:type="spellStart"/>
            <w:r w:rsidRPr="003008B5">
              <w:t>Gempel</w:t>
            </w:r>
            <w:proofErr w:type="spellEnd"/>
            <w:r w:rsidRPr="003008B5">
              <w:t xml:space="preserve"> K, </w:t>
            </w:r>
            <w:proofErr w:type="spellStart"/>
            <w:r w:rsidRPr="003008B5">
              <w:t>Prokisch</w:t>
            </w:r>
            <w:proofErr w:type="spellEnd"/>
            <w:r w:rsidRPr="003008B5">
              <w:t xml:space="preserve"> H, et al. Leigh syndrome caused by mutations in the flavoprotein (</w:t>
            </w:r>
            <w:proofErr w:type="spellStart"/>
            <w:r w:rsidRPr="003008B5">
              <w:t>Fp</w:t>
            </w:r>
            <w:proofErr w:type="spellEnd"/>
            <w:r w:rsidRPr="003008B5">
              <w:t xml:space="preserve">) subunit of succinate dehydrogenase (SDHA). J Neurol </w:t>
            </w:r>
            <w:proofErr w:type="spellStart"/>
            <w:r w:rsidRPr="003008B5">
              <w:t>Neurosurg</w:t>
            </w:r>
            <w:proofErr w:type="spellEnd"/>
            <w:r w:rsidRPr="003008B5">
              <w:t xml:space="preserve"> Psychiatry. 2006 Jan;77(1):74-6.</w:t>
            </w:r>
          </w:p>
        </w:tc>
        <w:tc>
          <w:tcPr>
            <w:tcW w:w="0" w:type="auto"/>
            <w:vAlign w:val="center"/>
            <w:hideMark/>
          </w:tcPr>
          <w:p w14:paraId="53248062" w14:textId="77777777" w:rsidR="003008B5" w:rsidRPr="003008B5" w:rsidRDefault="003008B5" w:rsidP="00475D9B">
            <w:pPr>
              <w:pStyle w:val="Tablebody"/>
            </w:pPr>
            <w:r w:rsidRPr="003008B5">
              <w:t>16361598</w:t>
            </w:r>
          </w:p>
        </w:tc>
      </w:tr>
      <w:tr w:rsidR="003008B5" w:rsidRPr="003008B5" w14:paraId="2665B77F" w14:textId="77777777" w:rsidTr="009D124C">
        <w:tc>
          <w:tcPr>
            <w:tcW w:w="0" w:type="auto"/>
            <w:vAlign w:val="center"/>
            <w:hideMark/>
          </w:tcPr>
          <w:p w14:paraId="458306D7" w14:textId="22E8EDC8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EAA4710" w14:textId="77777777" w:rsidR="003008B5" w:rsidRPr="003008B5" w:rsidRDefault="003008B5" w:rsidP="00475D9B">
            <w:pPr>
              <w:pStyle w:val="Tablebody"/>
            </w:pPr>
            <w:r w:rsidRPr="003008B5">
              <w:t xml:space="preserve">Oquendo CE, </w:t>
            </w:r>
            <w:proofErr w:type="spellStart"/>
            <w:r w:rsidRPr="003008B5">
              <w:t>Antonicka</w:t>
            </w:r>
            <w:proofErr w:type="spellEnd"/>
            <w:r w:rsidRPr="003008B5">
              <w:t xml:space="preserve"> H, </w:t>
            </w:r>
            <w:proofErr w:type="spellStart"/>
            <w:r w:rsidRPr="003008B5">
              <w:t>Shoubridge</w:t>
            </w:r>
            <w:proofErr w:type="spellEnd"/>
            <w:r w:rsidRPr="003008B5">
              <w:t xml:space="preserve"> EA, Reardon W, Brown GK. Functional and genetic studies demonstrate that mutation in the COX15 gene can cause Leigh syndrome. J Med Genet. 2004 Jul;41(7):540-4.</w:t>
            </w:r>
          </w:p>
        </w:tc>
        <w:tc>
          <w:tcPr>
            <w:tcW w:w="0" w:type="auto"/>
            <w:vAlign w:val="center"/>
            <w:hideMark/>
          </w:tcPr>
          <w:p w14:paraId="75750C4C" w14:textId="77777777" w:rsidR="003008B5" w:rsidRPr="003008B5" w:rsidRDefault="003008B5" w:rsidP="00475D9B">
            <w:pPr>
              <w:pStyle w:val="Tablebody"/>
            </w:pPr>
            <w:r w:rsidRPr="003008B5">
              <w:t>15235026</w:t>
            </w:r>
          </w:p>
        </w:tc>
      </w:tr>
      <w:tr w:rsidR="003008B5" w:rsidRPr="003008B5" w14:paraId="6BD535A0" w14:textId="77777777" w:rsidTr="009D124C">
        <w:tc>
          <w:tcPr>
            <w:tcW w:w="0" w:type="auto"/>
            <w:vAlign w:val="center"/>
            <w:hideMark/>
          </w:tcPr>
          <w:p w14:paraId="273D4E97" w14:textId="5CF6E739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5FCCD52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Crimi M, Papadimitriou A, Galbiati S, Palamidou P, Fortunato F, Bordoni A, et al. </w:t>
            </w:r>
            <w:r w:rsidRPr="003008B5">
              <w:t>A new mitochondrial DNA mutation in ND3 gene causing severe Leigh syndrome with early lethality. Pediatr Res. 2004 May;55(5):842-6.</w:t>
            </w:r>
          </w:p>
        </w:tc>
        <w:tc>
          <w:tcPr>
            <w:tcW w:w="0" w:type="auto"/>
            <w:vAlign w:val="center"/>
            <w:hideMark/>
          </w:tcPr>
          <w:p w14:paraId="7E5DB427" w14:textId="77777777" w:rsidR="003008B5" w:rsidRPr="003008B5" w:rsidRDefault="003008B5" w:rsidP="00475D9B">
            <w:pPr>
              <w:pStyle w:val="Tablebody"/>
            </w:pPr>
            <w:r w:rsidRPr="003008B5">
              <w:t>14764913</w:t>
            </w:r>
          </w:p>
        </w:tc>
      </w:tr>
      <w:tr w:rsidR="003008B5" w:rsidRPr="003008B5" w14:paraId="351EB403" w14:textId="77777777" w:rsidTr="009D124C">
        <w:tc>
          <w:tcPr>
            <w:tcW w:w="0" w:type="auto"/>
            <w:vAlign w:val="center"/>
            <w:hideMark/>
          </w:tcPr>
          <w:p w14:paraId="6D7725E5" w14:textId="0711602F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EF5BC41" w14:textId="77777777" w:rsidR="003008B5" w:rsidRPr="003008B5" w:rsidRDefault="003008B5" w:rsidP="00475D9B">
            <w:pPr>
              <w:pStyle w:val="Tablebody"/>
            </w:pPr>
            <w:r w:rsidRPr="003008B5">
              <w:t xml:space="preserve">Schiff M, </w:t>
            </w:r>
            <w:proofErr w:type="spellStart"/>
            <w:r w:rsidRPr="003008B5">
              <w:t>Miné</w:t>
            </w:r>
            <w:proofErr w:type="spellEnd"/>
            <w:r w:rsidRPr="003008B5">
              <w:t xml:space="preserve"> M, </w:t>
            </w:r>
            <w:proofErr w:type="spellStart"/>
            <w:r w:rsidRPr="003008B5">
              <w:t>Brivet</w:t>
            </w:r>
            <w:proofErr w:type="spellEnd"/>
            <w:r w:rsidRPr="003008B5">
              <w:t xml:space="preserve"> M, </w:t>
            </w:r>
            <w:proofErr w:type="spellStart"/>
            <w:r w:rsidRPr="003008B5">
              <w:t>Marsac</w:t>
            </w:r>
            <w:proofErr w:type="spellEnd"/>
            <w:r w:rsidRPr="003008B5">
              <w:t xml:space="preserve"> C, </w:t>
            </w:r>
            <w:proofErr w:type="spellStart"/>
            <w:r w:rsidRPr="003008B5">
              <w:t>Elmaleh-Bergés</w:t>
            </w:r>
            <w:proofErr w:type="spellEnd"/>
            <w:r w:rsidRPr="003008B5">
              <w:t xml:space="preserve"> M, </w:t>
            </w:r>
            <w:proofErr w:type="spellStart"/>
            <w:r w:rsidRPr="003008B5">
              <w:t>Evrard</w:t>
            </w:r>
            <w:proofErr w:type="spellEnd"/>
            <w:r w:rsidRPr="003008B5">
              <w:t xml:space="preserve"> P, et al. Leigh's disease due to a new mutation in the PDHX gene. Ann Neurol. 2006 Apr;59(4):709-14.</w:t>
            </w:r>
          </w:p>
        </w:tc>
        <w:tc>
          <w:tcPr>
            <w:tcW w:w="0" w:type="auto"/>
            <w:vAlign w:val="center"/>
            <w:hideMark/>
          </w:tcPr>
          <w:p w14:paraId="0443B90C" w14:textId="77777777" w:rsidR="003008B5" w:rsidRPr="003008B5" w:rsidRDefault="003008B5" w:rsidP="00475D9B">
            <w:pPr>
              <w:pStyle w:val="Tablebody"/>
            </w:pPr>
            <w:r w:rsidRPr="003008B5">
              <w:t>16566017</w:t>
            </w:r>
          </w:p>
        </w:tc>
      </w:tr>
      <w:tr w:rsidR="003008B5" w:rsidRPr="003008B5" w14:paraId="26048A18" w14:textId="77777777" w:rsidTr="009D124C">
        <w:tc>
          <w:tcPr>
            <w:tcW w:w="0" w:type="auto"/>
            <w:vAlign w:val="center"/>
            <w:hideMark/>
          </w:tcPr>
          <w:p w14:paraId="75ECA8D5" w14:textId="40A3A2D2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315FA1A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Martín MA, Blázquez A, Gutierrez-Solana LG, Fernández-Moreira D, Briones P, Andreu AL, et al. </w:t>
            </w:r>
            <w:r w:rsidRPr="003008B5">
              <w:t>Leigh syndrome associated with mitochondrial complex I deficiency due to a novel mutation in the NDUFS1 gene. Arch Neurol. 2005 Apr;62(4):659-61.</w:t>
            </w:r>
          </w:p>
        </w:tc>
        <w:tc>
          <w:tcPr>
            <w:tcW w:w="0" w:type="auto"/>
            <w:vAlign w:val="center"/>
            <w:hideMark/>
          </w:tcPr>
          <w:p w14:paraId="4D2881B3" w14:textId="77777777" w:rsidR="003008B5" w:rsidRPr="003008B5" w:rsidRDefault="003008B5" w:rsidP="00475D9B">
            <w:pPr>
              <w:pStyle w:val="Tablebody"/>
            </w:pPr>
            <w:r w:rsidRPr="003008B5">
              <w:t>15824269</w:t>
            </w:r>
          </w:p>
        </w:tc>
      </w:tr>
      <w:tr w:rsidR="003008B5" w:rsidRPr="003008B5" w14:paraId="0C23B50D" w14:textId="77777777" w:rsidTr="009D124C">
        <w:tc>
          <w:tcPr>
            <w:tcW w:w="0" w:type="auto"/>
            <w:vAlign w:val="center"/>
            <w:hideMark/>
          </w:tcPr>
          <w:p w14:paraId="17327AEF" w14:textId="60AA3185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6A2EFDB" w14:textId="77777777" w:rsidR="003008B5" w:rsidRPr="003008B5" w:rsidRDefault="003008B5" w:rsidP="00475D9B">
            <w:pPr>
              <w:pStyle w:val="Tablebody"/>
            </w:pPr>
            <w:r w:rsidRPr="003008B5">
              <w:t xml:space="preserve">López LC, </w:t>
            </w:r>
            <w:proofErr w:type="spellStart"/>
            <w:r w:rsidRPr="003008B5">
              <w:t>Schuelke</w:t>
            </w:r>
            <w:proofErr w:type="spellEnd"/>
            <w:r w:rsidRPr="003008B5">
              <w:t xml:space="preserve"> M, </w:t>
            </w:r>
            <w:proofErr w:type="spellStart"/>
            <w:r w:rsidRPr="003008B5">
              <w:t>Quinzii</w:t>
            </w:r>
            <w:proofErr w:type="spellEnd"/>
            <w:r w:rsidRPr="003008B5">
              <w:t xml:space="preserve"> CM, </w:t>
            </w:r>
            <w:proofErr w:type="spellStart"/>
            <w:r w:rsidRPr="003008B5">
              <w:t>Kanki</w:t>
            </w:r>
            <w:proofErr w:type="spellEnd"/>
            <w:r w:rsidRPr="003008B5">
              <w:t xml:space="preserve"> T, </w:t>
            </w:r>
            <w:proofErr w:type="spellStart"/>
            <w:r w:rsidRPr="003008B5">
              <w:t>Rodenburg</w:t>
            </w:r>
            <w:proofErr w:type="spellEnd"/>
            <w:r w:rsidRPr="003008B5">
              <w:t xml:space="preserve"> RJ, Naini A, et al. Leigh syndrome with nephropathy and CoQ10 deficiency due to decaprenyl diphosphate synthase subunit 2 (PDSS2) mutations. Am J Hum Genet. 2006 Dec;79(6):1125-9.</w:t>
            </w:r>
          </w:p>
        </w:tc>
        <w:tc>
          <w:tcPr>
            <w:tcW w:w="0" w:type="auto"/>
            <w:vAlign w:val="center"/>
            <w:hideMark/>
          </w:tcPr>
          <w:p w14:paraId="33D84D8C" w14:textId="77777777" w:rsidR="003008B5" w:rsidRPr="003008B5" w:rsidRDefault="003008B5" w:rsidP="00475D9B">
            <w:pPr>
              <w:pStyle w:val="Tablebody"/>
            </w:pPr>
            <w:r w:rsidRPr="003008B5">
              <w:t>17186472</w:t>
            </w:r>
          </w:p>
        </w:tc>
      </w:tr>
      <w:tr w:rsidR="003008B5" w:rsidRPr="003008B5" w14:paraId="447D7A6F" w14:textId="77777777" w:rsidTr="009D124C">
        <w:tc>
          <w:tcPr>
            <w:tcW w:w="0" w:type="auto"/>
            <w:vAlign w:val="center"/>
            <w:hideMark/>
          </w:tcPr>
          <w:p w14:paraId="50E5683F" w14:textId="7C3AB658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BDD1F64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Ugalde C, Hinttala R, Timal S, Smeets R, Rodenburg RJ, Uusimaa J, et al. </w:t>
            </w:r>
            <w:r w:rsidRPr="003008B5">
              <w:t>Mutated ND2 impairs mitochondrial complex I assembly and leads to Leigh syndrome. Mol Genet Metab. 2007 Jan;90(1):10-4.</w:t>
            </w:r>
          </w:p>
        </w:tc>
        <w:tc>
          <w:tcPr>
            <w:tcW w:w="0" w:type="auto"/>
            <w:vAlign w:val="center"/>
            <w:hideMark/>
          </w:tcPr>
          <w:p w14:paraId="3D0A0563" w14:textId="77777777" w:rsidR="003008B5" w:rsidRPr="003008B5" w:rsidRDefault="003008B5" w:rsidP="00475D9B">
            <w:pPr>
              <w:pStyle w:val="Tablebody"/>
            </w:pPr>
            <w:r w:rsidRPr="003008B5">
              <w:t>16996290</w:t>
            </w:r>
          </w:p>
        </w:tc>
      </w:tr>
      <w:tr w:rsidR="003008B5" w:rsidRPr="003008B5" w14:paraId="26F5D684" w14:textId="77777777" w:rsidTr="009D124C">
        <w:tc>
          <w:tcPr>
            <w:tcW w:w="0" w:type="auto"/>
            <w:vAlign w:val="center"/>
            <w:hideMark/>
          </w:tcPr>
          <w:p w14:paraId="1CCEDB81" w14:textId="28D9ECAF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6C79BE9" w14:textId="77777777" w:rsidR="003008B5" w:rsidRPr="003008B5" w:rsidRDefault="003008B5" w:rsidP="00475D9B">
            <w:pPr>
              <w:pStyle w:val="Tablebody"/>
            </w:pPr>
            <w:r w:rsidRPr="003008B5">
              <w:t xml:space="preserve">Ugalde C, </w:t>
            </w:r>
            <w:proofErr w:type="spellStart"/>
            <w:r w:rsidRPr="003008B5">
              <w:t>Triepels</w:t>
            </w:r>
            <w:proofErr w:type="spellEnd"/>
            <w:r w:rsidRPr="003008B5">
              <w:t xml:space="preserve"> RH, </w:t>
            </w:r>
            <w:proofErr w:type="spellStart"/>
            <w:r w:rsidRPr="003008B5">
              <w:t>Coenen</w:t>
            </w:r>
            <w:proofErr w:type="spellEnd"/>
            <w:r w:rsidRPr="003008B5">
              <w:t xml:space="preserve"> MJ, van den Heuvel LP, Smeets R, Uusimaa J, et al. Impaired complex I assembly in a Leigh syndrome patient with a novel missense mutation in the ND6 gene. Ann Neurol. 2003 Nov;54(5):665-9.</w:t>
            </w:r>
          </w:p>
        </w:tc>
        <w:tc>
          <w:tcPr>
            <w:tcW w:w="0" w:type="auto"/>
            <w:vAlign w:val="center"/>
            <w:hideMark/>
          </w:tcPr>
          <w:p w14:paraId="72B50E63" w14:textId="77777777" w:rsidR="003008B5" w:rsidRPr="003008B5" w:rsidRDefault="003008B5" w:rsidP="00475D9B">
            <w:pPr>
              <w:pStyle w:val="Tablebody"/>
            </w:pPr>
            <w:r w:rsidRPr="003008B5">
              <w:t>14595656</w:t>
            </w:r>
          </w:p>
        </w:tc>
      </w:tr>
      <w:tr w:rsidR="003008B5" w:rsidRPr="003008B5" w14:paraId="0F04E993" w14:textId="77777777" w:rsidTr="009D124C">
        <w:tc>
          <w:tcPr>
            <w:tcW w:w="0" w:type="auto"/>
            <w:vAlign w:val="center"/>
            <w:hideMark/>
          </w:tcPr>
          <w:p w14:paraId="403344D1" w14:textId="4B59C539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9E3EEFB" w14:textId="77777777" w:rsidR="003008B5" w:rsidRPr="003008B5" w:rsidRDefault="003008B5" w:rsidP="00475D9B">
            <w:pPr>
              <w:pStyle w:val="Tablebody"/>
            </w:pPr>
            <w:r w:rsidRPr="003008B5">
              <w:t>Laugel V, This-Bernd V, Cormier-Daire V, Speeg-Schatz C, de Saint-Martin A, Fischbach M. Early-onset ophthalmoplegia in Leigh-like syndrome due to NDUFV1 mutations. Pediatr Neurol. 2007 Jan;36(1):54-7.</w:t>
            </w:r>
          </w:p>
        </w:tc>
        <w:tc>
          <w:tcPr>
            <w:tcW w:w="0" w:type="auto"/>
            <w:vAlign w:val="center"/>
            <w:hideMark/>
          </w:tcPr>
          <w:p w14:paraId="0853B9A0" w14:textId="77777777" w:rsidR="003008B5" w:rsidRPr="003008B5" w:rsidRDefault="003008B5" w:rsidP="00475D9B">
            <w:pPr>
              <w:pStyle w:val="Tablebody"/>
            </w:pPr>
            <w:r w:rsidRPr="003008B5">
              <w:t>17162199</w:t>
            </w:r>
          </w:p>
        </w:tc>
      </w:tr>
      <w:tr w:rsidR="003008B5" w:rsidRPr="003008B5" w14:paraId="532B81BD" w14:textId="77777777" w:rsidTr="009D124C">
        <w:tc>
          <w:tcPr>
            <w:tcW w:w="0" w:type="auto"/>
            <w:vAlign w:val="center"/>
            <w:hideMark/>
          </w:tcPr>
          <w:p w14:paraId="4A815397" w14:textId="4DEFF8C4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E70A19E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Carrozzo R, Dionisi-Vici C, Steuerwald U, Lucioli S, Deodato F, Di Giandomenico S, et al. </w:t>
            </w:r>
            <w:r w:rsidRPr="003008B5">
              <w:t xml:space="preserve">SUCLA2 mutations are associated with mild methylmalonic aciduria, Leigh-like </w:t>
            </w:r>
            <w:proofErr w:type="spellStart"/>
            <w:r w:rsidRPr="003008B5">
              <w:t>encephalomyopathy</w:t>
            </w:r>
            <w:proofErr w:type="spellEnd"/>
            <w:r w:rsidRPr="003008B5">
              <w:t>, dystonia and deafness. Brain. 2007 Mar;130(Pt 3):862-74.</w:t>
            </w:r>
          </w:p>
        </w:tc>
        <w:tc>
          <w:tcPr>
            <w:tcW w:w="0" w:type="auto"/>
            <w:vAlign w:val="center"/>
            <w:hideMark/>
          </w:tcPr>
          <w:p w14:paraId="21F51B78" w14:textId="77777777" w:rsidR="003008B5" w:rsidRPr="003008B5" w:rsidRDefault="003008B5" w:rsidP="00475D9B">
            <w:pPr>
              <w:pStyle w:val="Tablebody"/>
            </w:pPr>
            <w:r w:rsidRPr="003008B5">
              <w:t>17301081</w:t>
            </w:r>
          </w:p>
        </w:tc>
      </w:tr>
      <w:tr w:rsidR="003008B5" w:rsidRPr="003008B5" w14:paraId="4698B279" w14:textId="77777777" w:rsidTr="009D124C">
        <w:tc>
          <w:tcPr>
            <w:tcW w:w="0" w:type="auto"/>
            <w:vAlign w:val="center"/>
            <w:hideMark/>
          </w:tcPr>
          <w:p w14:paraId="471D23E0" w14:textId="0A2767F9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3F617A6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Hoefs</w:t>
            </w:r>
            <w:proofErr w:type="spellEnd"/>
            <w:r w:rsidRPr="003008B5">
              <w:t xml:space="preserve"> SJ, </w:t>
            </w:r>
            <w:proofErr w:type="spellStart"/>
            <w:r w:rsidRPr="003008B5">
              <w:t>Dieteren</w:t>
            </w:r>
            <w:proofErr w:type="spellEnd"/>
            <w:r w:rsidRPr="003008B5">
              <w:t xml:space="preserve"> CE, </w:t>
            </w:r>
            <w:proofErr w:type="spellStart"/>
            <w:r w:rsidRPr="003008B5">
              <w:t>Distelmaier</w:t>
            </w:r>
            <w:proofErr w:type="spellEnd"/>
            <w:r w:rsidRPr="003008B5">
              <w:t xml:space="preserve"> F, Janssen RJ, </w:t>
            </w:r>
            <w:proofErr w:type="spellStart"/>
            <w:r w:rsidRPr="003008B5">
              <w:t>Epplen</w:t>
            </w:r>
            <w:proofErr w:type="spellEnd"/>
            <w:r w:rsidRPr="003008B5">
              <w:t xml:space="preserve"> A, Swarts HG, et al. NDUFA2 complex I mutation leads to Leigh disease. Am J Hum Genet. 2008 Jun;82(6):1306-15.</w:t>
            </w:r>
          </w:p>
        </w:tc>
        <w:tc>
          <w:tcPr>
            <w:tcW w:w="0" w:type="auto"/>
            <w:vAlign w:val="center"/>
            <w:hideMark/>
          </w:tcPr>
          <w:p w14:paraId="52F61BE3" w14:textId="77777777" w:rsidR="003008B5" w:rsidRPr="003008B5" w:rsidRDefault="003008B5" w:rsidP="00475D9B">
            <w:pPr>
              <w:pStyle w:val="Tablebody"/>
            </w:pPr>
            <w:r w:rsidRPr="003008B5">
              <w:t>18513682</w:t>
            </w:r>
          </w:p>
        </w:tc>
      </w:tr>
      <w:tr w:rsidR="003008B5" w:rsidRPr="003008B5" w14:paraId="1AD3F995" w14:textId="77777777" w:rsidTr="009D124C">
        <w:tc>
          <w:tcPr>
            <w:tcW w:w="0" w:type="auto"/>
            <w:vAlign w:val="center"/>
            <w:hideMark/>
          </w:tcPr>
          <w:p w14:paraId="6B03B215" w14:textId="24CC7D19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7D3BF93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Weraarpachai</w:t>
            </w:r>
            <w:proofErr w:type="spellEnd"/>
            <w:r w:rsidRPr="003008B5">
              <w:t xml:space="preserve"> W, </w:t>
            </w:r>
            <w:proofErr w:type="spellStart"/>
            <w:r w:rsidRPr="003008B5">
              <w:t>Antonicka</w:t>
            </w:r>
            <w:proofErr w:type="spellEnd"/>
            <w:r w:rsidRPr="003008B5">
              <w:t xml:space="preserve"> H, </w:t>
            </w:r>
            <w:proofErr w:type="spellStart"/>
            <w:r w:rsidRPr="003008B5">
              <w:t>Sasarman</w:t>
            </w:r>
            <w:proofErr w:type="spellEnd"/>
            <w:r w:rsidRPr="003008B5">
              <w:t xml:space="preserve"> F, Seeger J, Schrank B, Kolesar JE, et al. Mutation in TACO1, encoding a translational activator of COX I, results in cytochrome c oxidase deficiency and late-onset Leigh syndrome. Nat Genet. 2009 Jul;41(7):833-7.</w:t>
            </w:r>
          </w:p>
        </w:tc>
        <w:tc>
          <w:tcPr>
            <w:tcW w:w="0" w:type="auto"/>
            <w:vAlign w:val="center"/>
            <w:hideMark/>
          </w:tcPr>
          <w:p w14:paraId="61692C43" w14:textId="77777777" w:rsidR="003008B5" w:rsidRPr="003008B5" w:rsidRDefault="003008B5" w:rsidP="00475D9B">
            <w:pPr>
              <w:pStyle w:val="Tablebody"/>
            </w:pPr>
            <w:r w:rsidRPr="003008B5">
              <w:t>19503089</w:t>
            </w:r>
          </w:p>
        </w:tc>
      </w:tr>
      <w:tr w:rsidR="003008B5" w:rsidRPr="003008B5" w14:paraId="7A3E0857" w14:textId="77777777" w:rsidTr="009D124C">
        <w:tc>
          <w:tcPr>
            <w:tcW w:w="0" w:type="auto"/>
            <w:vAlign w:val="center"/>
            <w:hideMark/>
          </w:tcPr>
          <w:p w14:paraId="511A8A8A" w14:textId="53E7E00D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241BFEE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Quintana E, Mayr JA, García Silva MT, Font A, Tortoledo MA, Moliner S, et al. </w:t>
            </w:r>
            <w:r w:rsidRPr="003008B5">
              <w:t xml:space="preserve">PDH E1β deficiency with novel mutations in two patients with Leigh syndrome. J Inherit </w:t>
            </w:r>
            <w:proofErr w:type="spellStart"/>
            <w:r w:rsidRPr="003008B5">
              <w:t>Metab</w:t>
            </w:r>
            <w:proofErr w:type="spellEnd"/>
            <w:r w:rsidRPr="003008B5">
              <w:t xml:space="preserve"> Dis. 2009 Dec;32 Suppl </w:t>
            </w:r>
            <w:proofErr w:type="gramStart"/>
            <w:r w:rsidRPr="003008B5">
              <w:t>1:S</w:t>
            </w:r>
            <w:proofErr w:type="gramEnd"/>
            <w:r w:rsidRPr="003008B5">
              <w:t>339-43.</w:t>
            </w:r>
          </w:p>
        </w:tc>
        <w:tc>
          <w:tcPr>
            <w:tcW w:w="0" w:type="auto"/>
            <w:vAlign w:val="center"/>
            <w:hideMark/>
          </w:tcPr>
          <w:p w14:paraId="2F6CC13D" w14:textId="77777777" w:rsidR="003008B5" w:rsidRPr="003008B5" w:rsidRDefault="003008B5" w:rsidP="00475D9B">
            <w:pPr>
              <w:pStyle w:val="Tablebody"/>
            </w:pPr>
            <w:r w:rsidRPr="003008B5">
              <w:t>19924563</w:t>
            </w:r>
          </w:p>
        </w:tc>
      </w:tr>
      <w:tr w:rsidR="003008B5" w:rsidRPr="003008B5" w14:paraId="4BF80D11" w14:textId="77777777" w:rsidTr="009D124C">
        <w:tc>
          <w:tcPr>
            <w:tcW w:w="0" w:type="auto"/>
            <w:vAlign w:val="center"/>
            <w:hideMark/>
          </w:tcPr>
          <w:p w14:paraId="38D2F7E1" w14:textId="018B46DE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07C3966" w14:textId="77777777" w:rsidR="003008B5" w:rsidRPr="003008B5" w:rsidRDefault="003008B5" w:rsidP="00475D9B">
            <w:pPr>
              <w:pStyle w:val="Tablebody"/>
            </w:pPr>
            <w:r w:rsidRPr="003008B5">
              <w:t xml:space="preserve">Gerards M, Sluiter W, van den Bosch BJ, de Wit LE, </w:t>
            </w:r>
            <w:proofErr w:type="spellStart"/>
            <w:r w:rsidRPr="003008B5">
              <w:t>Calis</w:t>
            </w:r>
            <w:proofErr w:type="spellEnd"/>
            <w:r w:rsidRPr="003008B5">
              <w:t xml:space="preserve"> CM, </w:t>
            </w:r>
            <w:proofErr w:type="spellStart"/>
            <w:r w:rsidRPr="003008B5">
              <w:t>Frentzen</w:t>
            </w:r>
            <w:proofErr w:type="spellEnd"/>
            <w:r w:rsidRPr="003008B5">
              <w:t xml:space="preserve"> M, et al. Defective complex I assembly due to C20orf7 mutations as a new cause of Leigh syndrome. J Med Genet. 2010 Aug;47(8):507-12.</w:t>
            </w:r>
          </w:p>
        </w:tc>
        <w:tc>
          <w:tcPr>
            <w:tcW w:w="0" w:type="auto"/>
            <w:vAlign w:val="center"/>
            <w:hideMark/>
          </w:tcPr>
          <w:p w14:paraId="08B2BC8C" w14:textId="77777777" w:rsidR="003008B5" w:rsidRPr="003008B5" w:rsidRDefault="003008B5" w:rsidP="00475D9B">
            <w:pPr>
              <w:pStyle w:val="Tablebody"/>
            </w:pPr>
            <w:r w:rsidRPr="003008B5">
              <w:t>19542079</w:t>
            </w:r>
          </w:p>
        </w:tc>
      </w:tr>
      <w:tr w:rsidR="003008B5" w:rsidRPr="003008B5" w14:paraId="6A529B28" w14:textId="77777777" w:rsidTr="009D124C">
        <w:tc>
          <w:tcPr>
            <w:tcW w:w="0" w:type="auto"/>
            <w:vAlign w:val="center"/>
            <w:hideMark/>
          </w:tcPr>
          <w:p w14:paraId="061A2696" w14:textId="572A5497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4470110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Mkaouar-Rebai</w:t>
            </w:r>
            <w:proofErr w:type="spellEnd"/>
            <w:r w:rsidRPr="003008B5">
              <w:t xml:space="preserve"> E, </w:t>
            </w:r>
            <w:proofErr w:type="spellStart"/>
            <w:r w:rsidRPr="003008B5">
              <w:t>Chamkha</w:t>
            </w:r>
            <w:proofErr w:type="spellEnd"/>
            <w:r w:rsidRPr="003008B5">
              <w:t xml:space="preserve"> I, </w:t>
            </w:r>
            <w:proofErr w:type="spellStart"/>
            <w:r w:rsidRPr="003008B5">
              <w:t>Kammoun</w:t>
            </w:r>
            <w:proofErr w:type="spellEnd"/>
            <w:r w:rsidRPr="003008B5">
              <w:t xml:space="preserve"> F, </w:t>
            </w:r>
            <w:proofErr w:type="spellStart"/>
            <w:r w:rsidRPr="003008B5">
              <w:t>Kammoun</w:t>
            </w:r>
            <w:proofErr w:type="spellEnd"/>
            <w:r w:rsidRPr="003008B5">
              <w:t xml:space="preserve"> T, </w:t>
            </w:r>
            <w:proofErr w:type="spellStart"/>
            <w:r w:rsidRPr="003008B5">
              <w:t>Aloulou</w:t>
            </w:r>
            <w:proofErr w:type="spellEnd"/>
            <w:r w:rsidRPr="003008B5">
              <w:t xml:space="preserve"> H, </w:t>
            </w:r>
            <w:proofErr w:type="spellStart"/>
            <w:r w:rsidRPr="003008B5">
              <w:t>Hachicha</w:t>
            </w:r>
            <w:proofErr w:type="spellEnd"/>
            <w:r w:rsidRPr="003008B5">
              <w:t xml:space="preserve"> M, et al. </w:t>
            </w:r>
            <w:r w:rsidRPr="003008B5">
              <w:lastRenderedPageBreak/>
              <w:t xml:space="preserve">Two new mutations in the MT-TW gene leading to the disruption of the secondary structure of the </w:t>
            </w:r>
            <w:proofErr w:type="gramStart"/>
            <w:r w:rsidRPr="003008B5">
              <w:t>tRNA(</w:t>
            </w:r>
            <w:proofErr w:type="spellStart"/>
            <w:proofErr w:type="gramEnd"/>
            <w:r w:rsidRPr="003008B5">
              <w:t>Trp</w:t>
            </w:r>
            <w:proofErr w:type="spellEnd"/>
            <w:r w:rsidRPr="003008B5">
              <w:t>) in patients with Leigh syndrome. Mol Genet Metab. 2009 Jul;97(3):179-84.</w:t>
            </w:r>
          </w:p>
        </w:tc>
        <w:tc>
          <w:tcPr>
            <w:tcW w:w="0" w:type="auto"/>
            <w:vAlign w:val="center"/>
            <w:hideMark/>
          </w:tcPr>
          <w:p w14:paraId="2300A1F9" w14:textId="77777777" w:rsidR="003008B5" w:rsidRPr="003008B5" w:rsidRDefault="003008B5" w:rsidP="00475D9B">
            <w:pPr>
              <w:pStyle w:val="Tablebody"/>
            </w:pPr>
            <w:r w:rsidRPr="003008B5">
              <w:lastRenderedPageBreak/>
              <w:t>19349200</w:t>
            </w:r>
          </w:p>
        </w:tc>
      </w:tr>
      <w:tr w:rsidR="003008B5" w:rsidRPr="003008B5" w14:paraId="2CD90DD7" w14:textId="77777777" w:rsidTr="009D124C">
        <w:tc>
          <w:tcPr>
            <w:tcW w:w="0" w:type="auto"/>
            <w:vAlign w:val="center"/>
            <w:hideMark/>
          </w:tcPr>
          <w:p w14:paraId="7E17353B" w14:textId="0DFC0990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B620142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Hoefs</w:t>
            </w:r>
            <w:proofErr w:type="spellEnd"/>
            <w:r w:rsidRPr="003008B5">
              <w:t xml:space="preserve"> SJ, van </w:t>
            </w:r>
            <w:proofErr w:type="spellStart"/>
            <w:r w:rsidRPr="003008B5">
              <w:t>Spronsen</w:t>
            </w:r>
            <w:proofErr w:type="spellEnd"/>
            <w:r w:rsidRPr="003008B5">
              <w:t xml:space="preserve"> FJ, </w:t>
            </w:r>
            <w:proofErr w:type="spellStart"/>
            <w:r w:rsidRPr="003008B5">
              <w:t>Lenssen</w:t>
            </w:r>
            <w:proofErr w:type="spellEnd"/>
            <w:r w:rsidRPr="003008B5">
              <w:t xml:space="preserve"> EW, </w:t>
            </w:r>
            <w:proofErr w:type="spellStart"/>
            <w:r w:rsidRPr="003008B5">
              <w:t>Nijtmans</w:t>
            </w:r>
            <w:proofErr w:type="spellEnd"/>
            <w:r w:rsidRPr="003008B5">
              <w:t xml:space="preserve"> LG, </w:t>
            </w:r>
            <w:proofErr w:type="spellStart"/>
            <w:r w:rsidRPr="003008B5">
              <w:t>Rodenburg</w:t>
            </w:r>
            <w:proofErr w:type="spellEnd"/>
            <w:r w:rsidRPr="003008B5">
              <w:t xml:space="preserve"> RJ, </w:t>
            </w:r>
            <w:proofErr w:type="spellStart"/>
            <w:r w:rsidRPr="003008B5">
              <w:t>Smeitink</w:t>
            </w:r>
            <w:proofErr w:type="spellEnd"/>
            <w:r w:rsidRPr="003008B5">
              <w:t xml:space="preserve"> JA, et al. NDUFA10 mutations cause complex I deficiency in a patient with Leigh disease. Eur J Hum Genet. 2011 Mar;19(3):270-4.</w:t>
            </w:r>
          </w:p>
        </w:tc>
        <w:tc>
          <w:tcPr>
            <w:tcW w:w="0" w:type="auto"/>
            <w:vAlign w:val="center"/>
            <w:hideMark/>
          </w:tcPr>
          <w:p w14:paraId="59D71F4F" w14:textId="77777777" w:rsidR="003008B5" w:rsidRPr="003008B5" w:rsidRDefault="003008B5" w:rsidP="00475D9B">
            <w:pPr>
              <w:pStyle w:val="Tablebody"/>
            </w:pPr>
            <w:r w:rsidRPr="003008B5">
              <w:t>21150889</w:t>
            </w:r>
          </w:p>
        </w:tc>
      </w:tr>
      <w:tr w:rsidR="003008B5" w:rsidRPr="003008B5" w14:paraId="4436F2E1" w14:textId="77777777" w:rsidTr="009D124C">
        <w:tc>
          <w:tcPr>
            <w:tcW w:w="0" w:type="auto"/>
            <w:vAlign w:val="center"/>
            <w:hideMark/>
          </w:tcPr>
          <w:p w14:paraId="1DF4B96A" w14:textId="19079D0D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079D5D9" w14:textId="77777777" w:rsidR="003008B5" w:rsidRPr="003008B5" w:rsidRDefault="003008B5" w:rsidP="00475D9B">
            <w:pPr>
              <w:pStyle w:val="Tablebody"/>
            </w:pPr>
            <w:r w:rsidRPr="003008B5">
              <w:t xml:space="preserve">Ostergaard E, Rodenburg RJ, van den Brand M, Thomsen LL, </w:t>
            </w:r>
            <w:proofErr w:type="spellStart"/>
            <w:r w:rsidRPr="003008B5">
              <w:t>Duno</w:t>
            </w:r>
            <w:proofErr w:type="spellEnd"/>
            <w:r w:rsidRPr="003008B5">
              <w:t xml:space="preserve"> M, </w:t>
            </w:r>
            <w:proofErr w:type="spellStart"/>
            <w:r w:rsidRPr="003008B5">
              <w:t>Batbayli</w:t>
            </w:r>
            <w:proofErr w:type="spellEnd"/>
            <w:r w:rsidRPr="003008B5">
              <w:t xml:space="preserve"> M, et al. Respiratory chain complex I deficiency due to NDUFA12 mutations as a new cause of Leigh syndrome. J Med Genet. 2011 Nov;48(11):737-40.</w:t>
            </w:r>
          </w:p>
        </w:tc>
        <w:tc>
          <w:tcPr>
            <w:tcW w:w="0" w:type="auto"/>
            <w:vAlign w:val="center"/>
            <w:hideMark/>
          </w:tcPr>
          <w:p w14:paraId="6D0DC477" w14:textId="77777777" w:rsidR="003008B5" w:rsidRPr="003008B5" w:rsidRDefault="003008B5" w:rsidP="00475D9B">
            <w:pPr>
              <w:pStyle w:val="Tablebody"/>
            </w:pPr>
            <w:r w:rsidRPr="003008B5">
              <w:t>21617257</w:t>
            </w:r>
          </w:p>
        </w:tc>
      </w:tr>
      <w:tr w:rsidR="003008B5" w:rsidRPr="003008B5" w14:paraId="7EEA11A7" w14:textId="77777777" w:rsidTr="009D124C">
        <w:tc>
          <w:tcPr>
            <w:tcW w:w="0" w:type="auto"/>
            <w:vAlign w:val="center"/>
            <w:hideMark/>
          </w:tcPr>
          <w:p w14:paraId="0B108014" w14:textId="5420B6FD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30E26AE" w14:textId="77777777" w:rsidR="003008B5" w:rsidRPr="003008B5" w:rsidRDefault="003008B5" w:rsidP="00475D9B">
            <w:pPr>
              <w:pStyle w:val="Tablebody"/>
            </w:pPr>
            <w:r w:rsidRPr="003008B5">
              <w:t>Cox R, Platt J, Chen LC, Tang S, Wong LJ, Enns GM. Leigh syndrome caused by a novel m.4296G&gt;A mutation in mitochondrial tRNA isoleucine. Mitochondrion. 2012 Mar;12(2):258-61.</w:t>
            </w:r>
          </w:p>
        </w:tc>
        <w:tc>
          <w:tcPr>
            <w:tcW w:w="0" w:type="auto"/>
            <w:vAlign w:val="center"/>
            <w:hideMark/>
          </w:tcPr>
          <w:p w14:paraId="20EEA985" w14:textId="77777777" w:rsidR="003008B5" w:rsidRPr="003008B5" w:rsidRDefault="003008B5" w:rsidP="00475D9B">
            <w:pPr>
              <w:pStyle w:val="Tablebody"/>
            </w:pPr>
            <w:r w:rsidRPr="003008B5">
              <w:t>21982779</w:t>
            </w:r>
          </w:p>
        </w:tc>
      </w:tr>
      <w:tr w:rsidR="003008B5" w:rsidRPr="003008B5" w14:paraId="5C62CDB1" w14:textId="77777777" w:rsidTr="009D124C">
        <w:tc>
          <w:tcPr>
            <w:tcW w:w="0" w:type="auto"/>
            <w:vAlign w:val="center"/>
            <w:hideMark/>
          </w:tcPr>
          <w:p w14:paraId="74B438AA" w14:textId="0618FBC1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0EEBB7B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Soreze</w:t>
            </w:r>
            <w:proofErr w:type="spellEnd"/>
            <w:r w:rsidRPr="003008B5">
              <w:t xml:space="preserve"> Y, </w:t>
            </w:r>
            <w:proofErr w:type="spellStart"/>
            <w:r w:rsidRPr="003008B5">
              <w:t>Boutron</w:t>
            </w:r>
            <w:proofErr w:type="spellEnd"/>
            <w:r w:rsidRPr="003008B5">
              <w:t xml:space="preserve"> A, </w:t>
            </w:r>
            <w:proofErr w:type="spellStart"/>
            <w:r w:rsidRPr="003008B5">
              <w:t>Habarou</w:t>
            </w:r>
            <w:proofErr w:type="spellEnd"/>
            <w:r w:rsidRPr="003008B5">
              <w:t xml:space="preserve"> F, </w:t>
            </w:r>
            <w:proofErr w:type="spellStart"/>
            <w:r w:rsidRPr="003008B5">
              <w:t>Barnerias</w:t>
            </w:r>
            <w:proofErr w:type="spellEnd"/>
            <w:r w:rsidRPr="003008B5">
              <w:t xml:space="preserve"> C, Nonnenmacher L, Delpech H, et al. Mutations in human </w:t>
            </w:r>
            <w:proofErr w:type="spellStart"/>
            <w:r w:rsidRPr="003008B5">
              <w:t>lipoyltransferase</w:t>
            </w:r>
            <w:proofErr w:type="spellEnd"/>
            <w:r w:rsidRPr="003008B5">
              <w:t xml:space="preserve"> gene LIPT1 cause a Leigh disease with secondary deficiency for pyruvate and alpha-ketoglutarate dehydrogenase. Orphanet J Rare Dis. 2013 Dec </w:t>
            </w:r>
            <w:proofErr w:type="gramStart"/>
            <w:r w:rsidRPr="003008B5">
              <w:t>17;8:192</w:t>
            </w:r>
            <w:proofErr w:type="gramEnd"/>
            <w:r w:rsidRPr="003008B5">
              <w:t>.</w:t>
            </w:r>
          </w:p>
        </w:tc>
        <w:tc>
          <w:tcPr>
            <w:tcW w:w="0" w:type="auto"/>
            <w:vAlign w:val="center"/>
            <w:hideMark/>
          </w:tcPr>
          <w:p w14:paraId="219B42EA" w14:textId="77777777" w:rsidR="003008B5" w:rsidRPr="003008B5" w:rsidRDefault="003008B5" w:rsidP="00475D9B">
            <w:pPr>
              <w:pStyle w:val="Tablebody"/>
            </w:pPr>
            <w:r w:rsidRPr="003008B5">
              <w:t>24341803</w:t>
            </w:r>
          </w:p>
        </w:tc>
      </w:tr>
      <w:tr w:rsidR="003008B5" w:rsidRPr="003008B5" w14:paraId="36A07DD7" w14:textId="77777777" w:rsidTr="009D124C">
        <w:tc>
          <w:tcPr>
            <w:tcW w:w="0" w:type="auto"/>
            <w:vAlign w:val="center"/>
            <w:hideMark/>
          </w:tcPr>
          <w:p w14:paraId="5579F277" w14:textId="077EC78D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257A00A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Imagawa E, Osaka H, Yamashita A, Shiina M, Takahashi E, Sugie H, et al. </w:t>
            </w:r>
            <w:r w:rsidRPr="003008B5">
              <w:t>A hemizygous GYG2 mutation and Leigh syndrome: a possible link? Hum Genet. 2014 Feb;133(2):225-34.</w:t>
            </w:r>
          </w:p>
        </w:tc>
        <w:tc>
          <w:tcPr>
            <w:tcW w:w="0" w:type="auto"/>
            <w:vAlign w:val="center"/>
            <w:hideMark/>
          </w:tcPr>
          <w:p w14:paraId="36A36D2F" w14:textId="77777777" w:rsidR="003008B5" w:rsidRPr="003008B5" w:rsidRDefault="003008B5" w:rsidP="00475D9B">
            <w:pPr>
              <w:pStyle w:val="Tablebody"/>
            </w:pPr>
            <w:r w:rsidRPr="003008B5">
              <w:t>24100632</w:t>
            </w:r>
          </w:p>
        </w:tc>
      </w:tr>
      <w:tr w:rsidR="003008B5" w:rsidRPr="003008B5" w14:paraId="67A3695E" w14:textId="77777777" w:rsidTr="009D124C">
        <w:tc>
          <w:tcPr>
            <w:tcW w:w="0" w:type="auto"/>
            <w:vAlign w:val="center"/>
            <w:hideMark/>
          </w:tcPr>
          <w:p w14:paraId="46086BCF" w14:textId="25BA14B0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C1CC1B6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Ahola S, Isohanni P, Euro L, Brilhante V, Palotie A, Pihko H, et al. </w:t>
            </w:r>
            <w:r w:rsidRPr="003008B5">
              <w:t>Mitochondrial EFTs defects in juvenile-onset Leigh disease, ataxia, neuropathy, and optic atrophy. Neurology. 2014 Aug 19;83(8):743-51.</w:t>
            </w:r>
          </w:p>
        </w:tc>
        <w:tc>
          <w:tcPr>
            <w:tcW w:w="0" w:type="auto"/>
            <w:vAlign w:val="center"/>
            <w:hideMark/>
          </w:tcPr>
          <w:p w14:paraId="064030F9" w14:textId="77777777" w:rsidR="003008B5" w:rsidRPr="003008B5" w:rsidRDefault="003008B5" w:rsidP="00475D9B">
            <w:pPr>
              <w:pStyle w:val="Tablebody"/>
            </w:pPr>
            <w:r w:rsidRPr="003008B5">
              <w:t>25037205</w:t>
            </w:r>
          </w:p>
        </w:tc>
      </w:tr>
      <w:tr w:rsidR="003008B5" w:rsidRPr="003008B5" w14:paraId="373495CB" w14:textId="77777777" w:rsidTr="009D124C">
        <w:tc>
          <w:tcPr>
            <w:tcW w:w="0" w:type="auto"/>
            <w:vAlign w:val="center"/>
            <w:hideMark/>
          </w:tcPr>
          <w:p w14:paraId="030E1BBC" w14:textId="6EB85AB5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F4AB3F1" w14:textId="77777777" w:rsidR="003008B5" w:rsidRPr="003008B5" w:rsidRDefault="003008B5" w:rsidP="00475D9B">
            <w:pPr>
              <w:pStyle w:val="Tablebody"/>
            </w:pPr>
            <w:r w:rsidRPr="003008B5">
              <w:t xml:space="preserve">Lim SC, Smith KR, Stroud DA, Compton AG, Tucker EJ, </w:t>
            </w:r>
            <w:proofErr w:type="spellStart"/>
            <w:r w:rsidRPr="003008B5">
              <w:t>Dasvarma</w:t>
            </w:r>
            <w:proofErr w:type="spellEnd"/>
            <w:r w:rsidRPr="003008B5">
              <w:t xml:space="preserve"> A, et al. A founder mutation in PET100 causes isolated complex IV deficiency in Lebanese individuals with Leigh syndrome. Am J Hum Genet. 2014 Feb 6;94(2):209-22.</w:t>
            </w:r>
          </w:p>
        </w:tc>
        <w:tc>
          <w:tcPr>
            <w:tcW w:w="0" w:type="auto"/>
            <w:vAlign w:val="center"/>
            <w:hideMark/>
          </w:tcPr>
          <w:p w14:paraId="7FE60AAD" w14:textId="77777777" w:rsidR="003008B5" w:rsidRPr="003008B5" w:rsidRDefault="003008B5" w:rsidP="00475D9B">
            <w:pPr>
              <w:pStyle w:val="Tablebody"/>
            </w:pPr>
            <w:r w:rsidRPr="003008B5">
              <w:t>24462369</w:t>
            </w:r>
          </w:p>
        </w:tc>
      </w:tr>
      <w:tr w:rsidR="003008B5" w:rsidRPr="003008B5" w14:paraId="4FC35AB9" w14:textId="77777777" w:rsidTr="009D124C">
        <w:tc>
          <w:tcPr>
            <w:tcW w:w="0" w:type="auto"/>
            <w:vAlign w:val="center"/>
            <w:hideMark/>
          </w:tcPr>
          <w:p w14:paraId="77636BD4" w14:textId="317CC97E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3C2C911D" w14:textId="77777777" w:rsidR="003008B5" w:rsidRPr="003008B5" w:rsidRDefault="003008B5" w:rsidP="00475D9B">
            <w:pPr>
              <w:pStyle w:val="Tablebody"/>
            </w:pPr>
            <w:r w:rsidRPr="003008B5">
              <w:t xml:space="preserve">Peters H, Buck N, Wanders R, Ruiter J, </w:t>
            </w:r>
            <w:proofErr w:type="spellStart"/>
            <w:r w:rsidRPr="003008B5">
              <w:t>Waterham</w:t>
            </w:r>
            <w:proofErr w:type="spellEnd"/>
            <w:r w:rsidRPr="003008B5">
              <w:t xml:space="preserve"> H, </w:t>
            </w:r>
            <w:proofErr w:type="spellStart"/>
            <w:r w:rsidRPr="003008B5">
              <w:t>Koster</w:t>
            </w:r>
            <w:proofErr w:type="spellEnd"/>
            <w:r w:rsidRPr="003008B5">
              <w:t xml:space="preserve"> J, et al. ECHS1 mutations in Leigh disease: a new inborn error of metabolism affecting valine metabolism. Brain. 2014 Nov;137(Pt 11):2903-8.</w:t>
            </w:r>
          </w:p>
        </w:tc>
        <w:tc>
          <w:tcPr>
            <w:tcW w:w="0" w:type="auto"/>
            <w:vAlign w:val="center"/>
            <w:hideMark/>
          </w:tcPr>
          <w:p w14:paraId="14C7CAFF" w14:textId="77777777" w:rsidR="003008B5" w:rsidRPr="003008B5" w:rsidRDefault="003008B5" w:rsidP="00475D9B">
            <w:pPr>
              <w:pStyle w:val="Tablebody"/>
            </w:pPr>
            <w:r w:rsidRPr="003008B5">
              <w:t>25125611</w:t>
            </w:r>
          </w:p>
        </w:tc>
      </w:tr>
      <w:tr w:rsidR="003008B5" w:rsidRPr="003008B5" w14:paraId="29092A68" w14:textId="77777777" w:rsidTr="009D124C">
        <w:tc>
          <w:tcPr>
            <w:tcW w:w="0" w:type="auto"/>
            <w:vAlign w:val="center"/>
            <w:hideMark/>
          </w:tcPr>
          <w:p w14:paraId="147C4CFE" w14:textId="1B4AA471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FA26152" w14:textId="77777777" w:rsidR="003008B5" w:rsidRPr="003008B5" w:rsidRDefault="003008B5" w:rsidP="00475D9B">
            <w:pPr>
              <w:pStyle w:val="Tablebody"/>
            </w:pPr>
            <w:r w:rsidRPr="003008B5">
              <w:t xml:space="preserve">Simon M, Richard EM, Wang X, Shahzad M, Huang VH, Qaiser TA, et al. Mutations of human NARS2, encoding the mitochondrial </w:t>
            </w:r>
            <w:proofErr w:type="spellStart"/>
            <w:r w:rsidRPr="003008B5">
              <w:t>asparaginyl</w:t>
            </w:r>
            <w:proofErr w:type="spellEnd"/>
            <w:r w:rsidRPr="003008B5">
              <w:t xml:space="preserve">-tRNA synthetase, cause </w:t>
            </w:r>
            <w:proofErr w:type="spellStart"/>
            <w:r w:rsidRPr="003008B5">
              <w:t>nonsyndromic</w:t>
            </w:r>
            <w:proofErr w:type="spellEnd"/>
            <w:r w:rsidRPr="003008B5">
              <w:t xml:space="preserve"> deafness and Leigh syndrome. </w:t>
            </w:r>
            <w:proofErr w:type="spellStart"/>
            <w:r w:rsidRPr="003008B5">
              <w:t>PLoS</w:t>
            </w:r>
            <w:proofErr w:type="spellEnd"/>
            <w:r w:rsidRPr="003008B5">
              <w:t xml:space="preserve"> Genet. 2015 Mar 25;11(3</w:t>
            </w:r>
            <w:proofErr w:type="gramStart"/>
            <w:r w:rsidRPr="003008B5">
              <w:t>):e</w:t>
            </w:r>
            <w:proofErr w:type="gramEnd"/>
            <w:r w:rsidRPr="003008B5">
              <w:t>1005097.</w:t>
            </w:r>
          </w:p>
        </w:tc>
        <w:tc>
          <w:tcPr>
            <w:tcW w:w="0" w:type="auto"/>
            <w:vAlign w:val="center"/>
            <w:hideMark/>
          </w:tcPr>
          <w:p w14:paraId="137C77B6" w14:textId="77777777" w:rsidR="003008B5" w:rsidRPr="003008B5" w:rsidRDefault="003008B5" w:rsidP="00475D9B">
            <w:pPr>
              <w:pStyle w:val="Tablebody"/>
            </w:pPr>
            <w:r w:rsidRPr="003008B5">
              <w:t>25807530</w:t>
            </w:r>
          </w:p>
        </w:tc>
      </w:tr>
      <w:tr w:rsidR="003008B5" w:rsidRPr="003008B5" w14:paraId="6E8EFC9B" w14:textId="77777777" w:rsidTr="009D124C">
        <w:tc>
          <w:tcPr>
            <w:tcW w:w="0" w:type="auto"/>
            <w:vAlign w:val="center"/>
            <w:hideMark/>
          </w:tcPr>
          <w:p w14:paraId="5FAC8E7A" w14:textId="19934956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9E2CF16" w14:textId="77777777" w:rsidR="003008B5" w:rsidRPr="003008B5" w:rsidRDefault="003008B5" w:rsidP="00475D9B">
            <w:pPr>
              <w:pStyle w:val="Tablebody"/>
            </w:pPr>
            <w:r w:rsidRPr="003008B5">
              <w:t xml:space="preserve">Cameron JM, MacKay N, Feigenbaum A, Tarnopolsky M, Blaser S, Robinson BH, et al. Exome sequencing identifies complex I NDUFV2 mutations as a novel cause of Leigh syndrome. Eur J </w:t>
            </w:r>
            <w:proofErr w:type="spellStart"/>
            <w:r w:rsidRPr="003008B5">
              <w:t>Paediatr</w:t>
            </w:r>
            <w:proofErr w:type="spellEnd"/>
            <w:r w:rsidRPr="003008B5">
              <w:t xml:space="preserve"> Neurol. 2015 Sep;19(5):525-32.</w:t>
            </w:r>
          </w:p>
        </w:tc>
        <w:tc>
          <w:tcPr>
            <w:tcW w:w="0" w:type="auto"/>
            <w:vAlign w:val="center"/>
            <w:hideMark/>
          </w:tcPr>
          <w:p w14:paraId="0D2F66FF" w14:textId="77777777" w:rsidR="003008B5" w:rsidRPr="003008B5" w:rsidRDefault="003008B5" w:rsidP="00475D9B">
            <w:pPr>
              <w:pStyle w:val="Tablebody"/>
            </w:pPr>
            <w:r w:rsidRPr="003008B5">
              <w:t>26008862</w:t>
            </w:r>
          </w:p>
        </w:tc>
      </w:tr>
      <w:tr w:rsidR="003008B5" w:rsidRPr="003008B5" w14:paraId="1D42B72B" w14:textId="77777777" w:rsidTr="009D124C">
        <w:tc>
          <w:tcPr>
            <w:tcW w:w="0" w:type="auto"/>
            <w:vAlign w:val="center"/>
            <w:hideMark/>
          </w:tcPr>
          <w:p w14:paraId="7E7DBA72" w14:textId="42712A41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3866963C" w14:textId="77777777" w:rsidR="003008B5" w:rsidRPr="003008B5" w:rsidRDefault="003008B5" w:rsidP="00475D9B">
            <w:pPr>
              <w:pStyle w:val="Tablebody"/>
            </w:pPr>
            <w:r w:rsidRPr="003008B5">
              <w:t xml:space="preserve">Hallmann K, Kudin AP, Zsurka G, Kornblum C, Reimann J, </w:t>
            </w:r>
            <w:proofErr w:type="spellStart"/>
            <w:r w:rsidRPr="003008B5">
              <w:t>Stüve</w:t>
            </w:r>
            <w:proofErr w:type="spellEnd"/>
            <w:r w:rsidRPr="003008B5">
              <w:t xml:space="preserve"> B, et al. Loss of the smallest subunit of cytochrome c oxidase, COX8A, causes Leigh-like syndrome and epilepsy. Brain. 2016 Feb;139(Pt 2):338-45.</w:t>
            </w:r>
          </w:p>
        </w:tc>
        <w:tc>
          <w:tcPr>
            <w:tcW w:w="0" w:type="auto"/>
            <w:vAlign w:val="center"/>
            <w:hideMark/>
          </w:tcPr>
          <w:p w14:paraId="529E4826" w14:textId="77777777" w:rsidR="003008B5" w:rsidRPr="003008B5" w:rsidRDefault="003008B5" w:rsidP="00475D9B">
            <w:pPr>
              <w:pStyle w:val="Tablebody"/>
            </w:pPr>
            <w:r w:rsidRPr="003008B5">
              <w:t>26685157</w:t>
            </w:r>
          </w:p>
        </w:tc>
      </w:tr>
      <w:tr w:rsidR="003008B5" w:rsidRPr="003008B5" w14:paraId="50B7E5BF" w14:textId="77777777" w:rsidTr="009D124C">
        <w:tc>
          <w:tcPr>
            <w:tcW w:w="0" w:type="auto"/>
            <w:vAlign w:val="center"/>
            <w:hideMark/>
          </w:tcPr>
          <w:p w14:paraId="2379AC89" w14:textId="0A6EDA6E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DDCDB4A" w14:textId="77777777" w:rsidR="003008B5" w:rsidRPr="003008B5" w:rsidRDefault="003008B5" w:rsidP="00475D9B">
            <w:pPr>
              <w:pStyle w:val="Tablebody"/>
            </w:pPr>
            <w:r w:rsidRPr="003008B5">
              <w:t xml:space="preserve">Koch J, Feichtinger RG, Freisinger P, Pies M, </w:t>
            </w:r>
            <w:proofErr w:type="spellStart"/>
            <w:r w:rsidRPr="003008B5">
              <w:t>Schrödl</w:t>
            </w:r>
            <w:proofErr w:type="spellEnd"/>
            <w:r w:rsidRPr="003008B5">
              <w:t xml:space="preserve"> F, </w:t>
            </w:r>
            <w:proofErr w:type="spellStart"/>
            <w:r w:rsidRPr="003008B5">
              <w:t>Iuso</w:t>
            </w:r>
            <w:proofErr w:type="spellEnd"/>
            <w:r w:rsidRPr="003008B5">
              <w:t xml:space="preserve"> A, et al. Disturbed mitochondrial and peroxisomal dynamics due to loss of MFF causes Leigh-like encephalopathy, optic atrophy and peripheral neuropathy. J Med Genet. 2016 Apr;53(4):270-8.</w:t>
            </w:r>
          </w:p>
        </w:tc>
        <w:tc>
          <w:tcPr>
            <w:tcW w:w="0" w:type="auto"/>
            <w:vAlign w:val="center"/>
            <w:hideMark/>
          </w:tcPr>
          <w:p w14:paraId="6CD55F5A" w14:textId="77777777" w:rsidR="003008B5" w:rsidRPr="003008B5" w:rsidRDefault="003008B5" w:rsidP="00475D9B">
            <w:pPr>
              <w:pStyle w:val="Tablebody"/>
            </w:pPr>
            <w:r w:rsidRPr="003008B5">
              <w:t>26783368</w:t>
            </w:r>
          </w:p>
        </w:tc>
      </w:tr>
      <w:tr w:rsidR="003008B5" w:rsidRPr="003008B5" w14:paraId="0B94C81A" w14:textId="77777777" w:rsidTr="009D124C">
        <w:tc>
          <w:tcPr>
            <w:tcW w:w="0" w:type="auto"/>
            <w:vAlign w:val="center"/>
            <w:hideMark/>
          </w:tcPr>
          <w:p w14:paraId="39F5B983" w14:textId="59BE6721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2DAAA5D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Baertling</w:t>
            </w:r>
            <w:proofErr w:type="spellEnd"/>
            <w:r w:rsidRPr="003008B5">
              <w:t xml:space="preserve"> F, Sánchez-Caballero L, </w:t>
            </w:r>
            <w:proofErr w:type="spellStart"/>
            <w:r w:rsidRPr="003008B5">
              <w:t>Timal</w:t>
            </w:r>
            <w:proofErr w:type="spellEnd"/>
            <w:r w:rsidRPr="003008B5">
              <w:t xml:space="preserve"> S, van den Brand MA, </w:t>
            </w:r>
            <w:proofErr w:type="spellStart"/>
            <w:r w:rsidRPr="003008B5">
              <w:t>Ngu</w:t>
            </w:r>
            <w:proofErr w:type="spellEnd"/>
            <w:r w:rsidRPr="003008B5">
              <w:t xml:space="preserve"> LH, </w:t>
            </w:r>
            <w:proofErr w:type="spellStart"/>
            <w:r w:rsidRPr="003008B5">
              <w:t>Distelmaier</w:t>
            </w:r>
            <w:proofErr w:type="spellEnd"/>
            <w:r w:rsidRPr="003008B5">
              <w:t xml:space="preserve"> F, et al. Mutations in mitochondrial complex I assembly factor NDUFAF3 cause Leigh syndrome. Mol Genet Metab. 2017 Mar;120(3):243-246.</w:t>
            </w:r>
          </w:p>
        </w:tc>
        <w:tc>
          <w:tcPr>
            <w:tcW w:w="0" w:type="auto"/>
            <w:vAlign w:val="center"/>
            <w:hideMark/>
          </w:tcPr>
          <w:p w14:paraId="39C6681C" w14:textId="77777777" w:rsidR="003008B5" w:rsidRPr="003008B5" w:rsidRDefault="003008B5" w:rsidP="00475D9B">
            <w:pPr>
              <w:pStyle w:val="Tablebody"/>
            </w:pPr>
            <w:r w:rsidRPr="003008B5">
              <w:t>27986404</w:t>
            </w:r>
          </w:p>
        </w:tc>
      </w:tr>
      <w:tr w:rsidR="003008B5" w:rsidRPr="003008B5" w14:paraId="221CD67B" w14:textId="77777777" w:rsidTr="009D124C">
        <w:tc>
          <w:tcPr>
            <w:tcW w:w="0" w:type="auto"/>
            <w:vAlign w:val="center"/>
            <w:hideMark/>
          </w:tcPr>
          <w:p w14:paraId="65CD3D53" w14:textId="78874D87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DB6759E" w14:textId="77777777" w:rsidR="003008B5" w:rsidRPr="003008B5" w:rsidRDefault="003008B5" w:rsidP="00475D9B">
            <w:pPr>
              <w:pStyle w:val="Tablebody"/>
            </w:pPr>
            <w:r w:rsidRPr="003008B5">
              <w:t xml:space="preserve">Lake NJ, Webb BD, Stroud DA, Richman TR, </w:t>
            </w:r>
            <w:proofErr w:type="spellStart"/>
            <w:r w:rsidRPr="003008B5">
              <w:t>Ruzzenente</w:t>
            </w:r>
            <w:proofErr w:type="spellEnd"/>
            <w:r w:rsidRPr="003008B5">
              <w:t xml:space="preserve"> B, Compton AG, et al. Biallelic Mutations in MRPS34 Lead to Instability of the Small </w:t>
            </w:r>
            <w:proofErr w:type="spellStart"/>
            <w:r w:rsidRPr="003008B5">
              <w:t>Mitoribosomal</w:t>
            </w:r>
            <w:proofErr w:type="spellEnd"/>
            <w:r w:rsidRPr="003008B5">
              <w:t xml:space="preserve"> Subunit and Leigh Syndrome. Am J Hum Genet. 2017 Aug 3;101(2):239-254.</w:t>
            </w:r>
          </w:p>
        </w:tc>
        <w:tc>
          <w:tcPr>
            <w:tcW w:w="0" w:type="auto"/>
            <w:vAlign w:val="center"/>
            <w:hideMark/>
          </w:tcPr>
          <w:p w14:paraId="2BCAE76C" w14:textId="77777777" w:rsidR="003008B5" w:rsidRPr="003008B5" w:rsidRDefault="003008B5" w:rsidP="00475D9B">
            <w:pPr>
              <w:pStyle w:val="Tablebody"/>
            </w:pPr>
            <w:r w:rsidRPr="003008B5">
              <w:t>28777931</w:t>
            </w:r>
          </w:p>
        </w:tc>
      </w:tr>
      <w:tr w:rsidR="003008B5" w:rsidRPr="003008B5" w14:paraId="39DEE875" w14:textId="77777777" w:rsidTr="009D124C">
        <w:tc>
          <w:tcPr>
            <w:tcW w:w="0" w:type="auto"/>
            <w:vAlign w:val="center"/>
            <w:hideMark/>
          </w:tcPr>
          <w:p w14:paraId="475CE1A8" w14:textId="79B62D80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149D3FB" w14:textId="77777777" w:rsidR="003008B5" w:rsidRPr="003008B5" w:rsidRDefault="003008B5" w:rsidP="00475D9B">
            <w:pPr>
              <w:pStyle w:val="Tablebody"/>
            </w:pPr>
            <w:r w:rsidRPr="003008B5">
              <w:t xml:space="preserve">Matilainen S, Carroll CJ, Richter U, Euro L, </w:t>
            </w:r>
            <w:proofErr w:type="spellStart"/>
            <w:r w:rsidRPr="003008B5">
              <w:t>Pohjanpelto</w:t>
            </w:r>
            <w:proofErr w:type="spellEnd"/>
            <w:r w:rsidRPr="003008B5">
              <w:t xml:space="preserve"> M, </w:t>
            </w:r>
            <w:proofErr w:type="spellStart"/>
            <w:r w:rsidRPr="003008B5">
              <w:t>Paetau</w:t>
            </w:r>
            <w:proofErr w:type="spellEnd"/>
            <w:r w:rsidRPr="003008B5">
              <w:t xml:space="preserve"> A, et al. Defective mitochondrial RNA processing due to PNPT1 variants causes Leigh syndrome. Hum Mol Genet. 2017 Sep 1;26(17):3352-3361.</w:t>
            </w:r>
          </w:p>
        </w:tc>
        <w:tc>
          <w:tcPr>
            <w:tcW w:w="0" w:type="auto"/>
            <w:vAlign w:val="center"/>
            <w:hideMark/>
          </w:tcPr>
          <w:p w14:paraId="185617E2" w14:textId="77777777" w:rsidR="003008B5" w:rsidRPr="003008B5" w:rsidRDefault="003008B5" w:rsidP="00475D9B">
            <w:pPr>
              <w:pStyle w:val="Tablebody"/>
            </w:pPr>
            <w:r w:rsidRPr="003008B5">
              <w:t>28645153</w:t>
            </w:r>
          </w:p>
        </w:tc>
      </w:tr>
      <w:tr w:rsidR="003008B5" w:rsidRPr="003008B5" w14:paraId="6074BA3B" w14:textId="77777777" w:rsidTr="009D124C">
        <w:tc>
          <w:tcPr>
            <w:tcW w:w="0" w:type="auto"/>
            <w:vAlign w:val="center"/>
            <w:hideMark/>
          </w:tcPr>
          <w:p w14:paraId="3788A28D" w14:textId="5CFC7245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lastRenderedPageBreak/>
              <w:t>Ref#</w:t>
            </w:r>
            <w:r w:rsidR="003008B5" w:rsidRPr="003008B5">
              <w:rPr>
                <w:b/>
                <w:bCs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FD0D118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Rubegni A, Pisano T, Bacci G, Tessa A, Battini R, Procopio E, et al. </w:t>
            </w:r>
            <w:r w:rsidRPr="003008B5">
              <w:t xml:space="preserve">Leigh-like neuroimaging features associated with new biallelic mutations in OPA1. Eur J </w:t>
            </w:r>
            <w:proofErr w:type="spellStart"/>
            <w:r w:rsidRPr="003008B5">
              <w:t>Paediatr</w:t>
            </w:r>
            <w:proofErr w:type="spellEnd"/>
            <w:r w:rsidRPr="003008B5">
              <w:t xml:space="preserve"> Neurol. 2017 Jul;21(4):671-677.</w:t>
            </w:r>
          </w:p>
        </w:tc>
        <w:tc>
          <w:tcPr>
            <w:tcW w:w="0" w:type="auto"/>
            <w:vAlign w:val="center"/>
            <w:hideMark/>
          </w:tcPr>
          <w:p w14:paraId="58F23F56" w14:textId="77777777" w:rsidR="003008B5" w:rsidRPr="003008B5" w:rsidRDefault="003008B5" w:rsidP="00475D9B">
            <w:pPr>
              <w:pStyle w:val="Tablebody"/>
            </w:pPr>
            <w:r w:rsidRPr="003008B5">
              <w:t>28442211</w:t>
            </w:r>
          </w:p>
        </w:tc>
      </w:tr>
      <w:tr w:rsidR="003008B5" w:rsidRPr="003008B5" w14:paraId="5A5ECE5D" w14:textId="77777777" w:rsidTr="009D124C">
        <w:tc>
          <w:tcPr>
            <w:tcW w:w="0" w:type="auto"/>
            <w:vAlign w:val="center"/>
            <w:hideMark/>
          </w:tcPr>
          <w:p w14:paraId="79194A2A" w14:textId="5BB8BB20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5A3F1A34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Sala-Coromina J, Miguel LD, de Las Heras J, Lasa-Aranzasti A, Garcia-Arumi E, Carreño L, et al. </w:t>
            </w:r>
            <w:r w:rsidRPr="003008B5">
              <w:t xml:space="preserve">Leigh syndrome associated with TRMU gene mutations. Mol Genet Metab Rep. 2020 Dec </w:t>
            </w:r>
            <w:proofErr w:type="gramStart"/>
            <w:r w:rsidRPr="003008B5">
              <w:t>15;26:100690</w:t>
            </w:r>
            <w:proofErr w:type="gramEnd"/>
            <w:r w:rsidRPr="003008B5">
              <w:t>.</w:t>
            </w:r>
          </w:p>
        </w:tc>
        <w:tc>
          <w:tcPr>
            <w:tcW w:w="0" w:type="auto"/>
            <w:vAlign w:val="center"/>
            <w:hideMark/>
          </w:tcPr>
          <w:p w14:paraId="41DD1AED" w14:textId="77777777" w:rsidR="003008B5" w:rsidRPr="003008B5" w:rsidRDefault="003008B5" w:rsidP="00475D9B">
            <w:pPr>
              <w:pStyle w:val="Tablebody"/>
            </w:pPr>
            <w:r w:rsidRPr="003008B5">
              <w:t>33365252</w:t>
            </w:r>
          </w:p>
        </w:tc>
      </w:tr>
      <w:tr w:rsidR="003008B5" w:rsidRPr="003008B5" w14:paraId="78340DE3" w14:textId="77777777" w:rsidTr="009D124C">
        <w:tc>
          <w:tcPr>
            <w:tcW w:w="0" w:type="auto"/>
            <w:vAlign w:val="center"/>
            <w:hideMark/>
          </w:tcPr>
          <w:p w14:paraId="021F9E94" w14:textId="58EF9057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213509C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Lake NJ, Formosa LE, Stroud DA, Ryan MT, Calvo SE, Mootha VK, et al. </w:t>
            </w:r>
            <w:r w:rsidRPr="003008B5">
              <w:t xml:space="preserve">A patient with homozygous nonsense variants in two Leigh syndrome disease genes: Distinguishing a dual diagnosis from a </w:t>
            </w:r>
            <w:proofErr w:type="spellStart"/>
            <w:r w:rsidRPr="003008B5">
              <w:t>hypomorphic</w:t>
            </w:r>
            <w:proofErr w:type="spellEnd"/>
            <w:r w:rsidRPr="003008B5">
              <w:t xml:space="preserve"> protein-truncating variant. Hum </w:t>
            </w:r>
            <w:proofErr w:type="spellStart"/>
            <w:r w:rsidRPr="003008B5">
              <w:t>Mutat</w:t>
            </w:r>
            <w:proofErr w:type="spellEnd"/>
            <w:r w:rsidRPr="003008B5">
              <w:t>. 2019 Jul;40(7):893-898.</w:t>
            </w:r>
          </w:p>
        </w:tc>
        <w:tc>
          <w:tcPr>
            <w:tcW w:w="0" w:type="auto"/>
            <w:vAlign w:val="center"/>
            <w:hideMark/>
          </w:tcPr>
          <w:p w14:paraId="0A083709" w14:textId="77777777" w:rsidR="003008B5" w:rsidRPr="003008B5" w:rsidRDefault="003008B5" w:rsidP="00475D9B">
            <w:pPr>
              <w:pStyle w:val="Tablebody"/>
            </w:pPr>
            <w:r w:rsidRPr="003008B5">
              <w:t>30981218</w:t>
            </w:r>
          </w:p>
        </w:tc>
      </w:tr>
      <w:tr w:rsidR="003008B5" w:rsidRPr="003008B5" w14:paraId="10D184D4" w14:textId="77777777" w:rsidTr="009D124C">
        <w:tc>
          <w:tcPr>
            <w:tcW w:w="0" w:type="auto"/>
            <w:vAlign w:val="center"/>
            <w:hideMark/>
          </w:tcPr>
          <w:p w14:paraId="0005B175" w14:textId="79815203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75758FDF" w14:textId="77777777" w:rsidR="003008B5" w:rsidRPr="003008B5" w:rsidRDefault="003008B5" w:rsidP="00475D9B">
            <w:pPr>
              <w:pStyle w:val="Tablebody"/>
            </w:pPr>
            <w:r w:rsidRPr="003008B5">
              <w:t>Alston CL, Veling MT, Heidler J, Taylor LS, Alaimo JT, Sung AY, et al. Pathogenic Bi-allelic Mutations in NDUFAF8 Cause Leigh Syndrome with an Isolated Complex I Deficiency. Am J Hum Genet. 2020 Jan 2;106(1):92-101.</w:t>
            </w:r>
          </w:p>
        </w:tc>
        <w:tc>
          <w:tcPr>
            <w:tcW w:w="0" w:type="auto"/>
            <w:vAlign w:val="center"/>
            <w:hideMark/>
          </w:tcPr>
          <w:p w14:paraId="3A1D4AF6" w14:textId="77777777" w:rsidR="003008B5" w:rsidRPr="003008B5" w:rsidRDefault="003008B5" w:rsidP="00475D9B">
            <w:pPr>
              <w:pStyle w:val="Tablebody"/>
            </w:pPr>
            <w:r w:rsidRPr="003008B5">
              <w:t>31866046</w:t>
            </w:r>
          </w:p>
        </w:tc>
      </w:tr>
      <w:tr w:rsidR="003008B5" w:rsidRPr="003008B5" w14:paraId="5E51E199" w14:textId="77777777" w:rsidTr="009D124C">
        <w:tc>
          <w:tcPr>
            <w:tcW w:w="0" w:type="auto"/>
            <w:vAlign w:val="center"/>
            <w:hideMark/>
          </w:tcPr>
          <w:p w14:paraId="50E17B1A" w14:textId="71343951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53C7639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Laera L, Punzi G, Porcelli V, Gambacorta N, Trisolini L, Pierri CL, et al. </w:t>
            </w:r>
            <w:r w:rsidRPr="003008B5">
              <w:t xml:space="preserve">CRAT missense variants cause abnormal carnitine acetyltransferase function in an early-onset case of Leigh syndrome. Hum </w:t>
            </w:r>
            <w:proofErr w:type="spellStart"/>
            <w:r w:rsidRPr="003008B5">
              <w:t>Mutat</w:t>
            </w:r>
            <w:proofErr w:type="spellEnd"/>
            <w:r w:rsidRPr="003008B5">
              <w:t>. 2020 Jan;41(1):110-114.</w:t>
            </w:r>
          </w:p>
        </w:tc>
        <w:tc>
          <w:tcPr>
            <w:tcW w:w="0" w:type="auto"/>
            <w:vAlign w:val="center"/>
            <w:hideMark/>
          </w:tcPr>
          <w:p w14:paraId="2B906A7C" w14:textId="77777777" w:rsidR="003008B5" w:rsidRPr="003008B5" w:rsidRDefault="003008B5" w:rsidP="00475D9B">
            <w:pPr>
              <w:pStyle w:val="Tablebody"/>
            </w:pPr>
            <w:r w:rsidRPr="003008B5">
              <w:t>31448845</w:t>
            </w:r>
          </w:p>
        </w:tc>
      </w:tr>
      <w:tr w:rsidR="003008B5" w:rsidRPr="003008B5" w14:paraId="26D9ADC0" w14:textId="77777777" w:rsidTr="009D124C">
        <w:tc>
          <w:tcPr>
            <w:tcW w:w="0" w:type="auto"/>
            <w:vAlign w:val="center"/>
            <w:hideMark/>
          </w:tcPr>
          <w:p w14:paraId="0648A086" w14:textId="7B87DEEB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B42E469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Stenton SL, Tesarova M, Sheremet NL, Catarino CB, Carelli V, Ciara E, et al. </w:t>
            </w:r>
            <w:r w:rsidRPr="003008B5">
              <w:t>DNAJC30 defect: a frequent cause of recessive Leber hereditary optic neuropathy and Leigh syndrome. Brain. 2022 Jun 3;145(5):1624-1631.</w:t>
            </w:r>
          </w:p>
        </w:tc>
        <w:tc>
          <w:tcPr>
            <w:tcW w:w="0" w:type="auto"/>
            <w:vAlign w:val="center"/>
            <w:hideMark/>
          </w:tcPr>
          <w:p w14:paraId="40415EAB" w14:textId="77777777" w:rsidR="003008B5" w:rsidRPr="003008B5" w:rsidRDefault="003008B5" w:rsidP="00475D9B">
            <w:pPr>
              <w:pStyle w:val="Tablebody"/>
            </w:pPr>
            <w:r w:rsidRPr="003008B5">
              <w:t>35148383</w:t>
            </w:r>
          </w:p>
        </w:tc>
      </w:tr>
      <w:tr w:rsidR="003008B5" w:rsidRPr="003008B5" w14:paraId="34B6AC6E" w14:textId="77777777" w:rsidTr="009D124C">
        <w:tc>
          <w:tcPr>
            <w:tcW w:w="0" w:type="auto"/>
            <w:vAlign w:val="center"/>
            <w:hideMark/>
          </w:tcPr>
          <w:p w14:paraId="07EB5A3F" w14:textId="267FDF60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AF1DEE7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Borna</w:t>
            </w:r>
            <w:proofErr w:type="spellEnd"/>
            <w:r w:rsidRPr="003008B5">
              <w:t xml:space="preserve"> NN, </w:t>
            </w:r>
            <w:proofErr w:type="spellStart"/>
            <w:r w:rsidRPr="003008B5">
              <w:t>Kishita</w:t>
            </w:r>
            <w:proofErr w:type="spellEnd"/>
            <w:r w:rsidRPr="003008B5">
              <w:t xml:space="preserve"> Y, </w:t>
            </w:r>
            <w:proofErr w:type="spellStart"/>
            <w:r w:rsidRPr="003008B5">
              <w:t>Kohda</w:t>
            </w:r>
            <w:proofErr w:type="spellEnd"/>
            <w:r w:rsidRPr="003008B5">
              <w:t xml:space="preserve"> M, Lim SC, Shimura M, Wu Y, et al. Mitochondrial ribosomal protein PTCD3 mutations cause oxidative phosphorylation defects with Leigh syndrome. Neurogenetics. 2019 Mar;20(1):9-25.</w:t>
            </w:r>
          </w:p>
        </w:tc>
        <w:tc>
          <w:tcPr>
            <w:tcW w:w="0" w:type="auto"/>
            <w:vAlign w:val="center"/>
            <w:hideMark/>
          </w:tcPr>
          <w:p w14:paraId="5C0130B6" w14:textId="77777777" w:rsidR="003008B5" w:rsidRPr="003008B5" w:rsidRDefault="003008B5" w:rsidP="00475D9B">
            <w:pPr>
              <w:pStyle w:val="Tablebody"/>
            </w:pPr>
            <w:r w:rsidRPr="003008B5">
              <w:t>30607703</w:t>
            </w:r>
          </w:p>
        </w:tc>
      </w:tr>
      <w:tr w:rsidR="003008B5" w:rsidRPr="003008B5" w14:paraId="652B18EF" w14:textId="77777777" w:rsidTr="009D124C">
        <w:tc>
          <w:tcPr>
            <w:tcW w:w="0" w:type="auto"/>
            <w:vAlign w:val="center"/>
            <w:hideMark/>
          </w:tcPr>
          <w:p w14:paraId="5F01CA88" w14:textId="25980717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62C3A3B0" w14:textId="77777777" w:rsidR="003008B5" w:rsidRPr="003008B5" w:rsidRDefault="003008B5" w:rsidP="00475D9B">
            <w:pPr>
              <w:pStyle w:val="Tablebody"/>
            </w:pPr>
            <w:r w:rsidRPr="003008B5">
              <w:t xml:space="preserve">Friederich MW, Elias AF, </w:t>
            </w:r>
            <w:proofErr w:type="spellStart"/>
            <w:r w:rsidRPr="003008B5">
              <w:t>Kuster</w:t>
            </w:r>
            <w:proofErr w:type="spellEnd"/>
            <w:r w:rsidRPr="003008B5">
              <w:t xml:space="preserve"> A, </w:t>
            </w:r>
            <w:proofErr w:type="spellStart"/>
            <w:r w:rsidRPr="003008B5">
              <w:t>Laugwitz</w:t>
            </w:r>
            <w:proofErr w:type="spellEnd"/>
            <w:r w:rsidRPr="003008B5">
              <w:t xml:space="preserve"> L, Larson AA, Landry AP, et al. Pathogenic variants in SQOR encoding </w:t>
            </w:r>
            <w:proofErr w:type="spellStart"/>
            <w:proofErr w:type="gramStart"/>
            <w:r w:rsidRPr="003008B5">
              <w:t>sulfide:quinone</w:t>
            </w:r>
            <w:proofErr w:type="spellEnd"/>
            <w:proofErr w:type="gramEnd"/>
            <w:r w:rsidRPr="003008B5">
              <w:t xml:space="preserve"> oxidoreductase are a potentially treatable cause of Leigh disease. J Inherit </w:t>
            </w:r>
            <w:proofErr w:type="spellStart"/>
            <w:r w:rsidRPr="003008B5">
              <w:t>Metab</w:t>
            </w:r>
            <w:proofErr w:type="spellEnd"/>
            <w:r w:rsidRPr="003008B5">
              <w:t xml:space="preserve"> Dis. 2020 Sep;43(5):1024-1036.</w:t>
            </w:r>
          </w:p>
        </w:tc>
        <w:tc>
          <w:tcPr>
            <w:tcW w:w="0" w:type="auto"/>
            <w:vAlign w:val="center"/>
            <w:hideMark/>
          </w:tcPr>
          <w:p w14:paraId="066B8071" w14:textId="77777777" w:rsidR="003008B5" w:rsidRPr="003008B5" w:rsidRDefault="003008B5" w:rsidP="00475D9B">
            <w:pPr>
              <w:pStyle w:val="Tablebody"/>
            </w:pPr>
            <w:r w:rsidRPr="003008B5">
              <w:t>32160317</w:t>
            </w:r>
          </w:p>
        </w:tc>
      </w:tr>
      <w:tr w:rsidR="003008B5" w:rsidRPr="003008B5" w14:paraId="7F6420AD" w14:textId="77777777" w:rsidTr="009D124C">
        <w:tc>
          <w:tcPr>
            <w:tcW w:w="0" w:type="auto"/>
            <w:vAlign w:val="center"/>
            <w:hideMark/>
          </w:tcPr>
          <w:p w14:paraId="41687745" w14:textId="5454CC1B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FB461DD" w14:textId="77777777" w:rsidR="003008B5" w:rsidRPr="003008B5" w:rsidRDefault="003008B5" w:rsidP="00475D9B">
            <w:pPr>
              <w:pStyle w:val="Tablebody"/>
            </w:pPr>
            <w:r w:rsidRPr="003008B5">
              <w:rPr>
                <w:lang w:val="pt-PT"/>
              </w:rPr>
              <w:t xml:space="preserve">Alahmad A, Nasca A, Heidler J, Thompson K, Oláhová M, Legati A, et al. </w:t>
            </w:r>
            <w:r w:rsidRPr="003008B5">
              <w:t>Bi-allelic pathogenic variants in NDUFC2 cause early-onset Leigh syndrome and stalled biogenesis of complex I. EMBO Mol Med. 2020 Nov 6;12(11</w:t>
            </w:r>
            <w:proofErr w:type="gramStart"/>
            <w:r w:rsidRPr="003008B5">
              <w:t>):e</w:t>
            </w:r>
            <w:proofErr w:type="gramEnd"/>
            <w:r w:rsidRPr="003008B5">
              <w:t>12619.</w:t>
            </w:r>
          </w:p>
        </w:tc>
        <w:tc>
          <w:tcPr>
            <w:tcW w:w="0" w:type="auto"/>
            <w:vAlign w:val="center"/>
            <w:hideMark/>
          </w:tcPr>
          <w:p w14:paraId="261B4649" w14:textId="77777777" w:rsidR="003008B5" w:rsidRPr="003008B5" w:rsidRDefault="003008B5" w:rsidP="00475D9B">
            <w:pPr>
              <w:pStyle w:val="Tablebody"/>
            </w:pPr>
            <w:r w:rsidRPr="003008B5">
              <w:t>32969598</w:t>
            </w:r>
          </w:p>
        </w:tc>
      </w:tr>
      <w:tr w:rsidR="003008B5" w:rsidRPr="003008B5" w14:paraId="7B5650FC" w14:textId="77777777" w:rsidTr="009D124C">
        <w:tc>
          <w:tcPr>
            <w:tcW w:w="0" w:type="auto"/>
            <w:vAlign w:val="center"/>
            <w:hideMark/>
          </w:tcPr>
          <w:p w14:paraId="3F469BF6" w14:textId="5426FDFA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2DA03D0" w14:textId="77777777" w:rsidR="003008B5" w:rsidRPr="003008B5" w:rsidRDefault="003008B5" w:rsidP="00475D9B">
            <w:pPr>
              <w:pStyle w:val="Tablebody"/>
            </w:pPr>
            <w:r w:rsidRPr="003008B5">
              <w:t>Zhou X, Lou X, Zhou Y, Xie Y, Han X, Dong Q, et al. Novel biallelic mutations in TMEM126B cause splicing defects and lead to Leigh-like syndrome with severe complex I deficiency. J Hum Genet. 2023 Apr;68(4):239-246.</w:t>
            </w:r>
          </w:p>
        </w:tc>
        <w:tc>
          <w:tcPr>
            <w:tcW w:w="0" w:type="auto"/>
            <w:vAlign w:val="center"/>
            <w:hideMark/>
          </w:tcPr>
          <w:p w14:paraId="50D0F510" w14:textId="77777777" w:rsidR="003008B5" w:rsidRPr="003008B5" w:rsidRDefault="003008B5" w:rsidP="00475D9B">
            <w:pPr>
              <w:pStyle w:val="Tablebody"/>
            </w:pPr>
            <w:r w:rsidRPr="003008B5">
              <w:t>36482121</w:t>
            </w:r>
          </w:p>
        </w:tc>
      </w:tr>
      <w:tr w:rsidR="003008B5" w:rsidRPr="003008B5" w14:paraId="3B19AE7B" w14:textId="77777777" w:rsidTr="009D124C">
        <w:tc>
          <w:tcPr>
            <w:tcW w:w="0" w:type="auto"/>
            <w:vAlign w:val="center"/>
            <w:hideMark/>
          </w:tcPr>
          <w:p w14:paraId="396DBC26" w14:textId="76EA354F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1D7C729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Galosi</w:t>
            </w:r>
            <w:proofErr w:type="spellEnd"/>
            <w:r w:rsidRPr="003008B5">
              <w:t xml:space="preserve"> S, Mancini C, </w:t>
            </w:r>
            <w:proofErr w:type="spellStart"/>
            <w:r w:rsidRPr="003008B5">
              <w:t>Commone</w:t>
            </w:r>
            <w:proofErr w:type="spellEnd"/>
            <w:r w:rsidRPr="003008B5">
              <w:t xml:space="preserve"> A, </w:t>
            </w:r>
            <w:proofErr w:type="spellStart"/>
            <w:r w:rsidRPr="003008B5">
              <w:t>Calligari</w:t>
            </w:r>
            <w:proofErr w:type="spellEnd"/>
            <w:r w:rsidRPr="003008B5">
              <w:t xml:space="preserve"> P, Caputo V, Nardecchia F, et al. Biallelic Variants of MRPS36 Cause a New Form of Leigh Syndrome. Mov </w:t>
            </w:r>
            <w:proofErr w:type="spellStart"/>
            <w:r w:rsidRPr="003008B5">
              <w:t>Disord</w:t>
            </w:r>
            <w:proofErr w:type="spellEnd"/>
            <w:r w:rsidRPr="003008B5">
              <w:t>. 2024 Jul;39(7):1225-1231.</w:t>
            </w:r>
          </w:p>
        </w:tc>
        <w:tc>
          <w:tcPr>
            <w:tcW w:w="0" w:type="auto"/>
            <w:vAlign w:val="center"/>
            <w:hideMark/>
          </w:tcPr>
          <w:p w14:paraId="0E004311" w14:textId="77777777" w:rsidR="003008B5" w:rsidRPr="003008B5" w:rsidRDefault="003008B5" w:rsidP="00475D9B">
            <w:pPr>
              <w:pStyle w:val="Tablebody"/>
            </w:pPr>
            <w:r w:rsidRPr="003008B5">
              <w:t>38685873</w:t>
            </w:r>
          </w:p>
        </w:tc>
      </w:tr>
      <w:tr w:rsidR="003008B5" w:rsidRPr="003008B5" w14:paraId="38010561" w14:textId="77777777" w:rsidTr="009D124C">
        <w:tc>
          <w:tcPr>
            <w:tcW w:w="0" w:type="auto"/>
            <w:vAlign w:val="center"/>
            <w:hideMark/>
          </w:tcPr>
          <w:p w14:paraId="63476D36" w14:textId="120C2192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635AA3A" w14:textId="77777777" w:rsidR="003008B5" w:rsidRPr="003008B5" w:rsidRDefault="003008B5" w:rsidP="00475D9B">
            <w:pPr>
              <w:pStyle w:val="Tablebody"/>
            </w:pPr>
            <w:r w:rsidRPr="003008B5">
              <w:t>Li BG, Wu WJ, Wang LH, Wang X, Liu C, Du YK, et al. Identification of a novel pathogenic gene, NDUFA3, in Leigh Syndrome through whole exome sequencing. Neurogenetics. 2024 Nov 28;26(1):13.</w:t>
            </w:r>
          </w:p>
        </w:tc>
        <w:tc>
          <w:tcPr>
            <w:tcW w:w="0" w:type="auto"/>
            <w:vAlign w:val="center"/>
            <w:hideMark/>
          </w:tcPr>
          <w:p w14:paraId="13D04558" w14:textId="77777777" w:rsidR="003008B5" w:rsidRPr="003008B5" w:rsidRDefault="003008B5" w:rsidP="00475D9B">
            <w:pPr>
              <w:pStyle w:val="Tablebody"/>
            </w:pPr>
            <w:r w:rsidRPr="003008B5">
              <w:t>39661167</w:t>
            </w:r>
          </w:p>
        </w:tc>
      </w:tr>
      <w:tr w:rsidR="003008B5" w:rsidRPr="003008B5" w14:paraId="0CB3DF51" w14:textId="77777777" w:rsidTr="009D124C">
        <w:tc>
          <w:tcPr>
            <w:tcW w:w="0" w:type="auto"/>
            <w:vAlign w:val="center"/>
            <w:hideMark/>
          </w:tcPr>
          <w:p w14:paraId="1A382DDC" w14:textId="767099E7" w:rsidR="003008B5" w:rsidRPr="003008B5" w:rsidRDefault="00596CAC" w:rsidP="00475D9B">
            <w:pPr>
              <w:pStyle w:val="Tablebody"/>
            </w:pPr>
            <w:r>
              <w:rPr>
                <w:b/>
                <w:bCs/>
              </w:rPr>
              <w:t>Ref#</w:t>
            </w:r>
            <w:r w:rsidR="003008B5" w:rsidRPr="003008B5">
              <w:rPr>
                <w:b/>
                <w:bCs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8441FAB" w14:textId="77777777" w:rsidR="003008B5" w:rsidRPr="003008B5" w:rsidRDefault="003008B5" w:rsidP="00475D9B">
            <w:pPr>
              <w:pStyle w:val="Tablebody"/>
            </w:pPr>
            <w:proofErr w:type="spellStart"/>
            <w:r w:rsidRPr="003008B5">
              <w:t>Antonicka</w:t>
            </w:r>
            <w:proofErr w:type="spellEnd"/>
            <w:r w:rsidRPr="003008B5">
              <w:t xml:space="preserve"> H, </w:t>
            </w:r>
            <w:proofErr w:type="spellStart"/>
            <w:r w:rsidRPr="003008B5">
              <w:t>Weraarpachai</w:t>
            </w:r>
            <w:proofErr w:type="spellEnd"/>
            <w:r w:rsidRPr="003008B5">
              <w:t xml:space="preserve"> W, </w:t>
            </w:r>
            <w:proofErr w:type="spellStart"/>
            <w:r w:rsidRPr="003008B5">
              <w:t>Szigety</w:t>
            </w:r>
            <w:proofErr w:type="spellEnd"/>
            <w:r w:rsidRPr="003008B5">
              <w:t xml:space="preserve"> KM, </w:t>
            </w:r>
            <w:proofErr w:type="spellStart"/>
            <w:r w:rsidRPr="003008B5">
              <w:t>Kopajtich</w:t>
            </w:r>
            <w:proofErr w:type="spellEnd"/>
            <w:r w:rsidRPr="003008B5">
              <w:t xml:space="preserve"> R, Gibson JB, Van Hove JLK, et al. Bi-allelic mutations in FASTKD5 are associated with cytochrome c oxidase deficiency and early- to late-onset Leigh syndrome. Am J Hum Genet. 2025 Jun </w:t>
            </w:r>
            <w:proofErr w:type="gramStart"/>
            <w:r w:rsidRPr="003008B5">
              <w:t>3:S</w:t>
            </w:r>
            <w:proofErr w:type="gramEnd"/>
            <w:r w:rsidRPr="003008B5">
              <w:t>0002-9297(25)00188-0.</w:t>
            </w:r>
          </w:p>
        </w:tc>
        <w:tc>
          <w:tcPr>
            <w:tcW w:w="0" w:type="auto"/>
            <w:vAlign w:val="center"/>
            <w:hideMark/>
          </w:tcPr>
          <w:p w14:paraId="687FDFA6" w14:textId="77777777" w:rsidR="003008B5" w:rsidRPr="003008B5" w:rsidRDefault="003008B5" w:rsidP="00475D9B">
            <w:pPr>
              <w:pStyle w:val="Tablebody"/>
            </w:pPr>
            <w:r w:rsidRPr="003008B5">
              <w:t>40499538</w:t>
            </w:r>
          </w:p>
        </w:tc>
      </w:tr>
    </w:tbl>
    <w:p w14:paraId="6392A1B2" w14:textId="77777777" w:rsidR="003008B5" w:rsidRDefault="003008B5" w:rsidP="00475D9B">
      <w:pPr>
        <w:pStyle w:val="Tablebody"/>
      </w:pPr>
    </w:p>
    <w:sectPr w:rsidR="00300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1DD7B" w14:textId="77777777" w:rsidR="00281B64" w:rsidRDefault="00281B64" w:rsidP="00281B64">
      <w:pPr>
        <w:spacing w:line="240" w:lineRule="auto"/>
      </w:pPr>
      <w:r>
        <w:separator/>
      </w:r>
    </w:p>
  </w:endnote>
  <w:endnote w:type="continuationSeparator" w:id="0">
    <w:p w14:paraId="2D921C66" w14:textId="77777777" w:rsidR="00281B64" w:rsidRDefault="00281B64" w:rsidP="00281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8F0F8" w14:textId="77777777" w:rsidR="00281B64" w:rsidRDefault="00281B64" w:rsidP="00281B64">
      <w:pPr>
        <w:spacing w:line="240" w:lineRule="auto"/>
      </w:pPr>
      <w:r>
        <w:separator/>
      </w:r>
    </w:p>
  </w:footnote>
  <w:footnote w:type="continuationSeparator" w:id="0">
    <w:p w14:paraId="05699512" w14:textId="77777777" w:rsidR="00281B64" w:rsidRDefault="00281B64" w:rsidP="00281B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8B5"/>
    <w:rsid w:val="00023604"/>
    <w:rsid w:val="00100909"/>
    <w:rsid w:val="002378BB"/>
    <w:rsid w:val="00281B64"/>
    <w:rsid w:val="002919E7"/>
    <w:rsid w:val="00295A62"/>
    <w:rsid w:val="003008B5"/>
    <w:rsid w:val="00321A3C"/>
    <w:rsid w:val="003444F9"/>
    <w:rsid w:val="003A2B6F"/>
    <w:rsid w:val="003E2201"/>
    <w:rsid w:val="003F6633"/>
    <w:rsid w:val="00475D9B"/>
    <w:rsid w:val="00563DB8"/>
    <w:rsid w:val="00587AE3"/>
    <w:rsid w:val="00596CAC"/>
    <w:rsid w:val="009D124C"/>
    <w:rsid w:val="00AC6F8A"/>
    <w:rsid w:val="00B27F23"/>
    <w:rsid w:val="00B661EC"/>
    <w:rsid w:val="00D3220F"/>
    <w:rsid w:val="00D6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59818"/>
  <w15:chartTrackingRefBased/>
  <w15:docId w15:val="{23836A39-34A9-4B63-823A-3B7573DB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661EC"/>
    <w:pPr>
      <w:spacing w:after="0"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  <w:lang w:eastAsia="zh-CN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B661EC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B661EC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B661EC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9"/>
    <w:rsid w:val="00B661EC"/>
    <w:rPr>
      <w:rFonts w:ascii="Times New Roman" w:eastAsia="Times New Roman" w:hAnsi="Times New Roman" w:cs="Times New Roman"/>
      <w:b/>
      <w:bCs/>
      <w:noProof/>
      <w:color w:val="000000"/>
      <w:kern w:val="44"/>
      <w:lang w:eastAsia="zh-CN"/>
      <w14:ligatures w14:val="none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B661EC"/>
    <w:rPr>
      <w:rFonts w:ascii="Times New Roman" w:eastAsia="Times New Roman" w:hAnsi="Times New Roman" w:cs="Times New Roman"/>
      <w:b/>
      <w:bCs/>
      <w:i/>
      <w:noProof/>
      <w:color w:val="000000"/>
      <w:kern w:val="0"/>
      <w:sz w:val="21"/>
      <w:szCs w:val="21"/>
      <w:lang w:eastAsia="zh-CN"/>
      <w14:ligatures w14:val="none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B661EC"/>
    <w:rPr>
      <w:rFonts w:ascii="Times New Roman" w:eastAsia="Times New Roman" w:hAnsi="Times New Roman" w:cs="Times New Roman"/>
      <w:bCs/>
      <w:i/>
      <w:noProof/>
      <w:color w:val="000000"/>
      <w:kern w:val="0"/>
      <w:sz w:val="21"/>
      <w:szCs w:val="21"/>
      <w:lang w:eastAsia="zh-CN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300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3008B5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300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3008B5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300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8B5"/>
    <w:rPr>
      <w:b/>
      <w:bCs/>
      <w:smallCaps/>
      <w:color w:val="2F5496" w:themeColor="accent1" w:themeShade="BF"/>
      <w:spacing w:val="5"/>
    </w:rPr>
  </w:style>
  <w:style w:type="paragraph" w:customStyle="1" w:styleId="Abstract">
    <w:name w:val="Abstract"/>
    <w:next w:val="a"/>
    <w:uiPriority w:val="5"/>
    <w:qFormat/>
    <w:rsid w:val="00B661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B661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B661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B661EC"/>
    <w:pPr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B661EC"/>
    <w:pPr>
      <w:adjustRightInd w:val="0"/>
      <w:snapToGrid w:val="0"/>
      <w:spacing w:after="0" w:line="240" w:lineRule="auto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B661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B661EC"/>
    <w:pPr>
      <w:adjustRightInd w:val="0"/>
      <w:snapToGrid w:val="0"/>
      <w:spacing w:beforeLines="50" w:before="50" w:afterLines="50" w:after="5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lang w:bidi="en-US"/>
    </w:rPr>
  </w:style>
  <w:style w:type="paragraph" w:customStyle="1" w:styleId="Bullet">
    <w:name w:val="Bullet"/>
    <w:uiPriority w:val="16"/>
    <w:qFormat/>
    <w:rsid w:val="00B661EC"/>
    <w:pPr>
      <w:adjustRightInd w:val="0"/>
      <w:snapToGrid w:val="0"/>
      <w:spacing w:before="40" w:after="40" w:line="240" w:lineRule="auto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B661E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B661EC"/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B661EC"/>
    <w:pPr>
      <w:adjustRightInd w:val="0"/>
      <w:snapToGrid w:val="0"/>
      <w:spacing w:before="60" w:after="60" w:line="240" w:lineRule="auto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B661EC"/>
    <w:pPr>
      <w:adjustRightInd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B661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B661EC"/>
    <w:pPr>
      <w:adjustRightInd w:val="0"/>
      <w:snapToGrid w:val="0"/>
      <w:spacing w:after="100" w:afterAutospacing="1" w:line="240" w:lineRule="auto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 w:val="21"/>
      <w:szCs w:val="21"/>
      <w:lang w:eastAsia="zh-CN" w:bidi="en-US"/>
    </w:rPr>
  </w:style>
  <w:style w:type="paragraph" w:customStyle="1" w:styleId="Keywords">
    <w:name w:val="Keywords"/>
    <w:next w:val="a"/>
    <w:link w:val="Keywords0"/>
    <w:uiPriority w:val="6"/>
    <w:qFormat/>
    <w:rsid w:val="00B661EC"/>
    <w:pPr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B661EC"/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B661EC"/>
    <w:pPr>
      <w:spacing w:after="0" w:line="240" w:lineRule="auto"/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B661EC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B661E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B661EC"/>
    <w:pPr>
      <w:adjustRightInd w:val="0"/>
      <w:snapToGrid w:val="0"/>
      <w:spacing w:beforeLines="100" w:before="100" w:afterLines="100" w:after="100" w:line="240" w:lineRule="auto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 w:val="21"/>
      <w:lang w:eastAsia="zh-CN" w:bidi="en-US"/>
    </w:rPr>
  </w:style>
  <w:style w:type="paragraph" w:customStyle="1" w:styleId="Tablefooter">
    <w:name w:val="Table footer"/>
    <w:next w:val="a"/>
    <w:uiPriority w:val="12"/>
    <w:qFormat/>
    <w:rsid w:val="00B661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B661EC"/>
    <w:pPr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B661EC"/>
    <w:rPr>
      <w:rFonts w:ascii="Times New Roman" w:eastAsia="Times New Roman" w:hAnsi="Times New Roman" w:cs="Times New Roman"/>
      <w:snapToGrid w:val="0"/>
      <w:color w:val="000000"/>
      <w:kern w:val="0"/>
      <w:sz w:val="21"/>
      <w:szCs w:val="28"/>
      <w:lang w:eastAsia="de-DE" w:bidi="en-US"/>
    </w:rPr>
  </w:style>
  <w:style w:type="paragraph" w:styleId="ae">
    <w:name w:val="Balloon Text"/>
    <w:basedOn w:val="a"/>
    <w:link w:val="af"/>
    <w:uiPriority w:val="99"/>
    <w:semiHidden/>
    <w:rsid w:val="00B661EC"/>
    <w:rPr>
      <w:rFonts w:cs="Tahoma"/>
      <w:szCs w:val="18"/>
    </w:rPr>
  </w:style>
  <w:style w:type="character" w:customStyle="1" w:styleId="af">
    <w:name w:val="批注框文本 字符"/>
    <w:link w:val="ae"/>
    <w:uiPriority w:val="99"/>
    <w:semiHidden/>
    <w:rsid w:val="00B661EC"/>
    <w:rPr>
      <w:rFonts w:ascii="Palatino Linotype" w:eastAsia="宋体" w:hAnsi="Palatino Linotype" w:cs="Tahoma"/>
      <w:noProof/>
      <w:color w:val="000000"/>
      <w:kern w:val="0"/>
      <w:sz w:val="20"/>
      <w:szCs w:val="18"/>
      <w:lang w:eastAsia="zh-CN"/>
      <w14:ligatures w14:val="none"/>
    </w:rPr>
  </w:style>
  <w:style w:type="paragraph" w:styleId="af0">
    <w:name w:val="Normal (Web)"/>
    <w:basedOn w:val="a"/>
    <w:uiPriority w:val="99"/>
    <w:semiHidden/>
    <w:rsid w:val="00B661EC"/>
    <w:rPr>
      <w:szCs w:val="24"/>
    </w:rPr>
  </w:style>
  <w:style w:type="table" w:styleId="af1">
    <w:name w:val="Table Grid"/>
    <w:basedOn w:val="a1"/>
    <w:uiPriority w:val="59"/>
    <w:rsid w:val="00B661EC"/>
    <w:pPr>
      <w:spacing w:after="0"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semiHidden/>
    <w:unhideWhenUsed/>
    <w:rsid w:val="00B661EC"/>
    <w:pPr>
      <w:spacing w:line="240" w:lineRule="auto"/>
    </w:pPr>
  </w:style>
  <w:style w:type="character" w:customStyle="1" w:styleId="af3">
    <w:name w:val="尾注文本 字符"/>
    <w:link w:val="af2"/>
    <w:semiHidden/>
    <w:rsid w:val="00B661EC"/>
    <w:rPr>
      <w:rFonts w:ascii="Palatino Linotype" w:eastAsia="宋体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table" w:styleId="41">
    <w:name w:val="Plain Table 4"/>
    <w:basedOn w:val="a1"/>
    <w:uiPriority w:val="44"/>
    <w:rsid w:val="00B661EC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line number"/>
    <w:basedOn w:val="a0"/>
    <w:uiPriority w:val="99"/>
    <w:semiHidden/>
    <w:unhideWhenUsed/>
    <w:rsid w:val="00B661EC"/>
  </w:style>
  <w:style w:type="paragraph" w:styleId="af5">
    <w:name w:val="footer"/>
    <w:basedOn w:val="a"/>
    <w:link w:val="af6"/>
    <w:uiPriority w:val="99"/>
    <w:semiHidden/>
    <w:rsid w:val="00B661EC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f6">
    <w:name w:val="页脚 字符"/>
    <w:link w:val="af5"/>
    <w:uiPriority w:val="99"/>
    <w:semiHidden/>
    <w:rsid w:val="00B661EC"/>
    <w:rPr>
      <w:rFonts w:ascii="Palatino Linotype" w:eastAsia="宋体" w:hAnsi="Palatino Linotype" w:cs="Times New Roman"/>
      <w:noProof/>
      <w:color w:val="000000"/>
      <w:kern w:val="0"/>
      <w:sz w:val="20"/>
      <w:szCs w:val="18"/>
      <w:lang w:eastAsia="zh-CN"/>
      <w14:ligatures w14:val="none"/>
    </w:rPr>
  </w:style>
  <w:style w:type="paragraph" w:styleId="af7">
    <w:name w:val="header"/>
    <w:basedOn w:val="a"/>
    <w:link w:val="af8"/>
    <w:uiPriority w:val="99"/>
    <w:semiHidden/>
    <w:rsid w:val="00B6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f8">
    <w:name w:val="页眉 字符"/>
    <w:link w:val="af7"/>
    <w:uiPriority w:val="99"/>
    <w:semiHidden/>
    <w:rsid w:val="00B661EC"/>
    <w:rPr>
      <w:rFonts w:ascii="Palatino Linotype" w:eastAsia="宋体" w:hAnsi="Palatino Linotype" w:cs="Times New Roman"/>
      <w:noProof/>
      <w:color w:val="000000"/>
      <w:kern w:val="0"/>
      <w:sz w:val="20"/>
      <w:szCs w:val="18"/>
      <w:lang w:eastAsia="zh-CN"/>
      <w14:ligatures w14:val="none"/>
    </w:rPr>
  </w:style>
  <w:style w:type="character" w:styleId="af9">
    <w:name w:val="Placeholder Text"/>
    <w:uiPriority w:val="99"/>
    <w:semiHidden/>
    <w:rsid w:val="00B661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2856</Words>
  <Characters>16282</Characters>
  <Application>Microsoft Office Word</Application>
  <DocSecurity>0</DocSecurity>
  <Lines>135</Lines>
  <Paragraphs>38</Paragraphs>
  <ScaleCrop>false</ScaleCrop>
  <Company>Childrens Hospital Los Angeles</Company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Shen, Lishuang</dc:creator>
  <cp:keywords/>
  <dc:description/>
  <cp:lastModifiedBy>Rui Teo</cp:lastModifiedBy>
  <cp:revision>10</cp:revision>
  <dcterms:created xsi:type="dcterms:W3CDTF">2025-09-18T10:29:00Z</dcterms:created>
  <dcterms:modified xsi:type="dcterms:W3CDTF">2025-12-10T09:12:00Z</dcterms:modified>
</cp:coreProperties>
</file>