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FC39C" w14:textId="424F91D7" w:rsidR="00C55E22" w:rsidRDefault="00C55E22" w:rsidP="0078473A">
      <w:pPr>
        <w:adjustRightInd w:val="0"/>
        <w:snapToGrid w:val="0"/>
        <w:spacing w:line="240" w:lineRule="auto"/>
        <w:rPr>
          <w:rFonts w:cs="Times New Roman"/>
          <w:b/>
          <w:bCs/>
          <w:sz w:val="36"/>
          <w:szCs w:val="36"/>
        </w:rPr>
      </w:pPr>
      <w:r w:rsidRPr="00057368">
        <w:rPr>
          <w:rFonts w:cs="Times New Roman"/>
          <w:b/>
          <w:bCs/>
          <w:sz w:val="36"/>
          <w:szCs w:val="36"/>
        </w:rPr>
        <w:t xml:space="preserve">Supplementary </w:t>
      </w:r>
      <w:r w:rsidRPr="00057368">
        <w:rPr>
          <w:rFonts w:cs="Times New Roman" w:hint="eastAsia"/>
          <w:b/>
          <w:bCs/>
          <w:sz w:val="36"/>
          <w:szCs w:val="36"/>
        </w:rPr>
        <w:t>information:</w:t>
      </w:r>
    </w:p>
    <w:p w14:paraId="2AAFE3AA" w14:textId="77777777" w:rsidR="00C55E22" w:rsidRDefault="00C55E22" w:rsidP="0078473A">
      <w:pPr>
        <w:adjustRightInd w:val="0"/>
        <w:snapToGrid w:val="0"/>
        <w:spacing w:line="240" w:lineRule="auto"/>
        <w:rPr>
          <w:rFonts w:cs="Times New Roman"/>
          <w:b/>
          <w:bCs/>
          <w:sz w:val="36"/>
          <w:szCs w:val="36"/>
        </w:rPr>
      </w:pPr>
    </w:p>
    <w:p w14:paraId="36D17BED" w14:textId="15C95E07" w:rsidR="0078473A" w:rsidRDefault="0078473A" w:rsidP="0078473A">
      <w:pPr>
        <w:adjustRightInd w:val="0"/>
        <w:snapToGrid w:val="0"/>
        <w:spacing w:line="240" w:lineRule="auto"/>
        <w:rPr>
          <w:rFonts w:cs="Times New Roman"/>
          <w:b/>
          <w:bCs/>
          <w:sz w:val="36"/>
          <w:szCs w:val="36"/>
        </w:rPr>
      </w:pPr>
      <w:r w:rsidRPr="00394BBF">
        <w:rPr>
          <w:rFonts w:cs="Times New Roman"/>
          <w:b/>
          <w:bCs/>
          <w:sz w:val="36"/>
          <w:szCs w:val="36"/>
        </w:rPr>
        <w:t>Association between plasma fibrinogen level and the risk of MINOCA: a retrospective observational study</w:t>
      </w:r>
    </w:p>
    <w:p w14:paraId="08CEC12B" w14:textId="77777777" w:rsidR="00470FC0" w:rsidRPr="00444F96" w:rsidRDefault="00470FC0" w:rsidP="0078473A">
      <w:pPr>
        <w:adjustRightInd w:val="0"/>
        <w:snapToGrid w:val="0"/>
        <w:spacing w:line="240" w:lineRule="auto"/>
        <w:rPr>
          <w:rFonts w:cs="Times New Roman"/>
          <w:szCs w:val="24"/>
        </w:rPr>
      </w:pPr>
    </w:p>
    <w:p w14:paraId="3F2DC5AE" w14:textId="77777777" w:rsidR="00470FC0" w:rsidRDefault="00470FC0" w:rsidP="0078473A">
      <w:pPr>
        <w:adjustRightInd w:val="0"/>
        <w:snapToGrid w:val="0"/>
        <w:spacing w:line="240" w:lineRule="auto"/>
        <w:rPr>
          <w:rFonts w:cs="Times New Roman"/>
          <w:szCs w:val="24"/>
        </w:rPr>
      </w:pPr>
    </w:p>
    <w:p w14:paraId="1BA5F8AC" w14:textId="4727778B" w:rsidR="00E8662B" w:rsidRPr="00E8662B" w:rsidRDefault="0071590E" w:rsidP="00E8662B">
      <w:pPr>
        <w:widowControl w:val="0"/>
        <w:spacing w:line="240" w:lineRule="auto"/>
        <w:ind w:leftChars="-337" w:left="-809" w:firstLineChars="67" w:firstLine="141"/>
        <w:rPr>
          <w:rFonts w:cs="Times New Roman"/>
          <w:sz w:val="21"/>
          <w:szCs w:val="21"/>
        </w:rPr>
      </w:pPr>
      <w:r w:rsidRPr="0071590E">
        <w:rPr>
          <w:rFonts w:cs="Times New Roman"/>
          <w:sz w:val="21"/>
          <w:szCs w:val="21"/>
        </w:rPr>
        <w:t xml:space="preserve">Supplementary </w:t>
      </w:r>
      <w:r w:rsidR="00E8662B" w:rsidRPr="00E8662B">
        <w:rPr>
          <w:rFonts w:cs="Times New Roman"/>
          <w:sz w:val="21"/>
          <w:szCs w:val="21"/>
        </w:rPr>
        <w:t>Table</w:t>
      </w:r>
      <w:r>
        <w:rPr>
          <w:rFonts w:cs="Times New Roman"/>
          <w:sz w:val="21"/>
          <w:szCs w:val="21"/>
        </w:rPr>
        <w:t xml:space="preserve"> </w:t>
      </w:r>
      <w:r w:rsidR="00E8662B" w:rsidRPr="00E8662B">
        <w:rPr>
          <w:rFonts w:cs="Times New Roman"/>
          <w:sz w:val="21"/>
          <w:szCs w:val="21"/>
        </w:rPr>
        <w:t xml:space="preserve">1 </w:t>
      </w:r>
      <w:r w:rsidR="00E8662B" w:rsidRPr="00E8662B">
        <w:rPr>
          <w:rFonts w:cs="Times New Roman" w:hint="eastAsia"/>
          <w:sz w:val="21"/>
          <w:szCs w:val="21"/>
        </w:rPr>
        <w:t>Definitions and enrollment criteria for the study population</w:t>
      </w:r>
    </w:p>
    <w:tbl>
      <w:tblPr>
        <w:tblStyle w:val="af4"/>
        <w:tblW w:w="963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8662B" w:rsidRPr="00E8662B" w14:paraId="63BE10A2" w14:textId="77777777" w:rsidTr="00774E27">
        <w:trPr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9419914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Category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49A6FC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Specification</w:t>
            </w:r>
          </w:p>
        </w:tc>
      </w:tr>
      <w:tr w:rsidR="00E8662B" w:rsidRPr="00E8662B" w14:paraId="5F6791DB" w14:textId="77777777" w:rsidTr="00774E27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0D9108AC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Definition of MINOCA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0065E97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Diagnosis meeting the universal criteria for AMI</w:t>
            </w:r>
          </w:p>
        </w:tc>
      </w:tr>
      <w:tr w:rsidR="00E8662B" w:rsidRPr="00E8662B" w14:paraId="666E66ED" w14:textId="77777777" w:rsidTr="00774E27">
        <w:trPr>
          <w:jc w:val="center"/>
        </w:trPr>
        <w:tc>
          <w:tcPr>
            <w:tcW w:w="2263" w:type="dxa"/>
          </w:tcPr>
          <w:p w14:paraId="235377F2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542D3C48" w14:textId="1F680F0E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Non-obstructive coronary arteries on angiography (stenosis &lt;</w:t>
            </w:r>
            <w:r w:rsidR="000344EB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E8662B">
              <w:rPr>
                <w:rFonts w:cs="Times New Roman" w:hint="eastAsia"/>
                <w:sz w:val="21"/>
                <w:szCs w:val="21"/>
              </w:rPr>
              <w:t>50% or normal)</w:t>
            </w:r>
          </w:p>
        </w:tc>
      </w:tr>
      <w:tr w:rsidR="00E8662B" w:rsidRPr="00E8662B" w14:paraId="51EFBB0C" w14:textId="77777777" w:rsidTr="00774E27">
        <w:trPr>
          <w:jc w:val="center"/>
        </w:trPr>
        <w:tc>
          <w:tcPr>
            <w:tcW w:w="2263" w:type="dxa"/>
          </w:tcPr>
          <w:p w14:paraId="346F8AF5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3632B252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No clinically overt alternative cause of presentation</w:t>
            </w:r>
          </w:p>
        </w:tc>
      </w:tr>
      <w:tr w:rsidR="00E8662B" w:rsidRPr="00E8662B" w14:paraId="1E475589" w14:textId="77777777" w:rsidTr="00774E27">
        <w:trPr>
          <w:trHeight w:val="239"/>
          <w:jc w:val="center"/>
        </w:trPr>
        <w:tc>
          <w:tcPr>
            <w:tcW w:w="2263" w:type="dxa"/>
          </w:tcPr>
          <w:p w14:paraId="74E78B3B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71D54866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</w:tr>
      <w:tr w:rsidR="00E8662B" w:rsidRPr="00E8662B" w14:paraId="596E80C1" w14:textId="77777777" w:rsidTr="00774E27">
        <w:trPr>
          <w:jc w:val="center"/>
        </w:trPr>
        <w:tc>
          <w:tcPr>
            <w:tcW w:w="2263" w:type="dxa"/>
          </w:tcPr>
          <w:p w14:paraId="31A93293" w14:textId="0EA75428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 xml:space="preserve">Definition of </w:t>
            </w:r>
            <w:r w:rsidRPr="00812F59">
              <w:rPr>
                <w:rFonts w:cs="Times New Roman" w:hint="eastAsia"/>
                <w:color w:val="EE0000"/>
                <w:sz w:val="21"/>
                <w:szCs w:val="21"/>
              </w:rPr>
              <w:t>MI</w:t>
            </w:r>
            <w:r w:rsidR="00812F59" w:rsidRPr="00812F59">
              <w:rPr>
                <w:rFonts w:cs="Times New Roman" w:hint="eastAsia"/>
                <w:color w:val="EE0000"/>
                <w:sz w:val="21"/>
                <w:szCs w:val="21"/>
              </w:rPr>
              <w:t>-</w:t>
            </w:r>
            <w:r w:rsidRPr="00812F59">
              <w:rPr>
                <w:rFonts w:cs="Times New Roman" w:hint="eastAsia"/>
                <w:color w:val="EE0000"/>
                <w:sz w:val="21"/>
                <w:szCs w:val="21"/>
              </w:rPr>
              <w:t>CAD</w:t>
            </w:r>
          </w:p>
        </w:tc>
        <w:tc>
          <w:tcPr>
            <w:tcW w:w="7371" w:type="dxa"/>
          </w:tcPr>
          <w:p w14:paraId="43060805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Diagnosis meeting the universal criteria for AMI</w:t>
            </w:r>
          </w:p>
        </w:tc>
      </w:tr>
      <w:tr w:rsidR="00E8662B" w:rsidRPr="00E8662B" w14:paraId="00854187" w14:textId="77777777" w:rsidTr="00774E27">
        <w:trPr>
          <w:jc w:val="center"/>
        </w:trPr>
        <w:tc>
          <w:tcPr>
            <w:tcW w:w="2263" w:type="dxa"/>
          </w:tcPr>
          <w:p w14:paraId="7F4E5D4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7C5C6B17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 xml:space="preserve">- Obstructive </w:t>
            </w:r>
            <w:bookmarkStart w:id="0" w:name="_Hlk199860579"/>
            <w:r w:rsidRPr="00E8662B">
              <w:rPr>
                <w:rFonts w:cs="Times New Roman" w:hint="eastAsia"/>
                <w:sz w:val="21"/>
                <w:szCs w:val="21"/>
              </w:rPr>
              <w:t xml:space="preserve">CAD </w:t>
            </w:r>
            <w:bookmarkEnd w:id="0"/>
            <w:r w:rsidRPr="00E8662B">
              <w:rPr>
                <w:rFonts w:cs="Times New Roman" w:hint="eastAsia"/>
                <w:sz w:val="21"/>
                <w:szCs w:val="21"/>
              </w:rPr>
              <w:t xml:space="preserve">on angiography (stenosis </w:t>
            </w:r>
            <w:r w:rsidRPr="00E8662B">
              <w:rPr>
                <w:rFonts w:cs="Times New Roman" w:hint="eastAsia"/>
                <w:sz w:val="21"/>
                <w:szCs w:val="21"/>
              </w:rPr>
              <w:t>≥</w:t>
            </w:r>
            <w:r w:rsidRPr="00E8662B">
              <w:rPr>
                <w:rFonts w:cs="Times New Roman" w:hint="eastAsia"/>
                <w:sz w:val="21"/>
                <w:szCs w:val="21"/>
              </w:rPr>
              <w:t xml:space="preserve">50% in </w:t>
            </w:r>
            <w:r w:rsidRPr="00E8662B">
              <w:rPr>
                <w:rFonts w:cs="Times New Roman" w:hint="eastAsia"/>
                <w:sz w:val="21"/>
                <w:szCs w:val="21"/>
              </w:rPr>
              <w:t>≥</w:t>
            </w:r>
            <w:r w:rsidRPr="00E8662B">
              <w:rPr>
                <w:rFonts w:cs="Times New Roman" w:hint="eastAsia"/>
                <w:sz w:val="21"/>
                <w:szCs w:val="21"/>
              </w:rPr>
              <w:t>1 major epicardial artery)</w:t>
            </w:r>
          </w:p>
        </w:tc>
      </w:tr>
      <w:tr w:rsidR="00E8662B" w:rsidRPr="00E8662B" w14:paraId="19D7F565" w14:textId="77777777" w:rsidTr="00774E27">
        <w:trPr>
          <w:jc w:val="center"/>
        </w:trPr>
        <w:tc>
          <w:tcPr>
            <w:tcW w:w="2263" w:type="dxa"/>
          </w:tcPr>
          <w:p w14:paraId="132F886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218F846C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No alternative non-ischemic explanation</w:t>
            </w:r>
          </w:p>
        </w:tc>
      </w:tr>
      <w:tr w:rsidR="00E8662B" w:rsidRPr="00E8662B" w14:paraId="7DB6E82F" w14:textId="77777777" w:rsidTr="00774E27">
        <w:trPr>
          <w:jc w:val="center"/>
        </w:trPr>
        <w:tc>
          <w:tcPr>
            <w:tcW w:w="2263" w:type="dxa"/>
          </w:tcPr>
          <w:p w14:paraId="0CEDF0D5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1F3CE20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</w:tr>
      <w:tr w:rsidR="00E8662B" w:rsidRPr="00E8662B" w14:paraId="069E8F27" w14:textId="77777777" w:rsidTr="00774E27">
        <w:trPr>
          <w:jc w:val="center"/>
        </w:trPr>
        <w:tc>
          <w:tcPr>
            <w:tcW w:w="2263" w:type="dxa"/>
          </w:tcPr>
          <w:p w14:paraId="6CF654E3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Inclusion Criteria</w:t>
            </w:r>
          </w:p>
        </w:tc>
        <w:tc>
          <w:tcPr>
            <w:tcW w:w="7371" w:type="dxa"/>
          </w:tcPr>
          <w:p w14:paraId="412369CC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 xml:space="preserve">- Age </w:t>
            </w:r>
            <w:r w:rsidRPr="00E8662B">
              <w:rPr>
                <w:rFonts w:asciiTheme="minorHAnsi" w:hAnsiTheme="minorHAnsi"/>
                <w:sz w:val="21"/>
              </w:rPr>
              <w:t>≥</w:t>
            </w:r>
            <w:r w:rsidRPr="00E8662B">
              <w:rPr>
                <w:rFonts w:cs="Times New Roman" w:hint="eastAsia"/>
                <w:sz w:val="21"/>
                <w:szCs w:val="21"/>
              </w:rPr>
              <w:t>18 years</w:t>
            </w:r>
          </w:p>
        </w:tc>
      </w:tr>
      <w:tr w:rsidR="00E8662B" w:rsidRPr="00E8662B" w14:paraId="65A5637A" w14:textId="77777777" w:rsidTr="00774E27">
        <w:trPr>
          <w:jc w:val="center"/>
        </w:trPr>
        <w:tc>
          <w:tcPr>
            <w:tcW w:w="2263" w:type="dxa"/>
          </w:tcPr>
          <w:p w14:paraId="0BE68F0E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270AD54B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Diagnosis meeting the universal criteria for AMI</w:t>
            </w:r>
          </w:p>
        </w:tc>
      </w:tr>
      <w:tr w:rsidR="00E8662B" w:rsidRPr="00E8662B" w14:paraId="0F619C46" w14:textId="77777777" w:rsidTr="00774E27">
        <w:trPr>
          <w:jc w:val="center"/>
        </w:trPr>
        <w:tc>
          <w:tcPr>
            <w:tcW w:w="2263" w:type="dxa"/>
          </w:tcPr>
          <w:p w14:paraId="14E6393B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5F2E5437" w14:textId="0481584B" w:rsidR="007676C5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Underwent coronary angiography during index hospitalization</w:t>
            </w:r>
          </w:p>
        </w:tc>
      </w:tr>
      <w:tr w:rsidR="00E8662B" w:rsidRPr="00E8662B" w14:paraId="3EB137EB" w14:textId="77777777" w:rsidTr="00774E27">
        <w:trPr>
          <w:jc w:val="center"/>
        </w:trPr>
        <w:tc>
          <w:tcPr>
            <w:tcW w:w="2263" w:type="dxa"/>
          </w:tcPr>
          <w:p w14:paraId="2EB4D83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6AD66A19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</w:tr>
      <w:tr w:rsidR="00E8662B" w:rsidRPr="00E8662B" w14:paraId="06193477" w14:textId="77777777" w:rsidTr="00774E27">
        <w:trPr>
          <w:jc w:val="center"/>
        </w:trPr>
        <w:tc>
          <w:tcPr>
            <w:tcW w:w="2263" w:type="dxa"/>
          </w:tcPr>
          <w:p w14:paraId="2FBB0F82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Exclusion Criteria</w:t>
            </w:r>
          </w:p>
        </w:tc>
        <w:tc>
          <w:tcPr>
            <w:tcW w:w="7371" w:type="dxa"/>
          </w:tcPr>
          <w:p w14:paraId="364EBF99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Duplicate hospitalizations or repeated data entries</w:t>
            </w:r>
          </w:p>
        </w:tc>
      </w:tr>
      <w:tr w:rsidR="00E8662B" w:rsidRPr="00E8662B" w14:paraId="5EC56AE1" w14:textId="77777777" w:rsidTr="00774E27">
        <w:trPr>
          <w:jc w:val="center"/>
        </w:trPr>
        <w:tc>
          <w:tcPr>
            <w:tcW w:w="2263" w:type="dxa"/>
          </w:tcPr>
          <w:p w14:paraId="0FFE7194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2F580505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Known hematologic disorders</w:t>
            </w:r>
          </w:p>
        </w:tc>
      </w:tr>
      <w:tr w:rsidR="00E8662B" w:rsidRPr="00E8662B" w14:paraId="3DB8817D" w14:textId="77777777" w:rsidTr="00774E27">
        <w:trPr>
          <w:jc w:val="center"/>
        </w:trPr>
        <w:tc>
          <w:tcPr>
            <w:tcW w:w="2263" w:type="dxa"/>
          </w:tcPr>
          <w:p w14:paraId="56A22050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24BE9074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History of thromboembolic disease or anticoagulant use within 3 months</w:t>
            </w:r>
          </w:p>
        </w:tc>
      </w:tr>
      <w:tr w:rsidR="00E8662B" w:rsidRPr="00E8662B" w14:paraId="0E49331E" w14:textId="77777777" w:rsidTr="00774E27">
        <w:trPr>
          <w:jc w:val="center"/>
        </w:trPr>
        <w:tc>
          <w:tcPr>
            <w:tcW w:w="2263" w:type="dxa"/>
          </w:tcPr>
          <w:p w14:paraId="6A4C7FF5" w14:textId="77777777" w:rsidR="00E8662B" w:rsidRP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371" w:type="dxa"/>
          </w:tcPr>
          <w:p w14:paraId="4AFE6270" w14:textId="77777777" w:rsidR="00E8662B" w:rsidRDefault="00E8662B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E8662B">
              <w:rPr>
                <w:rFonts w:cs="Times New Roman" w:hint="eastAsia"/>
                <w:sz w:val="21"/>
                <w:szCs w:val="21"/>
              </w:rPr>
              <w:t>- Severe hepatic or renal dysfunction</w:t>
            </w:r>
          </w:p>
          <w:p w14:paraId="13D5DB42" w14:textId="19C89E64" w:rsidR="004D5861" w:rsidRPr="00E8662B" w:rsidRDefault="004D5861" w:rsidP="00E8662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 w:rsidRPr="004D5861">
              <w:rPr>
                <w:rFonts w:cs="Times New Roman" w:hint="eastAsia"/>
                <w:color w:val="EE0000"/>
                <w:sz w:val="21"/>
                <w:szCs w:val="21"/>
              </w:rPr>
              <w:t>-</w:t>
            </w:r>
            <w:r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4D5861">
              <w:rPr>
                <w:rFonts w:cs="Times New Roman"/>
                <w:color w:val="EE0000"/>
                <w:sz w:val="21"/>
                <w:szCs w:val="21"/>
              </w:rPr>
              <w:t>History of organ transplantation</w:t>
            </w:r>
          </w:p>
        </w:tc>
      </w:tr>
    </w:tbl>
    <w:p w14:paraId="293ACBF5" w14:textId="7E76919F" w:rsidR="00E8662B" w:rsidRPr="00E8662B" w:rsidRDefault="00E8662B" w:rsidP="00E8662B">
      <w:pPr>
        <w:widowControl w:val="0"/>
        <w:spacing w:line="200" w:lineRule="exact"/>
        <w:ind w:leftChars="-270" w:left="-648" w:rightChars="-297" w:right="-713"/>
        <w:rPr>
          <w:rFonts w:cs="Times New Roman"/>
          <w:sz w:val="18"/>
          <w:szCs w:val="18"/>
        </w:rPr>
      </w:pPr>
      <w:r w:rsidRPr="00E8662B">
        <w:rPr>
          <w:rFonts w:cs="Times New Roman" w:hint="eastAsia"/>
          <w:sz w:val="18"/>
          <w:szCs w:val="18"/>
        </w:rPr>
        <w:t xml:space="preserve">AMI, acute myocardial infarction; MINOCA, myocardial infarction with non-obstructive coronary arteries; </w:t>
      </w:r>
      <w:r w:rsidRPr="00536096">
        <w:rPr>
          <w:rFonts w:cs="Times New Roman" w:hint="eastAsia"/>
          <w:color w:val="EE0000"/>
          <w:sz w:val="18"/>
          <w:szCs w:val="18"/>
        </w:rPr>
        <w:t>MI</w:t>
      </w:r>
      <w:r w:rsidR="00536096" w:rsidRPr="00536096">
        <w:rPr>
          <w:rFonts w:cs="Times New Roman" w:hint="eastAsia"/>
          <w:color w:val="EE0000"/>
          <w:sz w:val="18"/>
          <w:szCs w:val="18"/>
        </w:rPr>
        <w:t>-</w:t>
      </w:r>
      <w:r w:rsidRPr="00536096">
        <w:rPr>
          <w:rFonts w:cs="Times New Roman" w:hint="eastAsia"/>
          <w:color w:val="EE0000"/>
          <w:sz w:val="18"/>
          <w:szCs w:val="18"/>
        </w:rPr>
        <w:t>CAD</w:t>
      </w:r>
      <w:r w:rsidRPr="00E8662B">
        <w:rPr>
          <w:rFonts w:cs="Times New Roman" w:hint="eastAsia"/>
          <w:sz w:val="18"/>
          <w:szCs w:val="18"/>
        </w:rPr>
        <w:t xml:space="preserve">, </w:t>
      </w:r>
      <w:r w:rsidRPr="00EA5372">
        <w:rPr>
          <w:rFonts w:cs="Times New Roman" w:hint="eastAsia"/>
          <w:color w:val="EE0000"/>
          <w:sz w:val="18"/>
          <w:szCs w:val="18"/>
        </w:rPr>
        <w:t>myocardial infarction with obstructive coronary arter</w:t>
      </w:r>
      <w:r w:rsidR="00EA5372" w:rsidRPr="00EA5372">
        <w:rPr>
          <w:rFonts w:cs="Times New Roman"/>
          <w:color w:val="EE0000"/>
          <w:sz w:val="18"/>
          <w:szCs w:val="18"/>
        </w:rPr>
        <w:t>y</w:t>
      </w:r>
      <w:r w:rsidRPr="00EA5372">
        <w:rPr>
          <w:rFonts w:cs="Times New Roman" w:hint="eastAsia"/>
          <w:color w:val="EE0000"/>
          <w:sz w:val="18"/>
          <w:szCs w:val="18"/>
        </w:rPr>
        <w:t xml:space="preserve"> disease</w:t>
      </w:r>
      <w:r w:rsidRPr="00E8662B">
        <w:rPr>
          <w:rFonts w:cs="Times New Roman" w:hint="eastAsia"/>
          <w:sz w:val="18"/>
          <w:szCs w:val="18"/>
        </w:rPr>
        <w:t>; CAD, coronary artery disease.</w:t>
      </w:r>
    </w:p>
    <w:p w14:paraId="068BAA90" w14:textId="77777777" w:rsidR="00283B0E" w:rsidRDefault="00283B0E">
      <w:pPr>
        <w:rPr>
          <w:noProof/>
        </w:rPr>
      </w:pPr>
    </w:p>
    <w:p w14:paraId="0CCAA17D" w14:textId="12E8C2F3" w:rsidR="007676C5" w:rsidRDefault="007A3E5B">
      <w:pPr>
        <w:rPr>
          <w:noProof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4D4AC27" wp14:editId="7EA7B9D7">
            <wp:simplePos x="0" y="0"/>
            <wp:positionH relativeFrom="margin">
              <wp:align>left</wp:align>
            </wp:positionH>
            <wp:positionV relativeFrom="paragraph">
              <wp:posOffset>185208</wp:posOffset>
            </wp:positionV>
            <wp:extent cx="4974167" cy="1768446"/>
            <wp:effectExtent l="0" t="0" r="0" b="3810"/>
            <wp:wrapNone/>
            <wp:docPr id="407175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75170" name="图片 407175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167" cy="1768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03DF0" w14:textId="2EA9C819" w:rsidR="007A3E5B" w:rsidRDefault="007A3E5B">
      <w:pPr>
        <w:rPr>
          <w:sz w:val="21"/>
          <w:szCs w:val="21"/>
        </w:rPr>
      </w:pPr>
    </w:p>
    <w:p w14:paraId="11670F92" w14:textId="1DFCF5BF" w:rsidR="007A3E5B" w:rsidRDefault="007A3E5B">
      <w:pPr>
        <w:rPr>
          <w:sz w:val="21"/>
          <w:szCs w:val="21"/>
        </w:rPr>
      </w:pPr>
    </w:p>
    <w:p w14:paraId="0C3E26C1" w14:textId="66B94F7F" w:rsidR="007A3E5B" w:rsidRDefault="007A3E5B">
      <w:pPr>
        <w:rPr>
          <w:sz w:val="21"/>
          <w:szCs w:val="21"/>
        </w:rPr>
      </w:pPr>
    </w:p>
    <w:p w14:paraId="00B5E006" w14:textId="77777777" w:rsidR="007A3E5B" w:rsidRDefault="007A3E5B">
      <w:pPr>
        <w:rPr>
          <w:sz w:val="21"/>
          <w:szCs w:val="21"/>
        </w:rPr>
      </w:pPr>
    </w:p>
    <w:p w14:paraId="65AF3998" w14:textId="77777777" w:rsidR="007A3E5B" w:rsidRDefault="007A3E5B">
      <w:pPr>
        <w:rPr>
          <w:sz w:val="21"/>
          <w:szCs w:val="21"/>
        </w:rPr>
      </w:pPr>
    </w:p>
    <w:p w14:paraId="7FF05CAE" w14:textId="77777777" w:rsidR="007A3E5B" w:rsidRDefault="007A3E5B">
      <w:pPr>
        <w:rPr>
          <w:sz w:val="21"/>
          <w:szCs w:val="21"/>
        </w:rPr>
      </w:pPr>
    </w:p>
    <w:p w14:paraId="514ED10C" w14:textId="4D1339BC" w:rsidR="007A3E5B" w:rsidRDefault="007A3E5B">
      <w:pPr>
        <w:rPr>
          <w:sz w:val="21"/>
          <w:szCs w:val="21"/>
        </w:rPr>
      </w:pPr>
    </w:p>
    <w:p w14:paraId="395B7172" w14:textId="3AEFB102" w:rsidR="003950EA" w:rsidRPr="00F038AA" w:rsidRDefault="0071590E">
      <w:pPr>
        <w:rPr>
          <w:sz w:val="21"/>
          <w:szCs w:val="21"/>
        </w:rPr>
      </w:pPr>
      <w:r w:rsidRPr="0071590E">
        <w:rPr>
          <w:sz w:val="21"/>
          <w:szCs w:val="21"/>
        </w:rPr>
        <w:t xml:space="preserve">Supplementary </w:t>
      </w:r>
      <w:r w:rsidR="007A3E5B" w:rsidRPr="007A3E5B">
        <w:rPr>
          <w:sz w:val="21"/>
          <w:szCs w:val="21"/>
        </w:rPr>
        <w:t>Fig</w:t>
      </w:r>
      <w:r>
        <w:rPr>
          <w:sz w:val="21"/>
          <w:szCs w:val="21"/>
        </w:rPr>
        <w:t xml:space="preserve">. </w:t>
      </w:r>
      <w:bookmarkStart w:id="1" w:name="_GoBack"/>
      <w:bookmarkEnd w:id="1"/>
      <w:r w:rsidR="007A3E5B" w:rsidRPr="007A3E5B">
        <w:rPr>
          <w:sz w:val="21"/>
          <w:szCs w:val="21"/>
        </w:rPr>
        <w:t>1</w:t>
      </w:r>
      <w:r w:rsidR="00CC212E">
        <w:rPr>
          <w:rFonts w:hint="eastAsia"/>
          <w:sz w:val="21"/>
          <w:szCs w:val="21"/>
        </w:rPr>
        <w:t>.</w:t>
      </w:r>
      <w:r w:rsidR="007A3E5B" w:rsidRPr="00D93CD8">
        <w:rPr>
          <w:sz w:val="21"/>
          <w:szCs w:val="21"/>
        </w:rPr>
        <w:t xml:space="preserve"> Restricted cubic spline analysis of the association between plasma fibrinogen level and the odds of MINOCA. </w:t>
      </w:r>
      <w:r w:rsidR="00EF1844">
        <w:rPr>
          <w:sz w:val="21"/>
          <w:szCs w:val="21"/>
        </w:rPr>
        <w:t>The m</w:t>
      </w:r>
      <w:r w:rsidR="00225880" w:rsidRPr="00D93CD8">
        <w:rPr>
          <w:sz w:val="21"/>
          <w:szCs w:val="21"/>
        </w:rPr>
        <w:t xml:space="preserve">odel was adjusted for age, sex, ST-segment elevation, diabetes mellitus, troponin I, and </w:t>
      </w:r>
      <w:r w:rsidR="00225880" w:rsidRPr="00D93CD8">
        <w:rPr>
          <w:rFonts w:hint="eastAsia"/>
          <w:sz w:val="21"/>
          <w:szCs w:val="21"/>
        </w:rPr>
        <w:t>LVEF</w:t>
      </w:r>
      <w:r w:rsidR="00225880" w:rsidRPr="00D93CD8">
        <w:rPr>
          <w:sz w:val="21"/>
          <w:szCs w:val="21"/>
        </w:rPr>
        <w:t>.</w:t>
      </w:r>
      <w:r w:rsidR="00225880" w:rsidRPr="00D93CD8">
        <w:rPr>
          <w:rFonts w:hint="eastAsia"/>
          <w:sz w:val="21"/>
          <w:szCs w:val="21"/>
        </w:rPr>
        <w:t xml:space="preserve"> </w:t>
      </w:r>
      <w:r w:rsidR="007A3E5B" w:rsidRPr="00D93CD8">
        <w:rPr>
          <w:sz w:val="21"/>
          <w:szCs w:val="21"/>
        </w:rPr>
        <w:t>MINOCA, myocardial infarction with non-obstructive coronary arteries</w:t>
      </w:r>
      <w:r w:rsidR="00F038AA" w:rsidRPr="00D93CD8">
        <w:rPr>
          <w:rFonts w:hint="eastAsia"/>
          <w:sz w:val="21"/>
          <w:szCs w:val="21"/>
        </w:rPr>
        <w:t xml:space="preserve">; </w:t>
      </w:r>
      <w:r w:rsidR="00225880" w:rsidRPr="00D93CD8">
        <w:rPr>
          <w:rFonts w:hint="eastAsia"/>
          <w:sz w:val="21"/>
          <w:szCs w:val="21"/>
        </w:rPr>
        <w:t xml:space="preserve">LVEF, </w:t>
      </w:r>
      <w:r w:rsidR="00225880" w:rsidRPr="00D93CD8">
        <w:rPr>
          <w:sz w:val="21"/>
          <w:szCs w:val="21"/>
        </w:rPr>
        <w:t>left ventricular ejection fraction</w:t>
      </w:r>
      <w:r w:rsidR="00225880" w:rsidRPr="00D93CD8">
        <w:rPr>
          <w:rFonts w:hint="eastAsia"/>
          <w:sz w:val="21"/>
          <w:szCs w:val="21"/>
        </w:rPr>
        <w:t xml:space="preserve">; </w:t>
      </w:r>
      <w:r w:rsidR="00F038AA" w:rsidRPr="00D93CD8">
        <w:rPr>
          <w:rFonts w:hint="eastAsia"/>
          <w:sz w:val="21"/>
          <w:szCs w:val="21"/>
        </w:rPr>
        <w:t>CI, c</w:t>
      </w:r>
      <w:r w:rsidR="00F038AA" w:rsidRPr="00D93CD8">
        <w:rPr>
          <w:sz w:val="21"/>
          <w:szCs w:val="21"/>
        </w:rPr>
        <w:t xml:space="preserve">onfidence </w:t>
      </w:r>
      <w:r w:rsidR="00F038AA" w:rsidRPr="00D93CD8">
        <w:rPr>
          <w:rFonts w:hint="eastAsia"/>
          <w:sz w:val="21"/>
          <w:szCs w:val="21"/>
        </w:rPr>
        <w:t>i</w:t>
      </w:r>
      <w:r w:rsidR="00F038AA" w:rsidRPr="00D93CD8">
        <w:rPr>
          <w:sz w:val="21"/>
          <w:szCs w:val="21"/>
        </w:rPr>
        <w:t>nterval</w:t>
      </w:r>
      <w:r w:rsidR="00F038AA" w:rsidRPr="00D93CD8">
        <w:rPr>
          <w:rFonts w:hint="eastAsia"/>
          <w:sz w:val="21"/>
          <w:szCs w:val="21"/>
        </w:rPr>
        <w:t>.</w:t>
      </w:r>
    </w:p>
    <w:sectPr w:rsidR="003950EA" w:rsidRPr="00F03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7190" w14:textId="77777777" w:rsidR="003B789F" w:rsidRDefault="003B789F" w:rsidP="0078473A">
      <w:pPr>
        <w:spacing w:line="240" w:lineRule="auto"/>
      </w:pPr>
      <w:r>
        <w:separator/>
      </w:r>
    </w:p>
  </w:endnote>
  <w:endnote w:type="continuationSeparator" w:id="0">
    <w:p w14:paraId="2AA2866C" w14:textId="77777777" w:rsidR="003B789F" w:rsidRDefault="003B789F" w:rsidP="00784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6E22E" w14:textId="77777777" w:rsidR="003B789F" w:rsidRDefault="003B789F" w:rsidP="0078473A">
      <w:pPr>
        <w:spacing w:line="240" w:lineRule="auto"/>
      </w:pPr>
      <w:r>
        <w:separator/>
      </w:r>
    </w:p>
  </w:footnote>
  <w:footnote w:type="continuationSeparator" w:id="0">
    <w:p w14:paraId="6E3B0758" w14:textId="77777777" w:rsidR="003B789F" w:rsidRDefault="003B789F" w:rsidP="007847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tjAxNDYwMzcxNDRU0lEKTi0uzszPAymwrAUAprTKmCwAAAA="/>
  </w:docVars>
  <w:rsids>
    <w:rsidRoot w:val="001B40F6"/>
    <w:rsid w:val="000344EB"/>
    <w:rsid w:val="0006767F"/>
    <w:rsid w:val="000A159A"/>
    <w:rsid w:val="000A2432"/>
    <w:rsid w:val="00120C06"/>
    <w:rsid w:val="001B40F6"/>
    <w:rsid w:val="001C182E"/>
    <w:rsid w:val="001F375A"/>
    <w:rsid w:val="00203CA2"/>
    <w:rsid w:val="00225880"/>
    <w:rsid w:val="00283B0E"/>
    <w:rsid w:val="002E616F"/>
    <w:rsid w:val="00360FD9"/>
    <w:rsid w:val="003950EA"/>
    <w:rsid w:val="003B789F"/>
    <w:rsid w:val="003E25EA"/>
    <w:rsid w:val="00444F96"/>
    <w:rsid w:val="00470FC0"/>
    <w:rsid w:val="004D5861"/>
    <w:rsid w:val="00536096"/>
    <w:rsid w:val="0057340C"/>
    <w:rsid w:val="00664BFC"/>
    <w:rsid w:val="00676B4D"/>
    <w:rsid w:val="00692A81"/>
    <w:rsid w:val="0071590E"/>
    <w:rsid w:val="00762006"/>
    <w:rsid w:val="007676C5"/>
    <w:rsid w:val="0077123D"/>
    <w:rsid w:val="0078473A"/>
    <w:rsid w:val="007A3E5B"/>
    <w:rsid w:val="00812F59"/>
    <w:rsid w:val="00835EB3"/>
    <w:rsid w:val="008A3F07"/>
    <w:rsid w:val="00AD5457"/>
    <w:rsid w:val="00AF073C"/>
    <w:rsid w:val="00B11043"/>
    <w:rsid w:val="00C32FE0"/>
    <w:rsid w:val="00C55E22"/>
    <w:rsid w:val="00C7473D"/>
    <w:rsid w:val="00CC163B"/>
    <w:rsid w:val="00CC212E"/>
    <w:rsid w:val="00D30573"/>
    <w:rsid w:val="00D93CD8"/>
    <w:rsid w:val="00E8662B"/>
    <w:rsid w:val="00EA5372"/>
    <w:rsid w:val="00EF1844"/>
    <w:rsid w:val="00F038AA"/>
    <w:rsid w:val="00F511F9"/>
    <w:rsid w:val="00F760BD"/>
    <w:rsid w:val="00FA05E6"/>
    <w:rsid w:val="00FB1DB8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A5E6B"/>
  <w14:defaultImageDpi w14:val="32767"/>
  <w15:chartTrackingRefBased/>
  <w15:docId w15:val="{F1D0AA21-A203-41DE-AA25-3D49047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73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B4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0F6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0F6"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0F6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0F6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0F6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0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0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0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0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40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0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0F6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1B4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0F6"/>
    <w:pPr>
      <w:ind w:left="720"/>
      <w:contextualSpacing/>
    </w:pPr>
    <w:rPr>
      <w:rFonts w:asciiTheme="minorHAnsi" w:hAnsiTheme="minorHAnsi"/>
      <w:sz w:val="21"/>
    </w:rPr>
  </w:style>
  <w:style w:type="character" w:styleId="aa">
    <w:name w:val="Intense Emphasis"/>
    <w:basedOn w:val="a0"/>
    <w:uiPriority w:val="21"/>
    <w:qFormat/>
    <w:rsid w:val="001B40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1B40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40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473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47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47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473A"/>
    <w:rPr>
      <w:sz w:val="18"/>
      <w:szCs w:val="18"/>
    </w:rPr>
  </w:style>
  <w:style w:type="character" w:styleId="af2">
    <w:name w:val="Hyperlink"/>
    <w:basedOn w:val="a0"/>
    <w:uiPriority w:val="99"/>
    <w:unhideWhenUsed/>
    <w:rsid w:val="00470FC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70FC0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E866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Zongqian Xue,</dc:creator>
  <cp:keywords/>
  <dc:description/>
  <cp:lastModifiedBy>Rui Teo</cp:lastModifiedBy>
  <cp:revision>101</cp:revision>
  <dcterms:created xsi:type="dcterms:W3CDTF">2025-09-15T19:33:00Z</dcterms:created>
  <dcterms:modified xsi:type="dcterms:W3CDTF">2025-10-16T08:05:00Z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22ae550f-8026-48a4-8da1-a979ad3a7a14</vt:lpwstr>
  </property>
</Properties>
</file>