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52399" w14:textId="77777777" w:rsidR="00F83090" w:rsidRDefault="00654369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Supporting Information</w:t>
      </w:r>
    </w:p>
    <w:p w14:paraId="5AC35A01" w14:textId="77777777" w:rsidR="00F83090" w:rsidRDefault="00F83090"/>
    <w:p w14:paraId="1360C5C3" w14:textId="77777777" w:rsidR="00F83090" w:rsidRDefault="00654369">
      <w:pPr>
        <w:pStyle w:val="Figure"/>
      </w:pPr>
      <w:r>
        <w:rPr>
          <w:noProof/>
        </w:rPr>
        <w:drawing>
          <wp:inline distT="0" distB="0" distL="114300" distR="114300">
            <wp:extent cx="5274310" cy="3084195"/>
            <wp:effectExtent l="0" t="0" r="889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84D0" w14:textId="02B942E0" w:rsidR="00F83090" w:rsidRDefault="00654369">
      <w:pPr>
        <w:pStyle w:val="Figurecaption"/>
      </w:pPr>
      <w:r>
        <w:rPr>
          <w:b/>
          <w:bCs/>
        </w:rPr>
        <w:t xml:space="preserve">Supplementary </w:t>
      </w:r>
      <w:r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>
        <w:rPr>
          <w:rFonts w:hint="eastAsia"/>
          <w:b/>
          <w:bCs/>
        </w:rPr>
        <w:t xml:space="preserve">1. </w:t>
      </w:r>
      <w:r w:rsidRPr="00654369">
        <w:rPr>
          <w:b/>
        </w:rPr>
        <w:t>Representative clinical and histological images from the normal control group</w:t>
      </w:r>
      <w:r w:rsidRPr="00654369">
        <w:rPr>
          <w:rFonts w:hint="eastAsia"/>
          <w:b/>
        </w:rPr>
        <w:t xml:space="preserve"> (G1)</w:t>
      </w:r>
      <w:r w:rsidRPr="00654369">
        <w:rPr>
          <w:b/>
        </w:rPr>
        <w:t>.</w:t>
      </w:r>
      <w:r>
        <w:t xml:space="preserve"> (A–C) Gastroscopic images. (D–F) Corresponding hematoxylin-eosin (HE)-stained histopathological section</w:t>
      </w:r>
      <w:r w:rsidRPr="00654369">
        <w:rPr>
          <w:color w:val="auto"/>
        </w:rPr>
        <w:t>s</w:t>
      </w:r>
      <w:r w:rsidRPr="00654369">
        <w:rPr>
          <w:rFonts w:hint="eastAsia"/>
          <w:color w:val="auto"/>
        </w:rPr>
        <w:t xml:space="preserve"> </w:t>
      </w:r>
      <w:r w:rsidRPr="00654369">
        <w:rPr>
          <w:rFonts w:hint="eastAsia"/>
          <w:color w:val="auto"/>
        </w:rPr>
        <w:t>(magnification: 100</w:t>
      </w:r>
      <w:r w:rsidRPr="00654369">
        <w:rPr>
          <w:color w:val="auto"/>
        </w:rPr>
        <w:t>×</w:t>
      </w:r>
      <w:r w:rsidRPr="00654369">
        <w:rPr>
          <w:rFonts w:hint="eastAsia"/>
          <w:color w:val="auto"/>
        </w:rPr>
        <w:t>)</w:t>
      </w:r>
      <w:r w:rsidRPr="00654369">
        <w:rPr>
          <w:rFonts w:hint="eastAsia"/>
          <w:color w:val="auto"/>
        </w:rPr>
        <w:t>.</w:t>
      </w:r>
    </w:p>
    <w:p w14:paraId="56E6D12A" w14:textId="77777777" w:rsidR="00F83090" w:rsidRDefault="00F83090">
      <w:pPr>
        <w:spacing w:line="360" w:lineRule="auto"/>
        <w:rPr>
          <w:sz w:val="24"/>
          <w:szCs w:val="24"/>
        </w:rPr>
      </w:pPr>
    </w:p>
    <w:p w14:paraId="6FF31B8A" w14:textId="77777777" w:rsidR="00F83090" w:rsidRDefault="00F83090">
      <w:pPr>
        <w:spacing w:line="360" w:lineRule="auto"/>
        <w:rPr>
          <w:sz w:val="24"/>
          <w:szCs w:val="24"/>
        </w:rPr>
      </w:pPr>
    </w:p>
    <w:p w14:paraId="5C746176" w14:textId="77777777" w:rsidR="00F83090" w:rsidRDefault="00654369">
      <w:pPr>
        <w:pStyle w:val="Figure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055" cy="2999740"/>
            <wp:effectExtent l="0" t="0" r="444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CE18" w14:textId="49B88D7E" w:rsidR="00F83090" w:rsidRDefault="00654369">
      <w:pPr>
        <w:pStyle w:val="Figurecaption"/>
      </w:pPr>
      <w:r>
        <w:rPr>
          <w:b/>
          <w:bCs/>
        </w:rPr>
        <w:t xml:space="preserve">Supplementary </w:t>
      </w:r>
      <w:r>
        <w:rPr>
          <w:rFonts w:hint="eastAsia"/>
          <w:b/>
          <w:bCs/>
        </w:rPr>
        <w:t>Fig</w:t>
      </w:r>
      <w:r>
        <w:rPr>
          <w:b/>
          <w:bCs/>
        </w:rPr>
        <w:t>. 2.</w:t>
      </w:r>
      <w:r w:rsidRPr="00654369">
        <w:rPr>
          <w:rFonts w:hint="eastAsia"/>
          <w:b/>
        </w:rPr>
        <w:t xml:space="preserve"> </w:t>
      </w:r>
      <w:r w:rsidRPr="00654369">
        <w:rPr>
          <w:rFonts w:hint="eastAsia"/>
          <w:b/>
        </w:rPr>
        <w:t xml:space="preserve">Representative clinical and histological images from the patients with gastritis </w:t>
      </w:r>
      <w:r w:rsidRPr="00654369">
        <w:rPr>
          <w:rFonts w:eastAsia="宋体" w:hint="eastAsia"/>
          <w:b/>
          <w:lang w:eastAsia="zh-CN"/>
        </w:rPr>
        <w:t xml:space="preserve">group </w:t>
      </w:r>
      <w:r w:rsidRPr="00654369">
        <w:rPr>
          <w:rFonts w:hint="eastAsia"/>
          <w:b/>
        </w:rPr>
        <w:t>(G2)</w:t>
      </w:r>
      <w:r w:rsidRPr="00654369">
        <w:rPr>
          <w:rFonts w:hint="eastAsia"/>
          <w:b/>
        </w:rPr>
        <w:t>.</w:t>
      </w:r>
      <w:r>
        <w:rPr>
          <w:rFonts w:hint="eastAsia"/>
        </w:rPr>
        <w:t xml:space="preserve"> (A–C) Gastroscopic images. (D–F) Corresponding hematoxylin-eosin (HE)-stained histopathological section</w:t>
      </w:r>
      <w:r w:rsidRPr="00654369">
        <w:rPr>
          <w:rFonts w:hint="eastAsia"/>
          <w:color w:val="auto"/>
        </w:rPr>
        <w:t>s</w:t>
      </w:r>
      <w:r w:rsidRPr="00654369">
        <w:rPr>
          <w:rFonts w:hint="eastAsia"/>
          <w:color w:val="auto"/>
        </w:rPr>
        <w:t xml:space="preserve"> </w:t>
      </w:r>
      <w:r w:rsidRPr="00654369">
        <w:rPr>
          <w:rFonts w:hint="eastAsia"/>
          <w:color w:val="auto"/>
        </w:rPr>
        <w:t>(magnification: 100</w:t>
      </w:r>
      <w:r w:rsidRPr="00654369">
        <w:rPr>
          <w:color w:val="auto"/>
        </w:rPr>
        <w:t>×</w:t>
      </w:r>
      <w:r w:rsidRPr="00654369">
        <w:rPr>
          <w:rFonts w:hint="eastAsia"/>
          <w:color w:val="auto"/>
        </w:rPr>
        <w:t>)</w:t>
      </w:r>
      <w:r w:rsidRPr="00654369">
        <w:rPr>
          <w:rFonts w:hint="eastAsia"/>
          <w:color w:val="auto"/>
        </w:rPr>
        <w:t>.</w:t>
      </w:r>
    </w:p>
    <w:p w14:paraId="60AE73F1" w14:textId="77777777" w:rsidR="00F83090" w:rsidRDefault="00F83090">
      <w:pPr>
        <w:pStyle w:val="Figurecaption"/>
      </w:pPr>
    </w:p>
    <w:p w14:paraId="1FA2BCE5" w14:textId="77777777" w:rsidR="00F83090" w:rsidRDefault="00654369">
      <w:pPr>
        <w:pStyle w:val="Figure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3037840"/>
            <wp:effectExtent l="0" t="0" r="190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5696" w14:textId="3F74A7CC" w:rsidR="00F83090" w:rsidRDefault="00654369">
      <w:pPr>
        <w:pStyle w:val="Figurecaption"/>
      </w:pPr>
      <w:r>
        <w:rPr>
          <w:b/>
          <w:bCs/>
        </w:rPr>
        <w:lastRenderedPageBreak/>
        <w:t xml:space="preserve">Supplementary </w:t>
      </w:r>
      <w:r>
        <w:rPr>
          <w:rFonts w:hint="eastAsia"/>
          <w:b/>
          <w:bCs/>
        </w:rPr>
        <w:t>Fig</w:t>
      </w:r>
      <w:r>
        <w:rPr>
          <w:b/>
          <w:bCs/>
        </w:rPr>
        <w:t>. 3.</w:t>
      </w:r>
      <w:r>
        <w:rPr>
          <w:rFonts w:hint="eastAsia"/>
        </w:rPr>
        <w:t xml:space="preserve"> </w:t>
      </w:r>
      <w:r w:rsidRPr="00654369">
        <w:rPr>
          <w:rFonts w:hint="eastAsia"/>
          <w:b/>
        </w:rPr>
        <w:t>Representative clinical and histological images from the patients with gastric atrophy grou</w:t>
      </w:r>
      <w:r w:rsidRPr="00654369">
        <w:rPr>
          <w:rFonts w:hint="eastAsia"/>
          <w:b/>
        </w:rPr>
        <w:t>p (G</w:t>
      </w:r>
      <w:r w:rsidRPr="00654369">
        <w:rPr>
          <w:rFonts w:eastAsia="宋体" w:hint="eastAsia"/>
          <w:b/>
          <w:lang w:eastAsia="zh-CN"/>
        </w:rPr>
        <w:t>3</w:t>
      </w:r>
      <w:r w:rsidRPr="00654369">
        <w:rPr>
          <w:rFonts w:hint="eastAsia"/>
          <w:b/>
        </w:rPr>
        <w:t>).</w:t>
      </w:r>
      <w:r>
        <w:rPr>
          <w:rFonts w:hint="eastAsia"/>
        </w:rPr>
        <w:t xml:space="preserve"> (A–C) Gastroscopic images. (D–F) Corresponding hematoxylin-eosin (HE)-stained histopathological </w:t>
      </w:r>
      <w:r w:rsidRPr="00654369">
        <w:rPr>
          <w:rFonts w:hint="eastAsia"/>
          <w:color w:val="auto"/>
        </w:rPr>
        <w:t>sections</w:t>
      </w:r>
      <w:r w:rsidRPr="00654369">
        <w:rPr>
          <w:rFonts w:hint="eastAsia"/>
          <w:color w:val="auto"/>
        </w:rPr>
        <w:t xml:space="preserve"> </w:t>
      </w:r>
      <w:r w:rsidRPr="00654369">
        <w:rPr>
          <w:rFonts w:hint="eastAsia"/>
          <w:color w:val="auto"/>
        </w:rPr>
        <w:t>(magnification: 100</w:t>
      </w:r>
      <w:r w:rsidRPr="00654369">
        <w:rPr>
          <w:color w:val="auto"/>
        </w:rPr>
        <w:t>×</w:t>
      </w:r>
      <w:r w:rsidRPr="00654369">
        <w:rPr>
          <w:rFonts w:hint="eastAsia"/>
          <w:color w:val="auto"/>
        </w:rPr>
        <w:t>)</w:t>
      </w:r>
      <w:r w:rsidRPr="00654369">
        <w:rPr>
          <w:rFonts w:hint="eastAsia"/>
          <w:color w:val="auto"/>
        </w:rPr>
        <w:t>.</w:t>
      </w:r>
    </w:p>
    <w:p w14:paraId="36479794" w14:textId="77777777" w:rsidR="00F83090" w:rsidRDefault="00F83090">
      <w:pPr>
        <w:spacing w:line="360" w:lineRule="auto"/>
        <w:rPr>
          <w:sz w:val="24"/>
          <w:szCs w:val="24"/>
        </w:rPr>
      </w:pPr>
    </w:p>
    <w:p w14:paraId="738ECF7F" w14:textId="77777777" w:rsidR="00F83090" w:rsidRDefault="00F83090">
      <w:pPr>
        <w:spacing w:line="360" w:lineRule="auto"/>
        <w:rPr>
          <w:sz w:val="24"/>
          <w:szCs w:val="24"/>
        </w:rPr>
      </w:pPr>
    </w:p>
    <w:p w14:paraId="48BB26F5" w14:textId="77777777" w:rsidR="00F83090" w:rsidRDefault="00F83090">
      <w:pPr>
        <w:spacing w:line="360" w:lineRule="auto"/>
        <w:rPr>
          <w:sz w:val="24"/>
          <w:szCs w:val="24"/>
        </w:rPr>
      </w:pPr>
    </w:p>
    <w:p w14:paraId="4ED26D87" w14:textId="77777777" w:rsidR="00F83090" w:rsidRDefault="00654369">
      <w:pPr>
        <w:pStyle w:val="Figure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910840"/>
            <wp:effectExtent l="0" t="0" r="317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BCCA" w14:textId="05045E34" w:rsidR="00F83090" w:rsidRDefault="00654369">
      <w:pPr>
        <w:pStyle w:val="Figurecaption"/>
      </w:pPr>
      <w:r>
        <w:rPr>
          <w:b/>
          <w:bCs/>
        </w:rPr>
        <w:t xml:space="preserve">Supplementary </w:t>
      </w:r>
      <w:r>
        <w:rPr>
          <w:rFonts w:hint="eastAsia"/>
          <w:b/>
          <w:bCs/>
        </w:rPr>
        <w:t>Fig</w:t>
      </w:r>
      <w:r>
        <w:rPr>
          <w:b/>
          <w:bCs/>
        </w:rPr>
        <w:t>.</w:t>
      </w:r>
      <w:r>
        <w:rPr>
          <w:rFonts w:hint="eastAsia"/>
          <w:b/>
        </w:rPr>
        <w:t xml:space="preserve"> </w:t>
      </w:r>
      <w:r>
        <w:rPr>
          <w:b/>
        </w:rPr>
        <w:t>4.</w:t>
      </w:r>
      <w:r w:rsidRPr="00654369">
        <w:rPr>
          <w:rFonts w:hint="eastAsia"/>
          <w:b/>
        </w:rPr>
        <w:t xml:space="preserve"> </w:t>
      </w:r>
      <w:r w:rsidRPr="00654369">
        <w:rPr>
          <w:rFonts w:hint="eastAsia"/>
          <w:b/>
        </w:rPr>
        <w:t>Representative clinical and histological images from the patients with gastric erosion grou</w:t>
      </w:r>
      <w:r w:rsidRPr="00654369">
        <w:rPr>
          <w:rFonts w:hint="eastAsia"/>
          <w:b/>
        </w:rPr>
        <w:t>p (G</w:t>
      </w:r>
      <w:r w:rsidRPr="00654369">
        <w:rPr>
          <w:rFonts w:eastAsia="宋体" w:hint="eastAsia"/>
          <w:b/>
          <w:lang w:eastAsia="zh-CN"/>
        </w:rPr>
        <w:t>4</w:t>
      </w:r>
      <w:r w:rsidRPr="00654369">
        <w:rPr>
          <w:rFonts w:hint="eastAsia"/>
          <w:b/>
        </w:rPr>
        <w:t>).</w:t>
      </w:r>
      <w:r>
        <w:rPr>
          <w:rFonts w:hint="eastAsia"/>
        </w:rPr>
        <w:t xml:space="preserve"> (A–C) Gastroscopic images. (D–F) Corresponding hematoxylin-eosin (HE)-stained histopathologic</w:t>
      </w:r>
      <w:r w:rsidRPr="00654369">
        <w:rPr>
          <w:rFonts w:hint="eastAsia"/>
          <w:color w:val="auto"/>
        </w:rPr>
        <w:t>al sections</w:t>
      </w:r>
      <w:r w:rsidRPr="00654369">
        <w:rPr>
          <w:rFonts w:hint="eastAsia"/>
          <w:color w:val="auto"/>
        </w:rPr>
        <w:t xml:space="preserve"> </w:t>
      </w:r>
      <w:r w:rsidRPr="00654369">
        <w:rPr>
          <w:rFonts w:hint="eastAsia"/>
          <w:color w:val="auto"/>
        </w:rPr>
        <w:t>(magnification: 100</w:t>
      </w:r>
      <w:r w:rsidRPr="00654369">
        <w:rPr>
          <w:color w:val="auto"/>
        </w:rPr>
        <w:t>×</w:t>
      </w:r>
      <w:r w:rsidRPr="00654369">
        <w:rPr>
          <w:rFonts w:hint="eastAsia"/>
          <w:color w:val="auto"/>
        </w:rPr>
        <w:t>)</w:t>
      </w:r>
      <w:r w:rsidRPr="00654369">
        <w:rPr>
          <w:rFonts w:hint="eastAsia"/>
          <w:color w:val="auto"/>
        </w:rPr>
        <w:t>.</w:t>
      </w:r>
    </w:p>
    <w:p w14:paraId="72178F09" w14:textId="77777777" w:rsidR="00F83090" w:rsidRDefault="00654369">
      <w:pPr>
        <w:pStyle w:val="Figure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3044190"/>
            <wp:effectExtent l="0" t="0" r="1206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3DA4" w14:textId="193C1049" w:rsidR="00F83090" w:rsidRDefault="00654369">
      <w:pPr>
        <w:pStyle w:val="Figurecaption"/>
      </w:pPr>
      <w:r>
        <w:rPr>
          <w:b/>
          <w:bCs/>
        </w:rPr>
        <w:t xml:space="preserve">Supplementary </w:t>
      </w:r>
      <w:r>
        <w:rPr>
          <w:rFonts w:hint="eastAsia"/>
          <w:b/>
          <w:bCs/>
        </w:rPr>
        <w:t>Fig</w:t>
      </w:r>
      <w:r>
        <w:rPr>
          <w:b/>
          <w:bCs/>
        </w:rPr>
        <w:t>. 5.</w:t>
      </w:r>
      <w:r>
        <w:rPr>
          <w:rFonts w:hint="eastAsia"/>
        </w:rPr>
        <w:t xml:space="preserve"> </w:t>
      </w:r>
      <w:r w:rsidRPr="00654369">
        <w:rPr>
          <w:rFonts w:hint="eastAsia"/>
          <w:b/>
        </w:rPr>
        <w:t>Representative clinical and histological images from the patients with gastric cancer group (G</w:t>
      </w:r>
      <w:r w:rsidRPr="00654369">
        <w:rPr>
          <w:rFonts w:eastAsia="宋体" w:hint="eastAsia"/>
          <w:b/>
          <w:lang w:eastAsia="zh-CN"/>
        </w:rPr>
        <w:t>5</w:t>
      </w:r>
      <w:r w:rsidRPr="00654369">
        <w:rPr>
          <w:rFonts w:hint="eastAsia"/>
          <w:b/>
        </w:rPr>
        <w:t>).</w:t>
      </w:r>
      <w:r>
        <w:rPr>
          <w:rFonts w:hint="eastAsia"/>
        </w:rPr>
        <w:t xml:space="preserve"> (A–C) Gastroscopic images. (D–F) Corresponding hematoxylin-eosin (HE)-stained histopathological se</w:t>
      </w:r>
      <w:r w:rsidRPr="00654369">
        <w:rPr>
          <w:rFonts w:hint="eastAsia"/>
          <w:color w:val="auto"/>
        </w:rPr>
        <w:t>ctions</w:t>
      </w:r>
      <w:r w:rsidRPr="00654369">
        <w:rPr>
          <w:rFonts w:hint="eastAsia"/>
          <w:color w:val="auto"/>
        </w:rPr>
        <w:t xml:space="preserve"> </w:t>
      </w:r>
      <w:r w:rsidRPr="00654369">
        <w:rPr>
          <w:rFonts w:hint="eastAsia"/>
          <w:color w:val="auto"/>
        </w:rPr>
        <w:t>(magnification: 100</w:t>
      </w:r>
      <w:r w:rsidRPr="00654369">
        <w:rPr>
          <w:color w:val="auto"/>
        </w:rPr>
        <w:t>×</w:t>
      </w:r>
      <w:r w:rsidRPr="00654369">
        <w:rPr>
          <w:rFonts w:hint="eastAsia"/>
          <w:color w:val="auto"/>
        </w:rPr>
        <w:t>)</w:t>
      </w:r>
      <w:r w:rsidRPr="00654369">
        <w:rPr>
          <w:rFonts w:hint="eastAsia"/>
          <w:color w:val="auto"/>
        </w:rPr>
        <w:t>.</w:t>
      </w:r>
      <w:bookmarkStart w:id="0" w:name="_GoBack"/>
      <w:bookmarkEnd w:id="0"/>
    </w:p>
    <w:sectPr w:rsidR="00F83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BB311" w14:textId="77777777" w:rsidR="00F83090" w:rsidRDefault="00654369">
      <w:pPr>
        <w:spacing w:line="240" w:lineRule="auto"/>
      </w:pPr>
      <w:r>
        <w:separator/>
      </w:r>
    </w:p>
  </w:endnote>
  <w:endnote w:type="continuationSeparator" w:id="0">
    <w:p w14:paraId="3DE16825" w14:textId="77777777" w:rsidR="00F83090" w:rsidRDefault="00654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1BB76" w14:textId="77777777" w:rsidR="00F83090" w:rsidRDefault="00654369">
      <w:pPr>
        <w:spacing w:line="240" w:lineRule="auto"/>
      </w:pPr>
      <w:r>
        <w:separator/>
      </w:r>
    </w:p>
  </w:footnote>
  <w:footnote w:type="continuationSeparator" w:id="0">
    <w:p w14:paraId="5231580C" w14:textId="77777777" w:rsidR="00F83090" w:rsidRDefault="006543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multilevel"/>
    <w:tmpl w:val="18B468F5"/>
    <w:lvl w:ilvl="0">
      <w:start w:val="1"/>
      <w:numFmt w:val="bullet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8DD0820"/>
    <w:rsid w:val="002A303C"/>
    <w:rsid w:val="00654369"/>
    <w:rsid w:val="00717490"/>
    <w:rsid w:val="00ED36E3"/>
    <w:rsid w:val="00F83090"/>
    <w:rsid w:val="23582989"/>
    <w:rsid w:val="56350AD7"/>
    <w:rsid w:val="61CD3A9D"/>
    <w:rsid w:val="6D084B42"/>
    <w:rsid w:val="78DD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15C5C5F-450A-480E-9DB6-035FA08E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uiPriority="9" w:qFormat="1"/>
    <w:lsdException w:name="heading 3" w:uiPriority="9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99"/>
    <w:lsdException w:name="footer" w:semiHidden="1" w:uiPriority="99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 w:uiPriority="99" w:unhideWhenUsed="1"/>
    <w:lsdException w:name="page number" w:semiHidden="1"/>
    <w:lsdException w:name="endnote reference" w:semiHidden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line="260" w:lineRule="atLeast"/>
      <w:jc w:val="both"/>
    </w:pPr>
    <w:rPr>
      <w:rFonts w:ascii="Palatino Linotype" w:eastAsia="宋体" w:hAnsi="Palatino Linotype" w:cs="Times New Roman"/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adjustRightInd w:val="0"/>
      <w:snapToGrid w:val="0"/>
      <w:spacing w:before="360" w:after="360" w:line="24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adjustRightInd w:val="0"/>
      <w:snapToGrid w:val="0"/>
      <w:spacing w:before="240" w:after="240" w:line="240" w:lineRule="auto"/>
      <w:outlineLvl w:val="1"/>
    </w:pPr>
    <w:rPr>
      <w:rFonts w:ascii="Times New Roman" w:eastAsia="Times New Roman" w:hAnsi="Times New Roman"/>
      <w:b/>
      <w:bCs/>
      <w:i/>
      <w:sz w:val="21"/>
      <w:szCs w:val="21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adjustRightInd w:val="0"/>
      <w:snapToGrid w:val="0"/>
      <w:spacing w:before="160" w:after="160" w:line="240" w:lineRule="auto"/>
      <w:outlineLvl w:val="2"/>
    </w:pPr>
    <w:rPr>
      <w:rFonts w:ascii="Times New Roman" w:eastAsia="Times New Roman" w:hAnsi="Times New Roman"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jc w:val="left"/>
    </w:pPr>
  </w:style>
  <w:style w:type="paragraph" w:styleId="a5">
    <w:name w:val="endnote text"/>
    <w:basedOn w:val="a"/>
    <w:link w:val="a6"/>
    <w:semiHidden/>
    <w:unhideWhenUsed/>
    <w:pPr>
      <w:spacing w:line="240" w:lineRule="auto"/>
    </w:pPr>
  </w:style>
  <w:style w:type="paragraph" w:styleId="a7">
    <w:name w:val="Balloon Text"/>
    <w:basedOn w:val="a"/>
    <w:link w:val="a8"/>
    <w:uiPriority w:val="99"/>
    <w:semiHidden/>
    <w:rPr>
      <w:rFonts w:cs="Tahoma"/>
      <w:szCs w:val="18"/>
    </w:rPr>
  </w:style>
  <w:style w:type="paragraph" w:styleId="a9">
    <w:name w:val="footer"/>
    <w:basedOn w:val="a"/>
    <w:link w:val="aa"/>
    <w:uiPriority w:val="99"/>
    <w:semiHidden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paragraph" w:styleId="ab">
    <w:name w:val="header"/>
    <w:basedOn w:val="a"/>
    <w:link w:val="ac"/>
    <w:uiPriority w:val="99"/>
    <w:semiHidden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paragraph" w:styleId="ad">
    <w:name w:val="Normal (Web)"/>
    <w:basedOn w:val="a"/>
    <w:uiPriority w:val="99"/>
    <w:semiHidden/>
    <w:rPr>
      <w:szCs w:val="24"/>
    </w:rPr>
  </w:style>
  <w:style w:type="paragraph" w:styleId="ae">
    <w:name w:val="annotation subject"/>
    <w:basedOn w:val="a3"/>
    <w:next w:val="a3"/>
    <w:link w:val="af"/>
    <w:semiHidden/>
    <w:rPr>
      <w:b/>
      <w:bCs/>
    </w:rPr>
  </w:style>
  <w:style w:type="table" w:styleId="af0">
    <w:name w:val="Table Grid"/>
    <w:basedOn w:val="a1"/>
    <w:uiPriority w:val="59"/>
    <w:pPr>
      <w:spacing w:line="260" w:lineRule="atLeast"/>
      <w:jc w:val="both"/>
    </w:pPr>
    <w:rPr>
      <w:rFonts w:ascii="Palatino Linotype" w:eastAsia="宋体" w:hAnsi="Palatino Linotype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</w:style>
  <w:style w:type="character" w:styleId="af2">
    <w:name w:val="annotation reference"/>
    <w:basedOn w:val="a0"/>
    <w:semiHidden/>
    <w:rPr>
      <w:sz w:val="21"/>
      <w:szCs w:val="21"/>
    </w:rPr>
  </w:style>
  <w:style w:type="paragraph" w:customStyle="1" w:styleId="Abstract">
    <w:name w:val="Abstract"/>
    <w:next w:val="a"/>
    <w:uiPriority w:val="5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cademiceditor">
    <w:name w:val="Academic editor"/>
    <w:uiPriority w:val="4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ffiliation">
    <w:name w:val="Affiliation"/>
    <w:uiPriority w:val="3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sz w:val="36"/>
      <w:lang w:eastAsia="de-DE" w:bidi="en-US"/>
    </w:rPr>
  </w:style>
  <w:style w:type="paragraph" w:customStyle="1" w:styleId="Articletype">
    <w:name w:val="Article type"/>
    <w:next w:val="a"/>
    <w:qFormat/>
    <w:pPr>
      <w:adjustRightInd w:val="0"/>
      <w:snapToGrid w:val="0"/>
    </w:pPr>
    <w:rPr>
      <w:rFonts w:ascii="Times New Roman" w:eastAsia="Times New Roman" w:hAnsi="Times New Roman" w:cs="Times New Roman"/>
      <w:i/>
      <w:snapToGrid w:val="0"/>
      <w:color w:val="000000"/>
      <w:szCs w:val="22"/>
      <w:lang w:eastAsia="de-DE" w:bidi="en-US"/>
    </w:rPr>
  </w:style>
  <w:style w:type="paragraph" w:customStyle="1" w:styleId="Authornames">
    <w:name w:val="Authornames"/>
    <w:next w:val="a"/>
    <w:uiPriority w:val="2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Backmatter">
    <w:name w:val="Back matter"/>
    <w:uiPriority w:val="18"/>
    <w:qFormat/>
    <w:pPr>
      <w:adjustRightInd w:val="0"/>
      <w:snapToGrid w:val="0"/>
      <w:spacing w:beforeLines="50" w:before="50" w:afterLines="50" w:after="50"/>
      <w:jc w:val="both"/>
    </w:pPr>
    <w:rPr>
      <w:rFonts w:ascii="Times New Roman" w:eastAsia="Times New Roman" w:hAnsi="Times New Roman" w:cs="Times New Roman"/>
      <w:b/>
      <w:snapToGrid w:val="0"/>
      <w:color w:val="00000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pPr>
      <w:numPr>
        <w:numId w:val="1"/>
      </w:numPr>
      <w:adjustRightInd w:val="0"/>
      <w:snapToGrid w:val="0"/>
      <w:spacing w:before="40" w:after="40"/>
      <w:ind w:hangingChars="200" w:hanging="20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character" w:customStyle="1" w:styleId="E-mail0">
    <w:name w:val="E-mail 字符"/>
    <w:basedOn w:val="a0"/>
    <w:link w:val="E-mail"/>
    <w:uiPriority w:val="4"/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Equation">
    <w:name w:val="Equation"/>
    <w:uiPriority w:val="17"/>
    <w:qFormat/>
    <w:pPr>
      <w:adjustRightInd w:val="0"/>
      <w:snapToGrid w:val="0"/>
      <w:spacing w:before="60" w:after="60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Figure">
    <w:name w:val="Figure"/>
    <w:uiPriority w:val="15"/>
    <w:qFormat/>
    <w:pPr>
      <w:adjustRightInd w:val="0"/>
      <w:snapToGrid w:val="0"/>
      <w:jc w:val="center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Figurecaption">
    <w:name w:val="Figure caption"/>
    <w:uiPriority w:val="14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Figuretitle">
    <w:name w:val="Figure title"/>
    <w:uiPriority w:val="13"/>
    <w:pPr>
      <w:adjustRightInd w:val="0"/>
      <w:snapToGrid w:val="0"/>
      <w:spacing w:after="100" w:afterAutospacing="1"/>
      <w:jc w:val="center"/>
    </w:pPr>
    <w:rPr>
      <w:rFonts w:ascii="Times New Roman" w:eastAsia="Times New Roman" w:hAnsi="Times New Roman" w:cs="Times New Roman"/>
      <w:b/>
      <w:color w:val="000000"/>
      <w:sz w:val="21"/>
      <w:szCs w:val="21"/>
      <w:lang w:bidi="en-US"/>
    </w:rPr>
  </w:style>
  <w:style w:type="paragraph" w:customStyle="1" w:styleId="Keywords">
    <w:name w:val="Keywords"/>
    <w:next w:val="a"/>
    <w:link w:val="Keywords0"/>
    <w:uiPriority w:val="6"/>
    <w:qFormat/>
    <w:pPr>
      <w:adjustRightInd w:val="0"/>
      <w:snapToGrid w:val="0"/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character" w:customStyle="1" w:styleId="Keywords0">
    <w:name w:val="Keywords 字符"/>
    <w:basedOn w:val="a0"/>
    <w:link w:val="Keywords"/>
    <w:uiPriority w:val="6"/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pPr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sz w:val="18"/>
      <w:szCs w:val="21"/>
      <w:lang w:eastAsia="de-DE" w:bidi="en-US"/>
    </w:rPr>
  </w:style>
  <w:style w:type="character" w:customStyle="1" w:styleId="Reference0">
    <w:name w:val="Reference 字符"/>
    <w:basedOn w:val="Keywords0"/>
    <w:link w:val="Reference"/>
    <w:uiPriority w:val="19"/>
    <w:rPr>
      <w:rFonts w:ascii="Times New Roman" w:eastAsia="Times New Roman" w:hAnsi="Times New Roman" w:cs="Times New Roman"/>
      <w:snapToGrid w:val="0"/>
      <w:color w:val="00000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pPr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eastAsia="de-DE" w:bidi="en-US"/>
    </w:rPr>
  </w:style>
  <w:style w:type="paragraph" w:customStyle="1" w:styleId="Tablecaption">
    <w:name w:val="Table caption"/>
    <w:uiPriority w:val="11"/>
    <w:qFormat/>
    <w:pPr>
      <w:adjustRightInd w:val="0"/>
      <w:snapToGrid w:val="0"/>
      <w:spacing w:beforeLines="100" w:before="100" w:afterLines="100" w:after="100"/>
      <w:jc w:val="center"/>
    </w:pPr>
    <w:rPr>
      <w:rFonts w:ascii="Times New Roman" w:eastAsia="Times New Roman" w:hAnsi="Times New Roman" w:cs="Times New Roman"/>
      <w:b/>
      <w:color w:val="000000"/>
      <w:sz w:val="21"/>
      <w:szCs w:val="24"/>
      <w:lang w:bidi="en-US"/>
    </w:rPr>
  </w:style>
  <w:style w:type="paragraph" w:customStyle="1" w:styleId="Tablefooter">
    <w:name w:val="Table footer"/>
    <w:next w:val="a"/>
    <w:uiPriority w:val="12"/>
    <w:qFormat/>
    <w:pPr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pPr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sz w:val="21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Pr>
      <w:rFonts w:ascii="Times New Roman" w:eastAsia="Times New Roman" w:hAnsi="Times New Roman" w:cs="Times New Roman"/>
      <w:snapToGrid w:val="0"/>
      <w:color w:val="000000"/>
      <w:sz w:val="21"/>
      <w:szCs w:val="28"/>
      <w:lang w:eastAsia="de-DE" w:bidi="en-US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Times New Roman" w:hAnsi="Times New Roman" w:cs="Times New Roman"/>
      <w:b/>
      <w:bCs/>
      <w:color w:val="000000"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Times New Roman" w:hAnsi="Times New Roman" w:cs="Times New Roman"/>
      <w:b/>
      <w:bCs/>
      <w:i/>
      <w:color w:val="000000"/>
      <w:sz w:val="21"/>
      <w:szCs w:val="21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Times New Roman" w:hAnsi="Times New Roman" w:cs="Times New Roman"/>
      <w:bCs/>
      <w:i/>
      <w:color w:val="000000"/>
      <w:sz w:val="21"/>
      <w:szCs w:val="21"/>
    </w:rPr>
  </w:style>
  <w:style w:type="character" w:customStyle="1" w:styleId="a8">
    <w:name w:val="批注框文本 字符"/>
    <w:link w:val="a7"/>
    <w:uiPriority w:val="99"/>
    <w:semiHidden/>
    <w:rPr>
      <w:rFonts w:ascii="Palatino Linotype" w:eastAsia="宋体" w:hAnsi="Palatino Linotype" w:cs="Tahoma"/>
      <w:color w:val="000000"/>
      <w:szCs w:val="18"/>
    </w:rPr>
  </w:style>
  <w:style w:type="character" w:customStyle="1" w:styleId="a6">
    <w:name w:val="尾注文本 字符"/>
    <w:link w:val="a5"/>
    <w:semiHidden/>
    <w:rPr>
      <w:rFonts w:ascii="Palatino Linotype" w:eastAsia="宋体" w:hAnsi="Palatino Linotype" w:cs="Times New Roman"/>
      <w:color w:val="000000"/>
    </w:rPr>
  </w:style>
  <w:style w:type="table" w:customStyle="1" w:styleId="41">
    <w:name w:val="无格式表格 41"/>
    <w:basedOn w:val="a1"/>
    <w:uiPriority w:val="44"/>
    <w:rPr>
      <w:rFonts w:ascii="Calibri" w:eastAsia="宋体" w:hAnsi="Calibri" w:cs="Times New Roman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a">
    <w:name w:val="页脚 字符"/>
    <w:link w:val="a9"/>
    <w:uiPriority w:val="99"/>
    <w:semiHidden/>
    <w:rPr>
      <w:rFonts w:ascii="Palatino Linotype" w:eastAsia="宋体" w:hAnsi="Palatino Linotype" w:cs="Times New Roman"/>
      <w:color w:val="000000"/>
      <w:szCs w:val="18"/>
    </w:rPr>
  </w:style>
  <w:style w:type="character" w:customStyle="1" w:styleId="ac">
    <w:name w:val="页眉 字符"/>
    <w:link w:val="ab"/>
    <w:uiPriority w:val="99"/>
    <w:semiHidden/>
    <w:rPr>
      <w:rFonts w:ascii="Palatino Linotype" w:eastAsia="宋体" w:hAnsi="Palatino Linotype" w:cs="Times New Roman"/>
      <w:color w:val="000000"/>
      <w:szCs w:val="18"/>
    </w:rPr>
  </w:style>
  <w:style w:type="character" w:styleId="af3">
    <w:name w:val="Placeholder Text"/>
    <w:uiPriority w:val="99"/>
    <w:semiHidden/>
    <w:rPr>
      <w:color w:val="808080"/>
    </w:rPr>
  </w:style>
  <w:style w:type="character" w:customStyle="1" w:styleId="a4">
    <w:name w:val="批注文字 字符"/>
    <w:basedOn w:val="a0"/>
    <w:link w:val="a3"/>
    <w:semiHidden/>
    <w:rPr>
      <w:rFonts w:ascii="Palatino Linotype" w:eastAsia="宋体" w:hAnsi="Palatino Linotype" w:cs="Times New Roman"/>
      <w:color w:val="000000"/>
    </w:rPr>
  </w:style>
  <w:style w:type="character" w:customStyle="1" w:styleId="af">
    <w:name w:val="批注主题 字符"/>
    <w:basedOn w:val="a4"/>
    <w:link w:val="ae"/>
    <w:semiHidden/>
    <w:rPr>
      <w:rFonts w:ascii="Palatino Linotype" w:eastAsia="宋体" w:hAnsi="Palatino Linotype" w:cs="Times New Roman"/>
      <w:b/>
      <w:bCs/>
      <w:color w:val="000000"/>
    </w:rPr>
  </w:style>
  <w:style w:type="paragraph" w:customStyle="1" w:styleId="paragraph">
    <w:name w:val="paragraph"/>
    <w:basedOn w:val="a"/>
    <w:semiHidden/>
    <w:pPr>
      <w:spacing w:before="100" w:beforeAutospacing="1" w:after="100" w:afterAutospacing="1" w:line="240" w:lineRule="auto"/>
      <w:jc w:val="left"/>
    </w:pPr>
    <w:rPr>
      <w:rFonts w:ascii="等线" w:eastAsia="等线" w:hAnsi="等线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刘彦</dc:creator>
  <cp:lastModifiedBy>Erin Chee</cp:lastModifiedBy>
  <cp:revision>4</cp:revision>
  <dcterms:created xsi:type="dcterms:W3CDTF">2025-12-06T05:52:00Z</dcterms:created>
  <dcterms:modified xsi:type="dcterms:W3CDTF">2026-01-07T07:01:00Z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83E1C63C8C0B4191AA09810F0907AFF1_11</vt:lpwstr>
  </property>
  <property fmtid="{D5CDD505-2E9C-101B-9397-08002B2CF9AE}" pid="4" name="KSOTemplateDocerSaveRecord">
    <vt:lpwstr>eyJoZGlkIjoiMjhmOTQxM2EyM2U2NmM5YWZkOGNhZWZiZDJmYWJkMjUiLCJ1c2VySWQiOiIxMjM2MDU2MzA5In0=</vt:lpwstr>
  </property>
</Properties>
</file>