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295C86" w14:paraId="6D753AA9" w14:textId="77777777">
        <w:tc>
          <w:tcPr>
            <w:tcW w:w="8306" w:type="dxa"/>
          </w:tcPr>
          <w:p w14:paraId="089594AC" w14:textId="657C71FE" w:rsidR="00295C86" w:rsidRDefault="00766F61">
            <w:r>
              <w:rPr>
                <w:sz w:val="32"/>
                <w:szCs w:val="32"/>
              </w:rPr>
              <w:t>Impact of Sodium–Glucose Cotransporter 2 Inhibitors on Acute Kidney Injury Post</w:t>
            </w:r>
            <w:r>
              <w:rPr>
                <w:rFonts w:hint="eastAsia"/>
                <w:sz w:val="32"/>
                <w:szCs w:val="32"/>
              </w:rPr>
              <w:t xml:space="preserve"> O</w:t>
            </w:r>
            <w:r>
              <w:rPr>
                <w:sz w:val="32"/>
                <w:szCs w:val="32"/>
              </w:rPr>
              <w:t>ff-</w:t>
            </w:r>
            <w:r>
              <w:rPr>
                <w:rFonts w:hint="eastAsia"/>
                <w:sz w:val="32"/>
                <w:szCs w:val="32"/>
              </w:rPr>
              <w:t>P</w:t>
            </w:r>
            <w:r>
              <w:rPr>
                <w:sz w:val="32"/>
                <w:szCs w:val="32"/>
              </w:rPr>
              <w:t xml:space="preserve">ump </w:t>
            </w:r>
            <w:r>
              <w:rPr>
                <w:rFonts w:hint="eastAsia"/>
                <w:sz w:val="32"/>
                <w:szCs w:val="32"/>
              </w:rPr>
              <w:t>C</w:t>
            </w:r>
            <w:r>
              <w:rPr>
                <w:sz w:val="32"/>
                <w:szCs w:val="32"/>
              </w:rPr>
              <w:t>oronary Artery Bypass Grafting: A Retrospective Cohort Study and Meta-Analysis</w:t>
            </w:r>
            <w:r>
              <w:t xml:space="preserve"> </w:t>
            </w:r>
            <w:r w:rsidR="00E1037B" w:rsidRPr="00E1037B">
              <w:t xml:space="preserve">Supplementary </w:t>
            </w:r>
            <w:r>
              <w:t>Fig</w:t>
            </w:r>
            <w:r w:rsidR="00E1037B">
              <w:t>.</w:t>
            </w:r>
            <w:r>
              <w:t xml:space="preserve"> </w:t>
            </w:r>
            <w:r w:rsidR="00E1037B">
              <w:t>1</w:t>
            </w:r>
            <w:r>
              <w:rPr>
                <w:rFonts w:hint="eastAsia"/>
              </w:rPr>
              <w:t xml:space="preserve"> </w:t>
            </w:r>
            <w:r>
              <w:t>PRISMA diagram</w:t>
            </w:r>
          </w:p>
        </w:tc>
      </w:tr>
      <w:tr w:rsidR="00295C86" w14:paraId="6A109DFB" w14:textId="77777777">
        <w:tc>
          <w:tcPr>
            <w:tcW w:w="8306" w:type="dxa"/>
          </w:tcPr>
          <w:p w14:paraId="45585DBB" w14:textId="77777777" w:rsidR="00295C86" w:rsidRDefault="00295C86">
            <w:pPr>
              <w:jc w:val="both"/>
            </w:pPr>
          </w:p>
        </w:tc>
      </w:tr>
      <w:tr w:rsidR="00295C86" w14:paraId="2BA1AE15" w14:textId="77777777">
        <w:tc>
          <w:tcPr>
            <w:tcW w:w="8306" w:type="dxa"/>
          </w:tcPr>
          <w:p w14:paraId="1A89983A" w14:textId="77777777" w:rsidR="00295C86" w:rsidRDefault="00766F61">
            <w:r>
              <w:rPr>
                <w:noProof/>
              </w:rPr>
              <w:drawing>
                <wp:inline distT="0" distB="0" distL="0" distR="0" wp14:anchorId="756DC2E7" wp14:editId="0EDB120E">
                  <wp:extent cx="5281930" cy="6026150"/>
                  <wp:effectExtent l="0" t="0" r="0" b="0"/>
                  <wp:docPr id="248846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46215"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05638" cy="6053584"/>
                          </a:xfrm>
                          <a:prstGeom prst="rect">
                            <a:avLst/>
                          </a:prstGeom>
                          <a:noFill/>
                          <a:ln>
                            <a:noFill/>
                          </a:ln>
                        </pic:spPr>
                      </pic:pic>
                    </a:graphicData>
                  </a:graphic>
                </wp:inline>
              </w:drawing>
            </w:r>
          </w:p>
        </w:tc>
      </w:tr>
    </w:tbl>
    <w:p w14:paraId="74A01A44" w14:textId="77777777" w:rsidR="00295C86" w:rsidRDefault="00295C86">
      <w:pPr>
        <w:pStyle w:val="3"/>
        <w:shd w:val="clear" w:color="auto" w:fill="FFFFFF"/>
        <w:spacing w:before="0" w:beforeAutospacing="0" w:after="0" w:afterAutospacing="0" w:line="270" w:lineRule="atLeast"/>
        <w:rPr>
          <w:rFonts w:ascii="Times New Roman" w:hAnsi="Times New Roman" w:cs="Times New Roman"/>
          <w:b w:val="0"/>
          <w:bCs w:val="0"/>
          <w:sz w:val="28"/>
          <w:szCs w:val="28"/>
          <w14:ligatures w14:val="standardContextual"/>
        </w:rPr>
      </w:pPr>
    </w:p>
    <w:p w14:paraId="3D1C9D36" w14:textId="77777777" w:rsidR="00295C86" w:rsidRDefault="00295C86">
      <w:pPr>
        <w:pStyle w:val="3"/>
        <w:shd w:val="clear" w:color="auto" w:fill="FFFFFF"/>
        <w:spacing w:before="0" w:beforeAutospacing="0" w:after="0" w:afterAutospacing="0" w:line="270" w:lineRule="atLeast"/>
        <w:jc w:val="center"/>
        <w:rPr>
          <w:rFonts w:ascii="Times New Roman" w:hAnsi="Times New Roman" w:cs="Times New Roman"/>
          <w:b w:val="0"/>
          <w:bCs w:val="0"/>
          <w:sz w:val="28"/>
          <w:szCs w:val="28"/>
          <w14:ligatures w14:val="standardContextual"/>
        </w:rPr>
      </w:pPr>
    </w:p>
    <w:p w14:paraId="0DC7F9DC" w14:textId="77777777" w:rsidR="00295C86" w:rsidRDefault="00295C86">
      <w:pPr>
        <w:pStyle w:val="3"/>
        <w:shd w:val="clear" w:color="auto" w:fill="FFFFFF"/>
        <w:spacing w:before="0" w:beforeAutospacing="0" w:after="0" w:afterAutospacing="0" w:line="270" w:lineRule="atLeast"/>
        <w:jc w:val="center"/>
        <w:rPr>
          <w:rFonts w:ascii="Times New Roman" w:hAnsi="Times New Roman" w:cs="Times New Roman"/>
          <w:b w:val="0"/>
          <w:bCs w:val="0"/>
          <w:sz w:val="28"/>
          <w:szCs w:val="28"/>
          <w14:ligatures w14:val="standardContextual"/>
        </w:rPr>
      </w:pPr>
    </w:p>
    <w:p w14:paraId="4BC92D36" w14:textId="77777777" w:rsidR="00295C86" w:rsidRDefault="00295C86">
      <w:pPr>
        <w:pStyle w:val="3"/>
        <w:shd w:val="clear" w:color="auto" w:fill="FFFFFF"/>
        <w:spacing w:before="0" w:beforeAutospacing="0" w:after="0" w:afterAutospacing="0" w:line="270" w:lineRule="atLeast"/>
        <w:jc w:val="center"/>
        <w:rPr>
          <w:rFonts w:ascii="Times New Roman" w:hAnsi="Times New Roman" w:cs="Times New Roman"/>
          <w:b w:val="0"/>
          <w:bCs w:val="0"/>
          <w:sz w:val="28"/>
          <w:szCs w:val="28"/>
          <w14:ligatures w14:val="standardContextual"/>
        </w:rPr>
      </w:pPr>
    </w:p>
    <w:p w14:paraId="7FD8449C" w14:textId="77777777" w:rsidR="00295C86" w:rsidRDefault="00295C86">
      <w:pPr>
        <w:pStyle w:val="3"/>
        <w:shd w:val="clear" w:color="auto" w:fill="FFFFFF"/>
        <w:spacing w:before="0" w:beforeAutospacing="0" w:after="0" w:afterAutospacing="0" w:line="270" w:lineRule="atLeast"/>
        <w:jc w:val="center"/>
        <w:rPr>
          <w:rFonts w:ascii="Times New Roman" w:hAnsi="Times New Roman" w:cs="Times New Roman"/>
          <w:b w:val="0"/>
          <w:bCs w:val="0"/>
          <w:color w:val="FF0000"/>
          <w:sz w:val="28"/>
          <w:szCs w:val="28"/>
          <w14:ligatures w14:val="standardContextual"/>
        </w:rPr>
      </w:pPr>
    </w:p>
    <w:p w14:paraId="26CD0644" w14:textId="16C5696B" w:rsidR="00295C86" w:rsidRDefault="00E1037B">
      <w:pPr>
        <w:pStyle w:val="3"/>
        <w:shd w:val="clear" w:color="auto" w:fill="FFFFFF"/>
        <w:spacing w:before="0" w:beforeAutospacing="0" w:after="0" w:afterAutospacing="0" w:line="270" w:lineRule="atLeast"/>
        <w:jc w:val="center"/>
      </w:pPr>
      <w:r w:rsidRPr="00E1037B">
        <w:rPr>
          <w:rFonts w:ascii="Times New Roman" w:hAnsi="Times New Roman" w:cs="Times New Roman"/>
          <w:b w:val="0"/>
          <w:bCs w:val="0"/>
          <w:sz w:val="28"/>
          <w:szCs w:val="28"/>
          <w14:ligatures w14:val="standardContextual"/>
        </w:rPr>
        <w:t xml:space="preserve">Supplementary </w:t>
      </w:r>
      <w:r w:rsidR="00766F61">
        <w:rPr>
          <w:rFonts w:ascii="Times New Roman" w:hAnsi="Times New Roman" w:cs="Times New Roman"/>
          <w:b w:val="0"/>
          <w:bCs w:val="0"/>
          <w:sz w:val="28"/>
          <w:szCs w:val="28"/>
          <w14:ligatures w14:val="standardContextual"/>
        </w:rPr>
        <w:t xml:space="preserve">Table </w:t>
      </w:r>
      <w:r w:rsidR="00766F61">
        <w:rPr>
          <w:rFonts w:ascii="Times New Roman" w:hAnsi="Times New Roman" w:cs="Times New Roman" w:hint="eastAsia"/>
          <w:b w:val="0"/>
          <w:bCs w:val="0"/>
          <w:sz w:val="28"/>
          <w:szCs w:val="28"/>
          <w14:ligatures w14:val="standardContextual"/>
        </w:rPr>
        <w:t>1</w:t>
      </w:r>
      <w:r w:rsidR="00766F61">
        <w:rPr>
          <w:rFonts w:ascii="Times New Roman" w:hAnsi="Times New Roman" w:cs="Times New Roman"/>
          <w:b w:val="0"/>
          <w:bCs w:val="0"/>
          <w:sz w:val="28"/>
          <w:szCs w:val="28"/>
          <w14:ligatures w14:val="standardContextual"/>
        </w:rPr>
        <w:t xml:space="preserve"> Search strategy</w:t>
      </w:r>
    </w:p>
    <w:tbl>
      <w:tblPr>
        <w:tblStyle w:val="ab"/>
        <w:tblW w:w="0" w:type="auto"/>
        <w:tblLook w:val="04A0" w:firstRow="1" w:lastRow="0" w:firstColumn="1" w:lastColumn="0" w:noHBand="0" w:noVBand="1"/>
      </w:tblPr>
      <w:tblGrid>
        <w:gridCol w:w="4148"/>
        <w:gridCol w:w="4148"/>
      </w:tblGrid>
      <w:tr w:rsidR="00295C86" w14:paraId="01FC8C71" w14:textId="77777777">
        <w:tc>
          <w:tcPr>
            <w:tcW w:w="4148" w:type="dxa"/>
          </w:tcPr>
          <w:p w14:paraId="22762044" w14:textId="77777777" w:rsidR="00295C86" w:rsidRDefault="00766F61">
            <w:pPr>
              <w:rPr>
                <w:rFonts w:ascii="Times New Roman" w:hAnsi="Times New Roman" w:cs="Times New Roman"/>
              </w:rPr>
            </w:pPr>
            <w:r>
              <w:rPr>
                <w:rFonts w:ascii="Times New Roman" w:hAnsi="Times New Roman" w:cs="Times New Roman"/>
              </w:rPr>
              <w:t>Search strategy</w:t>
            </w:r>
          </w:p>
        </w:tc>
        <w:tc>
          <w:tcPr>
            <w:tcW w:w="4148" w:type="dxa"/>
          </w:tcPr>
          <w:p w14:paraId="28C0A812" w14:textId="77777777" w:rsidR="00295C86" w:rsidRDefault="00295C86">
            <w:pPr>
              <w:rPr>
                <w:rFonts w:ascii="Times New Roman" w:hAnsi="Times New Roman" w:cs="Times New Roman"/>
              </w:rPr>
            </w:pPr>
          </w:p>
        </w:tc>
      </w:tr>
      <w:tr w:rsidR="00295C86" w14:paraId="2E61CB01" w14:textId="77777777">
        <w:tc>
          <w:tcPr>
            <w:tcW w:w="4148" w:type="dxa"/>
          </w:tcPr>
          <w:p w14:paraId="50A46C9E" w14:textId="77777777" w:rsidR="00295C86" w:rsidRDefault="00766F61">
            <w:pPr>
              <w:rPr>
                <w:rFonts w:ascii="Times New Roman" w:hAnsi="Times New Roman" w:cs="Times New Roman"/>
              </w:rPr>
            </w:pPr>
            <w:r>
              <w:rPr>
                <w:rFonts w:ascii="Times New Roman" w:hAnsi="Times New Roman" w:cs="Times New Roman"/>
              </w:rPr>
              <w:t>PubMed</w:t>
            </w:r>
          </w:p>
        </w:tc>
        <w:tc>
          <w:tcPr>
            <w:tcW w:w="4148" w:type="dxa"/>
          </w:tcPr>
          <w:p w14:paraId="4EE7D1A0" w14:textId="77777777" w:rsidR="00295C86" w:rsidRDefault="00766F61">
            <w:pPr>
              <w:rPr>
                <w:rFonts w:ascii="Times New Roman" w:hAnsi="Times New Roman" w:cs="Times New Roman"/>
              </w:rPr>
            </w:pPr>
            <w:r>
              <w:rPr>
                <w:rFonts w:ascii="Times New Roman" w:hAnsi="Times New Roman" w:cs="Times New Roman"/>
              </w:rPr>
              <w:t xml:space="preserve">(dapagliflozin) AND (acute kidney injury OR acute kidney damage OR acute kidney failure OR acute renal failure OR hypotension OR hypovolemia OR dehydration OR real world OR propensity OR observational OR randomized OR </w:t>
            </w:r>
            <w:proofErr w:type="spellStart"/>
            <w:r>
              <w:rPr>
                <w:rFonts w:ascii="Times New Roman" w:hAnsi="Times New Roman" w:cs="Times New Roman"/>
              </w:rPr>
              <w:t>randomisation</w:t>
            </w:r>
            <w:proofErr w:type="spellEnd"/>
            <w:r>
              <w:rPr>
                <w:rFonts w:ascii="Times New Roman" w:hAnsi="Times New Roman" w:cs="Times New Roman"/>
              </w:rPr>
              <w:t xml:space="preserve"> OR placebo OR Clinical </w:t>
            </w:r>
            <w:proofErr w:type="spellStart"/>
            <w:r>
              <w:rPr>
                <w:rFonts w:ascii="Times New Roman" w:hAnsi="Times New Roman" w:cs="Times New Roman"/>
              </w:rPr>
              <w:t>Trialptyp</w:t>
            </w:r>
            <w:proofErr w:type="spellEnd"/>
            <w:r>
              <w:rPr>
                <w:rFonts w:ascii="Times New Roman" w:hAnsi="Times New Roman" w:cs="Times New Roman"/>
              </w:rPr>
              <w:t>)</w:t>
            </w:r>
          </w:p>
        </w:tc>
      </w:tr>
      <w:tr w:rsidR="00295C86" w14:paraId="765DF3AB" w14:textId="77777777">
        <w:tc>
          <w:tcPr>
            <w:tcW w:w="4148" w:type="dxa"/>
          </w:tcPr>
          <w:p w14:paraId="78B5C412" w14:textId="77777777" w:rsidR="00295C86" w:rsidRDefault="00766F61">
            <w:pPr>
              <w:rPr>
                <w:rFonts w:ascii="Times New Roman" w:hAnsi="Times New Roman" w:cs="Times New Roman"/>
              </w:rPr>
            </w:pPr>
            <w:r>
              <w:rPr>
                <w:rFonts w:ascii="Times New Roman" w:hAnsi="Times New Roman" w:cs="Times New Roman"/>
              </w:rPr>
              <w:t>ClinicalTrials.gov</w:t>
            </w:r>
          </w:p>
        </w:tc>
        <w:tc>
          <w:tcPr>
            <w:tcW w:w="4148" w:type="dxa"/>
          </w:tcPr>
          <w:p w14:paraId="702FD727" w14:textId="77777777" w:rsidR="00295C86" w:rsidRDefault="00766F61">
            <w:pPr>
              <w:rPr>
                <w:rFonts w:ascii="Times New Roman" w:hAnsi="Times New Roman" w:cs="Times New Roman"/>
              </w:rPr>
            </w:pPr>
            <w:r>
              <w:rPr>
                <w:rFonts w:ascii="Times New Roman" w:hAnsi="Times New Roman" w:cs="Times New Roman"/>
              </w:rPr>
              <w:t>dapagliflozin</w:t>
            </w:r>
          </w:p>
        </w:tc>
      </w:tr>
      <w:tr w:rsidR="00295C86" w14:paraId="1F694FD4" w14:textId="77777777">
        <w:tc>
          <w:tcPr>
            <w:tcW w:w="4148" w:type="dxa"/>
          </w:tcPr>
          <w:p w14:paraId="0D59D4BF" w14:textId="77777777" w:rsidR="00295C86" w:rsidRDefault="00766F61">
            <w:pPr>
              <w:rPr>
                <w:rFonts w:ascii="Times New Roman" w:hAnsi="Times New Roman" w:cs="Times New Roman"/>
                <w:sz w:val="24"/>
                <w:szCs w:val="24"/>
              </w:rPr>
            </w:pPr>
            <w:r>
              <w:rPr>
                <w:rFonts w:ascii="Times New Roman" w:hAnsi="Times New Roman" w:cs="Times New Roman"/>
              </w:rPr>
              <w:t>EMBASE</w:t>
            </w:r>
          </w:p>
        </w:tc>
        <w:tc>
          <w:tcPr>
            <w:tcW w:w="4148" w:type="dxa"/>
          </w:tcPr>
          <w:p w14:paraId="4A434CF9" w14:textId="77777777" w:rsidR="00295C86" w:rsidRDefault="00766F61">
            <w:pPr>
              <w:rPr>
                <w:rFonts w:ascii="Times New Roman" w:hAnsi="Times New Roman" w:cs="Times New Roman"/>
              </w:rPr>
            </w:pPr>
            <w:r>
              <w:rPr>
                <w:rFonts w:ascii="Times New Roman" w:hAnsi="Times New Roman" w:cs="Times New Roman"/>
              </w:rPr>
              <w:t xml:space="preserve">(dapagliflozin) AND (acute kidney injury OR acute kidney damage OR acute kidney failure OR acute renal failure OR hypotension OR hypovolemia OR dehydration OR real world OR propensity OR observational OR randomized OR </w:t>
            </w:r>
            <w:proofErr w:type="spellStart"/>
            <w:r>
              <w:rPr>
                <w:rFonts w:ascii="Times New Roman" w:hAnsi="Times New Roman" w:cs="Times New Roman"/>
              </w:rPr>
              <w:t>randomisation</w:t>
            </w:r>
            <w:proofErr w:type="spellEnd"/>
            <w:r>
              <w:rPr>
                <w:rFonts w:ascii="Times New Roman" w:hAnsi="Times New Roman" w:cs="Times New Roman"/>
              </w:rPr>
              <w:t xml:space="preserve"> OR placebo OR Clinical Trial)</w:t>
            </w:r>
          </w:p>
          <w:p w14:paraId="12ECBF08" w14:textId="77777777" w:rsidR="00295C86" w:rsidRDefault="00295C86">
            <w:pPr>
              <w:rPr>
                <w:rFonts w:ascii="Times New Roman" w:hAnsi="Times New Roman" w:cs="Times New Roman"/>
              </w:rPr>
            </w:pPr>
          </w:p>
        </w:tc>
      </w:tr>
      <w:tr w:rsidR="00295C86" w14:paraId="6917FF96" w14:textId="77777777">
        <w:tc>
          <w:tcPr>
            <w:tcW w:w="4148" w:type="dxa"/>
          </w:tcPr>
          <w:p w14:paraId="26283B27" w14:textId="77777777" w:rsidR="00295C86" w:rsidRDefault="00766F61">
            <w:pPr>
              <w:rPr>
                <w:rFonts w:ascii="Times New Roman" w:hAnsi="Times New Roman" w:cs="Times New Roman"/>
                <w:sz w:val="24"/>
                <w:szCs w:val="24"/>
              </w:rPr>
            </w:pPr>
            <w:r>
              <w:rPr>
                <w:rFonts w:ascii="Times New Roman" w:hAnsi="Times New Roman" w:cs="Times New Roman"/>
              </w:rPr>
              <w:t>Cochrane Library</w:t>
            </w:r>
          </w:p>
        </w:tc>
        <w:tc>
          <w:tcPr>
            <w:tcW w:w="4148" w:type="dxa"/>
          </w:tcPr>
          <w:p w14:paraId="7072176A" w14:textId="77777777" w:rsidR="00295C86" w:rsidRDefault="00766F61">
            <w:pPr>
              <w:rPr>
                <w:rFonts w:ascii="Times New Roman" w:hAnsi="Times New Roman" w:cs="Times New Roman"/>
              </w:rPr>
            </w:pPr>
            <w:r>
              <w:rPr>
                <w:rFonts w:ascii="Times New Roman" w:hAnsi="Times New Roman" w:cs="Times New Roman"/>
              </w:rPr>
              <w:t xml:space="preserve">(dapagliflozin) AND (acute kidney injury OR acute kidney damage OR acute kidney failure OR acute renal failure OR hypotension OR hypovolemia OR dehydration OR real world OR propensity OR observational OR randomized OR </w:t>
            </w:r>
            <w:proofErr w:type="spellStart"/>
            <w:r>
              <w:rPr>
                <w:rFonts w:ascii="Times New Roman" w:hAnsi="Times New Roman" w:cs="Times New Roman"/>
              </w:rPr>
              <w:t>randomisation</w:t>
            </w:r>
            <w:proofErr w:type="spellEnd"/>
            <w:r>
              <w:rPr>
                <w:rFonts w:ascii="Times New Roman" w:hAnsi="Times New Roman" w:cs="Times New Roman"/>
              </w:rPr>
              <w:t xml:space="preserve"> OR placebo OR Clinical Trial)</w:t>
            </w:r>
          </w:p>
          <w:p w14:paraId="63F92BF3" w14:textId="77777777" w:rsidR="00295C86" w:rsidRDefault="00295C86">
            <w:pPr>
              <w:rPr>
                <w:rFonts w:ascii="Times New Roman" w:hAnsi="Times New Roman" w:cs="Times New Roman"/>
              </w:rPr>
            </w:pPr>
          </w:p>
        </w:tc>
      </w:tr>
    </w:tbl>
    <w:p w14:paraId="58B5166D" w14:textId="77777777" w:rsidR="00295C86" w:rsidRDefault="00295C86"/>
    <w:p w14:paraId="362A33E2" w14:textId="77777777" w:rsidR="00295C86" w:rsidRDefault="00295C86"/>
    <w:p w14:paraId="0C15283E" w14:textId="77777777" w:rsidR="00295C86" w:rsidRDefault="00295C86"/>
    <w:p w14:paraId="22B57C69" w14:textId="77777777" w:rsidR="00295C86" w:rsidRDefault="00295C86"/>
    <w:p w14:paraId="0C523C13" w14:textId="77777777" w:rsidR="00295C86" w:rsidRDefault="00295C86">
      <w:pPr>
        <w:jc w:val="both"/>
        <w:rPr>
          <w:rFonts w:hint="eastAsia"/>
        </w:rPr>
      </w:pPr>
    </w:p>
    <w:p w14:paraId="02D3FB47" w14:textId="72C8DFFD" w:rsidR="00295C86" w:rsidRDefault="00E1037B">
      <w:pPr>
        <w:pStyle w:val="3"/>
        <w:shd w:val="clear" w:color="auto" w:fill="FFFFFF"/>
        <w:spacing w:before="0" w:beforeAutospacing="0" w:after="0" w:afterAutospacing="0" w:line="270" w:lineRule="atLeast"/>
        <w:jc w:val="center"/>
      </w:pPr>
      <w:r w:rsidRPr="00E1037B">
        <w:rPr>
          <w:rFonts w:ascii="Times New Roman" w:hAnsi="Times New Roman" w:cs="Times New Roman"/>
          <w:b w:val="0"/>
          <w:bCs w:val="0"/>
          <w:sz w:val="28"/>
          <w:szCs w:val="28"/>
          <w14:ligatures w14:val="standardContextual"/>
        </w:rPr>
        <w:t xml:space="preserve">Supplementary </w:t>
      </w:r>
      <w:r w:rsidR="00766F61">
        <w:rPr>
          <w:rFonts w:ascii="Times New Roman" w:hAnsi="Times New Roman" w:cs="Times New Roman"/>
          <w:b w:val="0"/>
          <w:bCs w:val="0"/>
          <w:sz w:val="28"/>
          <w:szCs w:val="28"/>
          <w14:ligatures w14:val="standardContextual"/>
        </w:rPr>
        <w:t xml:space="preserve">Table </w:t>
      </w:r>
      <w:r w:rsidR="00943079">
        <w:rPr>
          <w:rFonts w:ascii="Times New Roman" w:hAnsi="Times New Roman" w:cs="Times New Roman"/>
          <w:b w:val="0"/>
          <w:bCs w:val="0"/>
          <w:sz w:val="28"/>
          <w:szCs w:val="28"/>
          <w14:ligatures w14:val="standardContextual"/>
        </w:rPr>
        <w:t>2</w:t>
      </w:r>
      <w:r w:rsidR="00766F61">
        <w:rPr>
          <w:rFonts w:ascii="Times New Roman" w:hAnsi="Times New Roman" w:cs="Times New Roman"/>
          <w:b w:val="0"/>
          <w:bCs w:val="0"/>
          <w:sz w:val="28"/>
          <w:szCs w:val="28"/>
          <w14:ligatures w14:val="standardContextual"/>
        </w:rPr>
        <w:t xml:space="preserve"> Search strategy</w:t>
      </w:r>
    </w:p>
    <w:tbl>
      <w:tblPr>
        <w:tblStyle w:val="ab"/>
        <w:tblW w:w="8697" w:type="dxa"/>
        <w:tblLayout w:type="fixed"/>
        <w:tblLook w:val="04A0" w:firstRow="1" w:lastRow="0" w:firstColumn="1" w:lastColumn="0" w:noHBand="0" w:noVBand="1"/>
      </w:tblPr>
      <w:tblGrid>
        <w:gridCol w:w="1197"/>
        <w:gridCol w:w="1380"/>
        <w:gridCol w:w="1104"/>
        <w:gridCol w:w="838"/>
        <w:gridCol w:w="1558"/>
        <w:gridCol w:w="1000"/>
        <w:gridCol w:w="1620"/>
      </w:tblGrid>
      <w:tr w:rsidR="00295C86" w14:paraId="09D2404F" w14:textId="77777777" w:rsidTr="00E9101C">
        <w:tc>
          <w:tcPr>
            <w:tcW w:w="1197" w:type="dxa"/>
          </w:tcPr>
          <w:p w14:paraId="195B7AE2" w14:textId="77777777" w:rsidR="00295C86" w:rsidRDefault="00766F61">
            <w:pPr>
              <w:jc w:val="both"/>
              <w:rPr>
                <w:rFonts w:ascii="Times New Roman" w:hAnsi="Times New Roman" w:cs="Times New Roman"/>
              </w:rPr>
            </w:pPr>
            <w:r>
              <w:rPr>
                <w:rFonts w:ascii="Times New Roman" w:hAnsi="Times New Roman" w:cs="Times New Roman"/>
              </w:rPr>
              <w:t xml:space="preserve">The name of </w:t>
            </w:r>
            <w:r>
              <w:rPr>
                <w:rFonts w:ascii="Times New Roman" w:hAnsi="Times New Roman" w:cs="Times New Roman" w:hint="eastAsia"/>
              </w:rPr>
              <w:t xml:space="preserve">Study </w:t>
            </w:r>
          </w:p>
        </w:tc>
        <w:tc>
          <w:tcPr>
            <w:tcW w:w="1380" w:type="dxa"/>
          </w:tcPr>
          <w:p w14:paraId="6585EA65" w14:textId="77777777" w:rsidR="00295C86" w:rsidRDefault="00766F61">
            <w:pPr>
              <w:rPr>
                <w:rFonts w:ascii="Times New Roman" w:hAnsi="Times New Roman" w:cs="Times New Roman"/>
              </w:rPr>
            </w:pPr>
            <w:r>
              <w:rPr>
                <w:rFonts w:ascii="Times New Roman" w:hAnsi="Times New Roman" w:cs="Times New Roman"/>
                <w:sz w:val="24"/>
                <w:szCs w:val="24"/>
              </w:rPr>
              <w:t>First author</w:t>
            </w:r>
          </w:p>
        </w:tc>
        <w:tc>
          <w:tcPr>
            <w:tcW w:w="1104" w:type="dxa"/>
          </w:tcPr>
          <w:p w14:paraId="5D7E21AC" w14:textId="77777777" w:rsidR="00295C86" w:rsidRDefault="00766F61">
            <w:pPr>
              <w:rPr>
                <w:rFonts w:ascii="Times New Roman" w:hAnsi="Times New Roman" w:cs="Times New Roman"/>
              </w:rPr>
            </w:pPr>
            <w:r>
              <w:rPr>
                <w:rFonts w:ascii="Times New Roman" w:hAnsi="Times New Roman" w:cs="Times New Roman"/>
                <w:sz w:val="24"/>
                <w:szCs w:val="24"/>
              </w:rPr>
              <w:t>publication year</w:t>
            </w:r>
          </w:p>
        </w:tc>
        <w:tc>
          <w:tcPr>
            <w:tcW w:w="838" w:type="dxa"/>
          </w:tcPr>
          <w:p w14:paraId="4ADE9C6D" w14:textId="77777777" w:rsidR="00295C86" w:rsidRDefault="00766F61">
            <w:pPr>
              <w:rPr>
                <w:rFonts w:ascii="Times New Roman" w:hAnsi="Times New Roman" w:cs="Times New Roman"/>
              </w:rPr>
            </w:pPr>
            <w:r>
              <w:rPr>
                <w:rFonts w:ascii="Times New Roman" w:hAnsi="Times New Roman" w:cs="Times New Roman"/>
                <w:sz w:val="24"/>
                <w:szCs w:val="24"/>
              </w:rPr>
              <w:t>Study design</w:t>
            </w:r>
          </w:p>
        </w:tc>
        <w:tc>
          <w:tcPr>
            <w:tcW w:w="1558" w:type="dxa"/>
          </w:tcPr>
          <w:p w14:paraId="5923CC60"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Country</w:t>
            </w:r>
          </w:p>
        </w:tc>
        <w:tc>
          <w:tcPr>
            <w:tcW w:w="1000" w:type="dxa"/>
          </w:tcPr>
          <w:p w14:paraId="4D64635A"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Patient population</w:t>
            </w:r>
          </w:p>
        </w:tc>
        <w:tc>
          <w:tcPr>
            <w:tcW w:w="1620" w:type="dxa"/>
          </w:tcPr>
          <w:p w14:paraId="623CD5BC"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Type of SGLT2 inhibitor</w:t>
            </w:r>
          </w:p>
        </w:tc>
      </w:tr>
      <w:tr w:rsidR="00295C86" w14:paraId="1FBE45BA" w14:textId="77777777" w:rsidTr="00E9101C">
        <w:tc>
          <w:tcPr>
            <w:tcW w:w="1197" w:type="dxa"/>
          </w:tcPr>
          <w:p w14:paraId="1DB50C09"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DELIGHT</w:t>
            </w:r>
          </w:p>
        </w:tc>
        <w:tc>
          <w:tcPr>
            <w:tcW w:w="1380" w:type="dxa"/>
          </w:tcPr>
          <w:p w14:paraId="459B6BF8"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Dr. Amit X. Garg</w:t>
            </w:r>
          </w:p>
          <w:p w14:paraId="7689D37F" w14:textId="77777777" w:rsidR="00295C86" w:rsidRDefault="00295C86">
            <w:pPr>
              <w:rPr>
                <w:rFonts w:ascii="Times New Roman" w:hAnsi="Times New Roman" w:cs="Times New Roman"/>
                <w:sz w:val="24"/>
                <w:szCs w:val="24"/>
              </w:rPr>
            </w:pPr>
          </w:p>
        </w:tc>
        <w:tc>
          <w:tcPr>
            <w:tcW w:w="1104" w:type="dxa"/>
          </w:tcPr>
          <w:p w14:paraId="20839724"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2023</w:t>
            </w:r>
          </w:p>
          <w:p w14:paraId="7349F80C" w14:textId="77777777" w:rsidR="00295C86" w:rsidRDefault="00295C86">
            <w:pPr>
              <w:rPr>
                <w:rFonts w:ascii="Times New Roman" w:hAnsi="Times New Roman" w:cs="Times New Roman"/>
                <w:sz w:val="24"/>
                <w:szCs w:val="24"/>
              </w:rPr>
            </w:pPr>
          </w:p>
        </w:tc>
        <w:tc>
          <w:tcPr>
            <w:tcW w:w="838" w:type="dxa"/>
          </w:tcPr>
          <w:p w14:paraId="77BDD87F"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RCT</w:t>
            </w:r>
          </w:p>
        </w:tc>
        <w:tc>
          <w:tcPr>
            <w:tcW w:w="1558" w:type="dxa"/>
          </w:tcPr>
          <w:p w14:paraId="49276EF5"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London Health Sciences Centre, LHSC</w:t>
            </w:r>
          </w:p>
          <w:p w14:paraId="08D8795C" w14:textId="77777777" w:rsidR="00295C86" w:rsidRDefault="00295C86">
            <w:pPr>
              <w:rPr>
                <w:rFonts w:ascii="Times New Roman" w:hAnsi="Times New Roman" w:cs="Times New Roman"/>
                <w:sz w:val="24"/>
                <w:szCs w:val="24"/>
              </w:rPr>
            </w:pPr>
          </w:p>
        </w:tc>
        <w:tc>
          <w:tcPr>
            <w:tcW w:w="1000" w:type="dxa"/>
          </w:tcPr>
          <w:p w14:paraId="73B4756B" w14:textId="77777777" w:rsidR="00295C86" w:rsidRDefault="00766F61">
            <w:pPr>
              <w:rPr>
                <w:rFonts w:ascii="Times New Roman" w:hAnsi="Times New Roman" w:cs="Times New Roman"/>
                <w:sz w:val="24"/>
                <w:szCs w:val="24"/>
              </w:rPr>
            </w:pPr>
            <w:r>
              <w:rPr>
                <w:rFonts w:ascii="Times New Roman" w:hAnsi="Times New Roman" w:cs="Times New Roman" w:hint="eastAsia"/>
                <w:sz w:val="24"/>
                <w:szCs w:val="24"/>
              </w:rPr>
              <w:t>293</w:t>
            </w:r>
          </w:p>
        </w:tc>
        <w:tc>
          <w:tcPr>
            <w:tcW w:w="1620" w:type="dxa"/>
          </w:tcPr>
          <w:p w14:paraId="6060F255" w14:textId="77777777" w:rsidR="00295C86" w:rsidRDefault="00766F61">
            <w:pPr>
              <w:rPr>
                <w:rFonts w:ascii="Times New Roman" w:hAnsi="Times New Roman" w:cs="Times New Roman"/>
                <w:sz w:val="24"/>
                <w:szCs w:val="24"/>
              </w:rPr>
            </w:pPr>
            <w:r>
              <w:rPr>
                <w:rFonts w:ascii="Times New Roman" w:hAnsi="Times New Roman" w:cs="Times New Roman" w:hint="eastAsia"/>
                <w:sz w:val="24"/>
                <w:szCs w:val="24"/>
              </w:rPr>
              <w:t>Dapagliflozin</w:t>
            </w:r>
          </w:p>
        </w:tc>
      </w:tr>
      <w:tr w:rsidR="00295C86" w14:paraId="589406AE" w14:textId="77777777" w:rsidTr="00E9101C">
        <w:trPr>
          <w:trHeight w:val="5179"/>
        </w:trPr>
        <w:tc>
          <w:tcPr>
            <w:tcW w:w="1197" w:type="dxa"/>
          </w:tcPr>
          <w:p w14:paraId="1E203966"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DECLARE-TIM58</w:t>
            </w:r>
          </w:p>
        </w:tc>
        <w:tc>
          <w:tcPr>
            <w:tcW w:w="1380" w:type="dxa"/>
          </w:tcPr>
          <w:p w14:paraId="5546BE91"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 xml:space="preserve">Stephen D. </w:t>
            </w:r>
            <w:proofErr w:type="spellStart"/>
            <w:r>
              <w:rPr>
                <w:rFonts w:ascii="Times New Roman" w:hAnsi="Times New Roman" w:cs="Times New Roman"/>
                <w:sz w:val="24"/>
                <w:szCs w:val="24"/>
              </w:rPr>
              <w:t>Wiviott</w:t>
            </w:r>
            <w:proofErr w:type="spellEnd"/>
            <w:r>
              <w:rPr>
                <w:rFonts w:ascii="Times New Roman" w:hAnsi="Times New Roman" w:cs="Times New Roman"/>
                <w:sz w:val="24"/>
                <w:szCs w:val="24"/>
              </w:rPr>
              <w:t>, MD</w:t>
            </w:r>
            <w:r>
              <w:rPr>
                <w:rFonts w:ascii="Times New Roman" w:hAnsi="Times New Roman" w:cs="Times New Roman" w:hint="eastAsia"/>
                <w:sz w:val="24"/>
                <w:szCs w:val="24"/>
              </w:rPr>
              <w:t>；</w:t>
            </w:r>
            <w:proofErr w:type="spellStart"/>
            <w:r>
              <w:rPr>
                <w:rFonts w:ascii="Times New Roman" w:hAnsi="Times New Roman" w:cs="Times New Roman"/>
                <w:sz w:val="24"/>
                <w:szCs w:val="24"/>
              </w:rPr>
              <w:t>Itamar</w:t>
            </w:r>
            <w:proofErr w:type="spellEnd"/>
            <w:r>
              <w:rPr>
                <w:rFonts w:ascii="Times New Roman" w:hAnsi="Times New Roman" w:cs="Times New Roman"/>
                <w:sz w:val="24"/>
                <w:szCs w:val="24"/>
              </w:rPr>
              <w:t xml:space="preserve"> Raz, MD</w:t>
            </w:r>
          </w:p>
          <w:p w14:paraId="1609A994" w14:textId="77777777" w:rsidR="00295C86" w:rsidRDefault="00295C86">
            <w:pPr>
              <w:rPr>
                <w:rFonts w:ascii="Times New Roman" w:hAnsi="Times New Roman" w:cs="Times New Roman"/>
                <w:sz w:val="24"/>
                <w:szCs w:val="24"/>
              </w:rPr>
            </w:pPr>
          </w:p>
          <w:p w14:paraId="0BBB51A2" w14:textId="77777777" w:rsidR="00295C86" w:rsidRDefault="00295C86">
            <w:pPr>
              <w:rPr>
                <w:rFonts w:ascii="Times New Roman" w:hAnsi="Times New Roman" w:cs="Times New Roman"/>
                <w:sz w:val="24"/>
                <w:szCs w:val="24"/>
              </w:rPr>
            </w:pPr>
          </w:p>
        </w:tc>
        <w:tc>
          <w:tcPr>
            <w:tcW w:w="1104" w:type="dxa"/>
          </w:tcPr>
          <w:p w14:paraId="2C37768A"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2015</w:t>
            </w:r>
          </w:p>
          <w:p w14:paraId="66CB58EF" w14:textId="77777777" w:rsidR="00295C86" w:rsidRDefault="00295C86">
            <w:pPr>
              <w:rPr>
                <w:rFonts w:ascii="Times New Roman" w:hAnsi="Times New Roman" w:cs="Times New Roman"/>
                <w:sz w:val="24"/>
                <w:szCs w:val="24"/>
              </w:rPr>
            </w:pPr>
          </w:p>
        </w:tc>
        <w:tc>
          <w:tcPr>
            <w:tcW w:w="838" w:type="dxa"/>
          </w:tcPr>
          <w:p w14:paraId="221FA9A2" w14:textId="77777777" w:rsidR="00295C86" w:rsidRDefault="00766F61">
            <w:pPr>
              <w:rPr>
                <w:rFonts w:ascii="Times New Roman" w:hAnsi="Times New Roman" w:cs="Times New Roman"/>
                <w:sz w:val="24"/>
                <w:szCs w:val="24"/>
              </w:rPr>
            </w:pPr>
            <w:r>
              <w:rPr>
                <w:rFonts w:ascii="Times New Roman" w:hAnsi="Times New Roman" w:cs="Times New Roman"/>
                <w:sz w:val="24"/>
                <w:szCs w:val="24"/>
              </w:rPr>
              <w:t>CVOT</w:t>
            </w:r>
          </w:p>
          <w:p w14:paraId="33BB7967" w14:textId="77777777" w:rsidR="00295C86" w:rsidRDefault="00295C86">
            <w:pPr>
              <w:rPr>
                <w:rFonts w:ascii="Times New Roman" w:hAnsi="Times New Roman" w:cs="Times New Roman"/>
                <w:sz w:val="24"/>
                <w:szCs w:val="24"/>
              </w:rPr>
            </w:pPr>
          </w:p>
        </w:tc>
        <w:tc>
          <w:tcPr>
            <w:tcW w:w="1558" w:type="dxa"/>
          </w:tcPr>
          <w:p w14:paraId="3A2D3E2F" w14:textId="77777777" w:rsidR="00295C86" w:rsidRDefault="00766F61">
            <w:pPr>
              <w:rPr>
                <w:rFonts w:ascii="Times New Roman" w:hAnsi="Times New Roman" w:cs="Times New Roman"/>
                <w:sz w:val="24"/>
                <w:szCs w:val="24"/>
              </w:rPr>
            </w:pPr>
            <w:r>
              <w:rPr>
                <w:rFonts w:ascii="Times New Roman" w:hAnsi="Times New Roman" w:cs="Times New Roman" w:hint="eastAsia"/>
                <w:sz w:val="24"/>
                <w:szCs w:val="24"/>
              </w:rPr>
              <w:t>North America (the United States and Canada), Europe (multiple countries), Latin America, the Middle East (especially Israel), Africa, and the Asia-Pacific region</w:t>
            </w:r>
          </w:p>
        </w:tc>
        <w:tc>
          <w:tcPr>
            <w:tcW w:w="1000" w:type="dxa"/>
          </w:tcPr>
          <w:p w14:paraId="74B75BC6" w14:textId="77777777" w:rsidR="00295C86" w:rsidRDefault="00766F61">
            <w:pPr>
              <w:rPr>
                <w:rFonts w:ascii="Times New Roman" w:hAnsi="Times New Roman" w:cs="Times New Roman"/>
                <w:sz w:val="24"/>
                <w:szCs w:val="24"/>
              </w:rPr>
            </w:pPr>
            <w:r>
              <w:rPr>
                <w:rFonts w:ascii="Times New Roman" w:hAnsi="Times New Roman" w:cs="Times New Roman" w:hint="eastAsia"/>
                <w:sz w:val="24"/>
                <w:szCs w:val="24"/>
              </w:rPr>
              <w:t>17143</w:t>
            </w:r>
          </w:p>
        </w:tc>
        <w:tc>
          <w:tcPr>
            <w:tcW w:w="1620" w:type="dxa"/>
          </w:tcPr>
          <w:p w14:paraId="12F8A718" w14:textId="77777777" w:rsidR="00295C86" w:rsidRDefault="00766F61">
            <w:pPr>
              <w:rPr>
                <w:rFonts w:ascii="Times New Roman" w:hAnsi="Times New Roman" w:cs="Times New Roman"/>
                <w:sz w:val="24"/>
                <w:szCs w:val="24"/>
              </w:rPr>
            </w:pPr>
            <w:r>
              <w:rPr>
                <w:rFonts w:ascii="Times New Roman" w:hAnsi="Times New Roman" w:cs="Times New Roman" w:hint="eastAsia"/>
                <w:sz w:val="24"/>
                <w:szCs w:val="24"/>
              </w:rPr>
              <w:t>Dapagliflozin</w:t>
            </w:r>
          </w:p>
        </w:tc>
      </w:tr>
      <w:tr w:rsidR="00295C86" w14:paraId="4F04238E" w14:textId="77777777" w:rsidTr="00E9101C">
        <w:trPr>
          <w:trHeight w:val="2021"/>
        </w:trPr>
        <w:tc>
          <w:tcPr>
            <w:tcW w:w="1197" w:type="dxa"/>
          </w:tcPr>
          <w:p w14:paraId="36CCB2B0" w14:textId="77777777" w:rsidR="00295C86" w:rsidRDefault="00766F61">
            <w:pPr>
              <w:jc w:val="both"/>
              <w:rPr>
                <w:rFonts w:ascii="Times New Roman" w:hAnsi="Times New Roman" w:cs="Times New Roman"/>
              </w:rPr>
            </w:pPr>
            <w:r>
              <w:rPr>
                <w:rFonts w:ascii="Times New Roman" w:hAnsi="Times New Roman" w:cs="Times New Roman"/>
              </w:rPr>
              <w:t>DAPA-HF</w:t>
            </w:r>
          </w:p>
        </w:tc>
        <w:tc>
          <w:tcPr>
            <w:tcW w:w="1380" w:type="dxa"/>
          </w:tcPr>
          <w:p w14:paraId="1208FC8A" w14:textId="77777777" w:rsidR="00295C86" w:rsidRDefault="00766F61">
            <w:pPr>
              <w:jc w:val="both"/>
              <w:rPr>
                <w:rFonts w:ascii="Times New Roman" w:hAnsi="Times New Roman" w:cs="Times New Roman"/>
              </w:rPr>
            </w:pPr>
            <w:r>
              <w:rPr>
                <w:rFonts w:ascii="Times New Roman" w:hAnsi="Times New Roman" w:cs="Times New Roman"/>
              </w:rPr>
              <w:t>John J.V. McMurray, MD</w:t>
            </w:r>
            <w:r>
              <w:rPr>
                <w:rFonts w:ascii="Times New Roman" w:hAnsi="Times New Roman" w:cs="Times New Roman" w:hint="eastAsia"/>
              </w:rPr>
              <w:t>；</w:t>
            </w:r>
            <w:r>
              <w:rPr>
                <w:rFonts w:ascii="Times New Roman" w:hAnsi="Times New Roman" w:cs="Times New Roman"/>
              </w:rPr>
              <w:t>Scott D. Solomon, MD</w:t>
            </w:r>
          </w:p>
        </w:tc>
        <w:tc>
          <w:tcPr>
            <w:tcW w:w="1104" w:type="dxa"/>
          </w:tcPr>
          <w:p w14:paraId="7DCCF9E5" w14:textId="77777777" w:rsidR="00295C86" w:rsidRDefault="00766F61">
            <w:pPr>
              <w:jc w:val="both"/>
              <w:rPr>
                <w:rFonts w:ascii="Times New Roman" w:hAnsi="Times New Roman" w:cs="Times New Roman"/>
              </w:rPr>
            </w:pPr>
            <w:r>
              <w:rPr>
                <w:rFonts w:ascii="Times New Roman" w:hAnsi="Times New Roman" w:cs="Times New Roman"/>
              </w:rPr>
              <w:t>2017</w:t>
            </w:r>
          </w:p>
          <w:p w14:paraId="3B9BB623" w14:textId="77777777" w:rsidR="00295C86" w:rsidRDefault="00295C86">
            <w:pPr>
              <w:jc w:val="both"/>
              <w:rPr>
                <w:rFonts w:ascii="Times New Roman" w:hAnsi="Times New Roman" w:cs="Times New Roman"/>
              </w:rPr>
            </w:pPr>
          </w:p>
        </w:tc>
        <w:tc>
          <w:tcPr>
            <w:tcW w:w="838" w:type="dxa"/>
          </w:tcPr>
          <w:p w14:paraId="5FA71E93" w14:textId="77777777" w:rsidR="00295C86" w:rsidRDefault="00766F61">
            <w:pPr>
              <w:jc w:val="both"/>
              <w:rPr>
                <w:rFonts w:ascii="Times New Roman" w:hAnsi="Times New Roman" w:cs="Times New Roman"/>
              </w:rPr>
            </w:pPr>
            <w:r>
              <w:rPr>
                <w:rFonts w:ascii="Times New Roman" w:hAnsi="Times New Roman" w:cs="Times New Roman"/>
              </w:rPr>
              <w:t>RCT</w:t>
            </w:r>
          </w:p>
        </w:tc>
        <w:tc>
          <w:tcPr>
            <w:tcW w:w="1558" w:type="dxa"/>
          </w:tcPr>
          <w:p w14:paraId="294CE0A5" w14:textId="77777777" w:rsidR="00295C86" w:rsidRDefault="00766F61">
            <w:pPr>
              <w:jc w:val="both"/>
              <w:rPr>
                <w:rFonts w:ascii="Times New Roman" w:hAnsi="Times New Roman" w:cs="Times New Roman"/>
              </w:rPr>
            </w:pPr>
            <w:r>
              <w:rPr>
                <w:rFonts w:ascii="Times New Roman" w:hAnsi="Times New Roman" w:cs="Times New Roman" w:hint="eastAsia"/>
              </w:rPr>
              <w:t>Europe, North America, South America and Asia</w:t>
            </w:r>
          </w:p>
        </w:tc>
        <w:tc>
          <w:tcPr>
            <w:tcW w:w="1000" w:type="dxa"/>
          </w:tcPr>
          <w:p w14:paraId="0552DB5C" w14:textId="77777777" w:rsidR="00295C86" w:rsidRDefault="00766F61">
            <w:pPr>
              <w:jc w:val="both"/>
              <w:rPr>
                <w:rFonts w:ascii="Times New Roman" w:hAnsi="Times New Roman" w:cs="Times New Roman"/>
              </w:rPr>
            </w:pPr>
            <w:r>
              <w:rPr>
                <w:rFonts w:ascii="Times New Roman" w:hAnsi="Times New Roman" w:cs="Times New Roman"/>
              </w:rPr>
              <w:t>4744</w:t>
            </w:r>
          </w:p>
        </w:tc>
        <w:tc>
          <w:tcPr>
            <w:tcW w:w="1620" w:type="dxa"/>
          </w:tcPr>
          <w:p w14:paraId="379BAFBF" w14:textId="77777777" w:rsidR="00295C86" w:rsidRDefault="00766F61">
            <w:pPr>
              <w:jc w:val="both"/>
              <w:rPr>
                <w:rFonts w:ascii="Times New Roman" w:hAnsi="Times New Roman" w:cs="Times New Roman"/>
              </w:rPr>
            </w:pPr>
            <w:r>
              <w:rPr>
                <w:rFonts w:ascii="Times New Roman" w:hAnsi="Times New Roman" w:cs="Times New Roman" w:hint="eastAsia"/>
                <w:sz w:val="24"/>
                <w:szCs w:val="24"/>
              </w:rPr>
              <w:t>Dapagliflozin</w:t>
            </w:r>
          </w:p>
        </w:tc>
      </w:tr>
      <w:tr w:rsidR="00295C86" w14:paraId="3C17185F" w14:textId="77777777" w:rsidTr="00E9101C">
        <w:tc>
          <w:tcPr>
            <w:tcW w:w="1197" w:type="dxa"/>
          </w:tcPr>
          <w:p w14:paraId="1E7DC48D" w14:textId="77777777" w:rsidR="00295C86" w:rsidRDefault="00766F61">
            <w:pPr>
              <w:jc w:val="both"/>
              <w:rPr>
                <w:rFonts w:ascii="Times New Roman" w:hAnsi="Times New Roman" w:cs="Times New Roman"/>
              </w:rPr>
            </w:pPr>
            <w:r>
              <w:rPr>
                <w:rFonts w:ascii="Times New Roman" w:hAnsi="Times New Roman" w:cs="Times New Roman"/>
              </w:rPr>
              <w:t>DAPA-</w:t>
            </w:r>
            <w:proofErr w:type="gramStart"/>
            <w:r>
              <w:rPr>
                <w:rFonts w:ascii="Times New Roman" w:hAnsi="Times New Roman" w:cs="Times New Roman"/>
              </w:rPr>
              <w:t>MI(</w:t>
            </w:r>
            <w:proofErr w:type="gramEnd"/>
            <w:r>
              <w:rPr>
                <w:rFonts w:ascii="Times New Roman" w:hAnsi="Times New Roman" w:cs="Times New Roman"/>
              </w:rPr>
              <w:t>fourth)</w:t>
            </w:r>
          </w:p>
        </w:tc>
        <w:tc>
          <w:tcPr>
            <w:tcW w:w="1380" w:type="dxa"/>
          </w:tcPr>
          <w:p w14:paraId="59EA1C67" w14:textId="77777777" w:rsidR="00295C86" w:rsidRDefault="00766F61">
            <w:pPr>
              <w:jc w:val="both"/>
              <w:rPr>
                <w:rFonts w:ascii="Times New Roman" w:hAnsi="Times New Roman" w:cs="Times New Roman"/>
              </w:rPr>
            </w:pPr>
            <w:r>
              <w:rPr>
                <w:rFonts w:ascii="Times New Roman" w:hAnsi="Times New Roman" w:cs="Times New Roman"/>
              </w:rPr>
              <w:t xml:space="preserve">Lars </w:t>
            </w:r>
            <w:proofErr w:type="spellStart"/>
            <w:r>
              <w:rPr>
                <w:rFonts w:ascii="Times New Roman" w:hAnsi="Times New Roman" w:cs="Times New Roman"/>
              </w:rPr>
              <w:t>Køber</w:t>
            </w:r>
            <w:proofErr w:type="spellEnd"/>
            <w:r>
              <w:rPr>
                <w:rFonts w:ascii="Times New Roman" w:hAnsi="Times New Roman" w:cs="Times New Roman"/>
              </w:rPr>
              <w:t xml:space="preserve">, MD, </w:t>
            </w:r>
            <w:proofErr w:type="spellStart"/>
            <w:r>
              <w:rPr>
                <w:rFonts w:ascii="Times New Roman" w:hAnsi="Times New Roman" w:cs="Times New Roman"/>
              </w:rPr>
              <w:t>DMSc</w:t>
            </w:r>
            <w:proofErr w:type="spellEnd"/>
          </w:p>
          <w:p w14:paraId="05508AB1" w14:textId="77777777" w:rsidR="00295C86" w:rsidRDefault="00766F61">
            <w:pPr>
              <w:jc w:val="both"/>
              <w:rPr>
                <w:rFonts w:ascii="Times New Roman" w:hAnsi="Times New Roman" w:cs="Times New Roman"/>
              </w:rPr>
            </w:pPr>
            <w:r>
              <w:rPr>
                <w:rFonts w:ascii="Times New Roman" w:hAnsi="Times New Roman" w:cs="Times New Roman"/>
              </w:rPr>
              <w:t xml:space="preserve">Anna Maria </w:t>
            </w:r>
            <w:proofErr w:type="spellStart"/>
            <w:r>
              <w:rPr>
                <w:rFonts w:ascii="Times New Roman" w:hAnsi="Times New Roman" w:cs="Times New Roman"/>
              </w:rPr>
              <w:t>Langkilde</w:t>
            </w:r>
            <w:proofErr w:type="spellEnd"/>
            <w:r>
              <w:rPr>
                <w:rFonts w:ascii="Times New Roman" w:hAnsi="Times New Roman" w:cs="Times New Roman"/>
              </w:rPr>
              <w:t xml:space="preserve">, MD, </w:t>
            </w:r>
            <w:r>
              <w:rPr>
                <w:rFonts w:ascii="Times New Roman" w:hAnsi="Times New Roman" w:cs="Times New Roman"/>
              </w:rPr>
              <w:lastRenderedPageBreak/>
              <w:t>PhD</w:t>
            </w:r>
          </w:p>
          <w:p w14:paraId="7DE551A8" w14:textId="77777777" w:rsidR="00295C86" w:rsidRDefault="00295C86">
            <w:pPr>
              <w:jc w:val="both"/>
              <w:rPr>
                <w:rFonts w:ascii="Times New Roman" w:hAnsi="Times New Roman" w:cs="Times New Roman"/>
              </w:rPr>
            </w:pPr>
          </w:p>
        </w:tc>
        <w:tc>
          <w:tcPr>
            <w:tcW w:w="1104" w:type="dxa"/>
          </w:tcPr>
          <w:p w14:paraId="617AA46C" w14:textId="77777777" w:rsidR="00295C86" w:rsidRDefault="00766F61">
            <w:pPr>
              <w:jc w:val="both"/>
              <w:rPr>
                <w:rFonts w:ascii="Times New Roman" w:hAnsi="Times New Roman" w:cs="Times New Roman"/>
              </w:rPr>
            </w:pPr>
            <w:r>
              <w:rPr>
                <w:rFonts w:ascii="Times New Roman" w:hAnsi="Times New Roman" w:cs="Times New Roman"/>
              </w:rPr>
              <w:lastRenderedPageBreak/>
              <w:t>2020</w:t>
            </w:r>
          </w:p>
          <w:p w14:paraId="3902AFF5" w14:textId="77777777" w:rsidR="00295C86" w:rsidRDefault="00295C86">
            <w:pPr>
              <w:jc w:val="both"/>
              <w:rPr>
                <w:rFonts w:ascii="Times New Roman" w:hAnsi="Times New Roman" w:cs="Times New Roman"/>
              </w:rPr>
            </w:pPr>
          </w:p>
        </w:tc>
        <w:tc>
          <w:tcPr>
            <w:tcW w:w="838" w:type="dxa"/>
          </w:tcPr>
          <w:p w14:paraId="372512FC" w14:textId="77777777" w:rsidR="00295C86" w:rsidRDefault="00766F61">
            <w:pPr>
              <w:jc w:val="both"/>
              <w:rPr>
                <w:rFonts w:ascii="Times New Roman" w:hAnsi="Times New Roman" w:cs="Times New Roman"/>
              </w:rPr>
            </w:pPr>
            <w:r>
              <w:rPr>
                <w:rFonts w:ascii="Times New Roman" w:hAnsi="Times New Roman" w:cs="Times New Roman"/>
              </w:rPr>
              <w:t>RCT</w:t>
            </w:r>
          </w:p>
          <w:p w14:paraId="2456243E" w14:textId="77777777" w:rsidR="00295C86" w:rsidRDefault="00295C86">
            <w:pPr>
              <w:jc w:val="both"/>
              <w:rPr>
                <w:rFonts w:ascii="Times New Roman" w:hAnsi="Times New Roman" w:cs="Times New Roman"/>
              </w:rPr>
            </w:pPr>
          </w:p>
        </w:tc>
        <w:tc>
          <w:tcPr>
            <w:tcW w:w="1558" w:type="dxa"/>
          </w:tcPr>
          <w:p w14:paraId="17B91812" w14:textId="77777777" w:rsidR="00295C86" w:rsidRDefault="00766F61">
            <w:pPr>
              <w:jc w:val="both"/>
              <w:rPr>
                <w:rFonts w:ascii="Times New Roman" w:hAnsi="Times New Roman" w:cs="Times New Roman"/>
              </w:rPr>
            </w:pPr>
            <w:r>
              <w:rPr>
                <w:rFonts w:ascii="Times New Roman" w:hAnsi="Times New Roman" w:cs="Times New Roman" w:hint="eastAsia"/>
              </w:rPr>
              <w:t xml:space="preserve">Sweden, </w:t>
            </w:r>
            <w:proofErr w:type="spellStart"/>
            <w:proofErr w:type="gramStart"/>
            <w:r>
              <w:rPr>
                <w:rFonts w:ascii="Times New Roman" w:hAnsi="Times New Roman" w:cs="Times New Roman" w:hint="eastAsia"/>
              </w:rPr>
              <w:t>Denmark,Norway</w:t>
            </w:r>
            <w:proofErr w:type="spellEnd"/>
            <w:proofErr w:type="gramEnd"/>
            <w:r>
              <w:rPr>
                <w:rFonts w:ascii="Times New Roman" w:hAnsi="Times New Roman" w:cs="Times New Roman" w:hint="eastAsia"/>
              </w:rPr>
              <w:t>, and the United Kingdom</w:t>
            </w:r>
          </w:p>
        </w:tc>
        <w:tc>
          <w:tcPr>
            <w:tcW w:w="1000" w:type="dxa"/>
          </w:tcPr>
          <w:p w14:paraId="32DD3133" w14:textId="77777777" w:rsidR="00295C86" w:rsidRDefault="00766F61">
            <w:pPr>
              <w:jc w:val="both"/>
              <w:rPr>
                <w:rFonts w:ascii="Times New Roman" w:hAnsi="Times New Roman" w:cs="Times New Roman"/>
              </w:rPr>
            </w:pPr>
            <w:r>
              <w:rPr>
                <w:rFonts w:ascii="Times New Roman" w:hAnsi="Times New Roman" w:cs="Times New Roman"/>
              </w:rPr>
              <w:t>2,7167</w:t>
            </w:r>
          </w:p>
          <w:p w14:paraId="6AB53004" w14:textId="77777777" w:rsidR="00295C86" w:rsidRDefault="00295C86">
            <w:pPr>
              <w:jc w:val="both"/>
              <w:rPr>
                <w:rFonts w:ascii="Times New Roman" w:hAnsi="Times New Roman" w:cs="Times New Roman"/>
              </w:rPr>
            </w:pPr>
          </w:p>
        </w:tc>
        <w:tc>
          <w:tcPr>
            <w:tcW w:w="1620" w:type="dxa"/>
          </w:tcPr>
          <w:p w14:paraId="417EC83A" w14:textId="77777777" w:rsidR="00295C86" w:rsidRDefault="00766F61">
            <w:pPr>
              <w:jc w:val="both"/>
              <w:rPr>
                <w:rFonts w:ascii="Times New Roman" w:hAnsi="Times New Roman" w:cs="Times New Roman"/>
              </w:rPr>
            </w:pPr>
            <w:r>
              <w:rPr>
                <w:rFonts w:ascii="Times New Roman" w:hAnsi="Times New Roman" w:cs="Times New Roman" w:hint="eastAsia"/>
                <w:sz w:val="24"/>
                <w:szCs w:val="24"/>
              </w:rPr>
              <w:t>Dapagliflozin</w:t>
            </w:r>
          </w:p>
        </w:tc>
      </w:tr>
    </w:tbl>
    <w:p w14:paraId="4D8E2596" w14:textId="5928A03A" w:rsidR="00295C86" w:rsidRDefault="00295C86"/>
    <w:p w14:paraId="0697C474" w14:textId="07585635" w:rsidR="00943079" w:rsidRDefault="00943079"/>
    <w:p w14:paraId="29977D90" w14:textId="77777777" w:rsidR="00943079" w:rsidRDefault="00943079" w:rsidP="00943079">
      <w:r w:rsidRPr="00E1037B">
        <w:t>Supplementary</w:t>
      </w:r>
      <w:r w:rsidRPr="00E1037B">
        <w:rPr>
          <w:rFonts w:hint="eastAsia"/>
        </w:rPr>
        <w:t xml:space="preserve"> </w:t>
      </w:r>
      <w:r>
        <w:rPr>
          <w:rFonts w:hint="eastAsia"/>
        </w:rPr>
        <w:t xml:space="preserve">Table </w:t>
      </w:r>
      <w:r>
        <w:t>3</w:t>
      </w:r>
      <w:r>
        <w:rPr>
          <w:rFonts w:hint="eastAsia"/>
        </w:rPr>
        <w:t xml:space="preserve"> Clinical outcome and postoperative complication</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133"/>
        <w:gridCol w:w="2095"/>
        <w:gridCol w:w="2230"/>
      </w:tblGrid>
      <w:tr w:rsidR="00943079" w14:paraId="0F3CDFAD" w14:textId="77777777" w:rsidTr="0045573E">
        <w:tc>
          <w:tcPr>
            <w:tcW w:w="1838" w:type="dxa"/>
            <w:tcBorders>
              <w:top w:val="single" w:sz="4" w:space="0" w:color="auto"/>
              <w:bottom w:val="single" w:sz="4" w:space="0" w:color="auto"/>
            </w:tcBorders>
          </w:tcPr>
          <w:p w14:paraId="33B8BDC0" w14:textId="77777777" w:rsidR="00943079" w:rsidRDefault="00943079" w:rsidP="0045573E">
            <w:r>
              <w:t>Variable</w:t>
            </w:r>
          </w:p>
        </w:tc>
        <w:tc>
          <w:tcPr>
            <w:tcW w:w="2133" w:type="dxa"/>
            <w:tcBorders>
              <w:top w:val="single" w:sz="4" w:space="0" w:color="auto"/>
              <w:bottom w:val="single" w:sz="4" w:space="0" w:color="auto"/>
            </w:tcBorders>
            <w:vAlign w:val="center"/>
          </w:tcPr>
          <w:p w14:paraId="515450AE" w14:textId="77777777" w:rsidR="00943079" w:rsidRDefault="00943079" w:rsidP="0045573E">
            <w:r>
              <w:rPr>
                <w:rFonts w:hint="eastAsia"/>
              </w:rPr>
              <w:t>Dapagliflozin</w:t>
            </w:r>
          </w:p>
          <w:p w14:paraId="2AA80C90" w14:textId="77777777" w:rsidR="00943079" w:rsidRDefault="00943079" w:rsidP="0045573E">
            <w:r>
              <w:rPr>
                <w:rFonts w:hint="eastAsia"/>
              </w:rPr>
              <w:t>(n=410)</w:t>
            </w:r>
          </w:p>
        </w:tc>
        <w:tc>
          <w:tcPr>
            <w:tcW w:w="2095" w:type="dxa"/>
            <w:tcBorders>
              <w:top w:val="single" w:sz="4" w:space="0" w:color="auto"/>
              <w:bottom w:val="single" w:sz="4" w:space="0" w:color="auto"/>
            </w:tcBorders>
          </w:tcPr>
          <w:p w14:paraId="0BF6B2A1" w14:textId="77777777" w:rsidR="00943079" w:rsidRDefault="00943079" w:rsidP="0045573E">
            <w:r>
              <w:rPr>
                <w:rFonts w:hint="eastAsia"/>
              </w:rPr>
              <w:t>No Dapagliflozin</w:t>
            </w:r>
          </w:p>
          <w:p w14:paraId="122F7474" w14:textId="77777777" w:rsidR="00943079" w:rsidRDefault="00943079" w:rsidP="0045573E">
            <w:r>
              <w:rPr>
                <w:rFonts w:hint="eastAsia"/>
              </w:rPr>
              <w:t>(n=12442)</w:t>
            </w:r>
          </w:p>
        </w:tc>
        <w:tc>
          <w:tcPr>
            <w:tcW w:w="2230" w:type="dxa"/>
            <w:tcBorders>
              <w:top w:val="single" w:sz="4" w:space="0" w:color="auto"/>
              <w:bottom w:val="single" w:sz="4" w:space="0" w:color="auto"/>
            </w:tcBorders>
          </w:tcPr>
          <w:p w14:paraId="41932ED4" w14:textId="77777777" w:rsidR="00943079" w:rsidRDefault="00943079" w:rsidP="0045573E">
            <w:r>
              <w:t>The a</w:t>
            </w:r>
            <w:r>
              <w:rPr>
                <w:rFonts w:hint="eastAsia"/>
              </w:rPr>
              <w:t>ll</w:t>
            </w:r>
          </w:p>
          <w:p w14:paraId="467846B1" w14:textId="77777777" w:rsidR="00943079" w:rsidRDefault="00943079" w:rsidP="0045573E">
            <w:r>
              <w:rPr>
                <w:rFonts w:hint="eastAsia"/>
              </w:rPr>
              <w:t>(n=12825)</w:t>
            </w:r>
          </w:p>
        </w:tc>
      </w:tr>
      <w:tr w:rsidR="00943079" w14:paraId="0E00242F" w14:textId="77777777" w:rsidTr="0045573E">
        <w:tc>
          <w:tcPr>
            <w:tcW w:w="1838" w:type="dxa"/>
            <w:tcBorders>
              <w:top w:val="single" w:sz="4" w:space="0" w:color="auto"/>
            </w:tcBorders>
          </w:tcPr>
          <w:p w14:paraId="2D5DAE7D" w14:textId="77777777" w:rsidR="00943079" w:rsidRDefault="00943079" w:rsidP="0045573E">
            <w:r>
              <w:t xml:space="preserve">Death </w:t>
            </w:r>
            <w:proofErr w:type="gramStart"/>
            <w:r>
              <w:rPr>
                <w:rFonts w:hint="eastAsia"/>
              </w:rPr>
              <w:t>n(</w:t>
            </w:r>
            <w:proofErr w:type="gramEnd"/>
            <w:r>
              <w:rPr>
                <w:rFonts w:hint="eastAsia"/>
              </w:rPr>
              <w:t>%)</w:t>
            </w:r>
          </w:p>
        </w:tc>
        <w:tc>
          <w:tcPr>
            <w:tcW w:w="2133" w:type="dxa"/>
            <w:tcBorders>
              <w:top w:val="single" w:sz="4" w:space="0" w:color="auto"/>
            </w:tcBorders>
          </w:tcPr>
          <w:p w14:paraId="7DFBC58D" w14:textId="77777777" w:rsidR="00943079" w:rsidRDefault="00943079" w:rsidP="0045573E">
            <w:r>
              <w:t>5 (1.2%)</w:t>
            </w:r>
          </w:p>
        </w:tc>
        <w:tc>
          <w:tcPr>
            <w:tcW w:w="2095" w:type="dxa"/>
            <w:tcBorders>
              <w:top w:val="single" w:sz="4" w:space="0" w:color="auto"/>
            </w:tcBorders>
          </w:tcPr>
          <w:p w14:paraId="3ED6B1C0" w14:textId="77777777" w:rsidR="00943079" w:rsidRDefault="00943079" w:rsidP="0045573E">
            <w:r>
              <w:t>3</w:t>
            </w:r>
            <w:r>
              <w:rPr>
                <w:rFonts w:hint="eastAsia"/>
              </w:rPr>
              <w:t>52</w:t>
            </w:r>
            <w:r>
              <w:t xml:space="preserve"> (</w:t>
            </w:r>
            <w:r>
              <w:rPr>
                <w:rFonts w:hint="eastAsia"/>
              </w:rPr>
              <w:t>2</w:t>
            </w:r>
            <w:r>
              <w:t>.</w:t>
            </w:r>
            <w:r>
              <w:rPr>
                <w:rFonts w:hint="eastAsia"/>
              </w:rPr>
              <w:t>8</w:t>
            </w:r>
            <w:r>
              <w:t>%)</w:t>
            </w:r>
          </w:p>
        </w:tc>
        <w:tc>
          <w:tcPr>
            <w:tcW w:w="2230" w:type="dxa"/>
            <w:tcBorders>
              <w:top w:val="single" w:sz="4" w:space="0" w:color="auto"/>
            </w:tcBorders>
          </w:tcPr>
          <w:p w14:paraId="4D6DF295" w14:textId="77777777" w:rsidR="00943079" w:rsidRDefault="00943079" w:rsidP="0045573E">
            <w:r>
              <w:rPr>
                <w:rFonts w:hint="eastAsia"/>
              </w:rPr>
              <w:t>357</w:t>
            </w:r>
            <w:r>
              <w:t xml:space="preserve"> (2.</w:t>
            </w:r>
            <w:r>
              <w:rPr>
                <w:rFonts w:hint="eastAsia"/>
              </w:rPr>
              <w:t>9</w:t>
            </w:r>
            <w:r>
              <w:t>%)</w:t>
            </w:r>
          </w:p>
        </w:tc>
      </w:tr>
      <w:tr w:rsidR="00943079" w14:paraId="40B8DF59" w14:textId="77777777" w:rsidTr="0045573E">
        <w:tc>
          <w:tcPr>
            <w:tcW w:w="1838" w:type="dxa"/>
          </w:tcPr>
          <w:p w14:paraId="3678E1B0" w14:textId="77777777" w:rsidR="00943079" w:rsidRDefault="00943079" w:rsidP="0045573E">
            <w:r>
              <w:rPr>
                <w:rFonts w:hint="eastAsia"/>
              </w:rPr>
              <w:t>A</w:t>
            </w:r>
            <w:r>
              <w:t>KI</w:t>
            </w:r>
            <w:r>
              <w:rPr>
                <w:rFonts w:hint="eastAsia"/>
              </w:rPr>
              <w:t xml:space="preserve"> </w:t>
            </w:r>
            <w:proofErr w:type="gramStart"/>
            <w:r>
              <w:rPr>
                <w:rFonts w:hint="eastAsia"/>
              </w:rPr>
              <w:t>n(</w:t>
            </w:r>
            <w:proofErr w:type="gramEnd"/>
            <w:r>
              <w:rPr>
                <w:rFonts w:hint="eastAsia"/>
              </w:rPr>
              <w:t>%)</w:t>
            </w:r>
          </w:p>
        </w:tc>
        <w:tc>
          <w:tcPr>
            <w:tcW w:w="2133" w:type="dxa"/>
          </w:tcPr>
          <w:p w14:paraId="5676E2C5" w14:textId="77777777" w:rsidR="00943079" w:rsidRDefault="00943079" w:rsidP="0045573E">
            <w:r>
              <w:t>54 (13.</w:t>
            </w:r>
            <w:r>
              <w:rPr>
                <w:rFonts w:hint="eastAsia"/>
              </w:rPr>
              <w:t>2</w:t>
            </w:r>
            <w:r>
              <w:t>%)</w:t>
            </w:r>
          </w:p>
        </w:tc>
        <w:tc>
          <w:tcPr>
            <w:tcW w:w="2095" w:type="dxa"/>
          </w:tcPr>
          <w:p w14:paraId="29E6847F" w14:textId="77777777" w:rsidR="00943079" w:rsidRDefault="00943079" w:rsidP="0045573E">
            <w:r>
              <w:rPr>
                <w:rFonts w:hint="eastAsia"/>
              </w:rPr>
              <w:t>3651</w:t>
            </w:r>
            <w:r>
              <w:t xml:space="preserve"> (</w:t>
            </w:r>
            <w:r>
              <w:rPr>
                <w:rFonts w:hint="eastAsia"/>
              </w:rPr>
              <w:t>29</w:t>
            </w:r>
            <w:r>
              <w:t>.</w:t>
            </w:r>
            <w:r>
              <w:rPr>
                <w:rFonts w:hint="eastAsia"/>
              </w:rPr>
              <w:t>3</w:t>
            </w:r>
            <w:r>
              <w:t>%)</w:t>
            </w:r>
          </w:p>
        </w:tc>
        <w:tc>
          <w:tcPr>
            <w:tcW w:w="2230" w:type="dxa"/>
          </w:tcPr>
          <w:p w14:paraId="0B75C951" w14:textId="77777777" w:rsidR="00943079" w:rsidRDefault="00943079" w:rsidP="0045573E">
            <w:r>
              <w:t>427 (2</w:t>
            </w:r>
            <w:r>
              <w:rPr>
                <w:rFonts w:hint="eastAsia"/>
              </w:rPr>
              <w:t>8</w:t>
            </w:r>
            <w:r>
              <w:t>.</w:t>
            </w:r>
            <w:r>
              <w:rPr>
                <w:rFonts w:hint="eastAsia"/>
              </w:rPr>
              <w:t>9</w:t>
            </w:r>
            <w:r>
              <w:t>%)</w:t>
            </w:r>
          </w:p>
        </w:tc>
      </w:tr>
      <w:tr w:rsidR="00943079" w14:paraId="2A5F338F" w14:textId="77777777" w:rsidTr="0045573E">
        <w:tc>
          <w:tcPr>
            <w:tcW w:w="1838" w:type="dxa"/>
          </w:tcPr>
          <w:p w14:paraId="0F5D38A5" w14:textId="77777777" w:rsidR="00943079" w:rsidRDefault="00943079" w:rsidP="0045573E">
            <w:r>
              <w:t>T</w:t>
            </w:r>
            <w:r>
              <w:rPr>
                <w:rFonts w:hint="eastAsia"/>
              </w:rPr>
              <w:t>he duration in hospital (d)</w:t>
            </w:r>
          </w:p>
        </w:tc>
        <w:tc>
          <w:tcPr>
            <w:tcW w:w="2133" w:type="dxa"/>
          </w:tcPr>
          <w:p w14:paraId="0652C738" w14:textId="77777777" w:rsidR="00943079" w:rsidRDefault="00943079" w:rsidP="0045573E">
            <w:r>
              <w:t>14.02±5.45</w:t>
            </w:r>
          </w:p>
        </w:tc>
        <w:tc>
          <w:tcPr>
            <w:tcW w:w="2095" w:type="dxa"/>
          </w:tcPr>
          <w:p w14:paraId="30B16871" w14:textId="77777777" w:rsidR="00943079" w:rsidRDefault="00943079" w:rsidP="0045573E">
            <w:r>
              <w:t>14.91±5.36</w:t>
            </w:r>
          </w:p>
        </w:tc>
        <w:tc>
          <w:tcPr>
            <w:tcW w:w="2230" w:type="dxa"/>
          </w:tcPr>
          <w:p w14:paraId="21007A44" w14:textId="77777777" w:rsidR="00943079" w:rsidRDefault="00943079" w:rsidP="0045573E">
            <w:r>
              <w:t>14.04±5.45</w:t>
            </w:r>
          </w:p>
        </w:tc>
      </w:tr>
      <w:tr w:rsidR="00943079" w14:paraId="1E93BFDE" w14:textId="77777777" w:rsidTr="0045573E">
        <w:tc>
          <w:tcPr>
            <w:tcW w:w="1838" w:type="dxa"/>
          </w:tcPr>
          <w:p w14:paraId="2149B8E9" w14:textId="77777777" w:rsidR="00943079" w:rsidRDefault="00943079" w:rsidP="0045573E">
            <w:r>
              <w:rPr>
                <w:rFonts w:hint="eastAsia"/>
              </w:rPr>
              <w:t>P</w:t>
            </w:r>
            <w:r>
              <w:t>OAF</w:t>
            </w:r>
            <w:r>
              <w:rPr>
                <w:rFonts w:hint="eastAsia"/>
              </w:rPr>
              <w:t xml:space="preserve"> </w:t>
            </w:r>
            <w:proofErr w:type="gramStart"/>
            <w:r>
              <w:rPr>
                <w:rFonts w:hint="eastAsia"/>
              </w:rPr>
              <w:t>n(</w:t>
            </w:r>
            <w:proofErr w:type="gramEnd"/>
            <w:r>
              <w:rPr>
                <w:rFonts w:hint="eastAsia"/>
              </w:rPr>
              <w:t>%)</w:t>
            </w:r>
          </w:p>
        </w:tc>
        <w:tc>
          <w:tcPr>
            <w:tcW w:w="2133" w:type="dxa"/>
          </w:tcPr>
          <w:p w14:paraId="244792D2" w14:textId="77777777" w:rsidR="00943079" w:rsidRDefault="00943079" w:rsidP="0045573E">
            <w:r>
              <w:t>117 (28.5%)</w:t>
            </w:r>
          </w:p>
        </w:tc>
        <w:tc>
          <w:tcPr>
            <w:tcW w:w="2095" w:type="dxa"/>
          </w:tcPr>
          <w:p w14:paraId="68D84366" w14:textId="77777777" w:rsidR="00943079" w:rsidRDefault="00943079" w:rsidP="0045573E">
            <w:r>
              <w:t>3824 (30.7%)</w:t>
            </w:r>
          </w:p>
        </w:tc>
        <w:tc>
          <w:tcPr>
            <w:tcW w:w="2230" w:type="dxa"/>
          </w:tcPr>
          <w:p w14:paraId="4B9E9A56" w14:textId="77777777" w:rsidR="00943079" w:rsidRDefault="00943079" w:rsidP="0045573E">
            <w:r>
              <w:t>3941 (30.7%)</w:t>
            </w:r>
          </w:p>
        </w:tc>
      </w:tr>
      <w:tr w:rsidR="00943079" w14:paraId="4F690290" w14:textId="77777777" w:rsidTr="0045573E">
        <w:tc>
          <w:tcPr>
            <w:tcW w:w="1838" w:type="dxa"/>
          </w:tcPr>
          <w:p w14:paraId="25346D55" w14:textId="77777777" w:rsidR="00943079" w:rsidRDefault="00943079" w:rsidP="0045573E">
            <w:r>
              <w:t>Second</w:t>
            </w:r>
            <w:r>
              <w:rPr>
                <w:rFonts w:hint="eastAsia"/>
              </w:rPr>
              <w:t xml:space="preserve"> </w:t>
            </w:r>
            <w:r>
              <w:t>operation</w:t>
            </w:r>
            <w:r>
              <w:rPr>
                <w:rFonts w:hint="eastAsia"/>
              </w:rPr>
              <w:t xml:space="preserve"> </w:t>
            </w:r>
            <w:proofErr w:type="gramStart"/>
            <w:r>
              <w:rPr>
                <w:rFonts w:hint="eastAsia"/>
              </w:rPr>
              <w:t>n(</w:t>
            </w:r>
            <w:proofErr w:type="gramEnd"/>
            <w:r>
              <w:rPr>
                <w:rFonts w:hint="eastAsia"/>
              </w:rPr>
              <w:t>%)</w:t>
            </w:r>
          </w:p>
        </w:tc>
        <w:tc>
          <w:tcPr>
            <w:tcW w:w="2133" w:type="dxa"/>
          </w:tcPr>
          <w:p w14:paraId="67532CDE" w14:textId="77777777" w:rsidR="00943079" w:rsidRDefault="00943079" w:rsidP="0045573E">
            <w:r>
              <w:t>8 (2%)</w:t>
            </w:r>
          </w:p>
        </w:tc>
        <w:tc>
          <w:tcPr>
            <w:tcW w:w="2095" w:type="dxa"/>
          </w:tcPr>
          <w:p w14:paraId="7CED3C6D" w14:textId="77777777" w:rsidR="00943079" w:rsidRDefault="00943079" w:rsidP="0045573E">
            <w:r>
              <w:t>185 (1.5%)</w:t>
            </w:r>
          </w:p>
        </w:tc>
        <w:tc>
          <w:tcPr>
            <w:tcW w:w="2230" w:type="dxa"/>
          </w:tcPr>
          <w:p w14:paraId="34342480" w14:textId="77777777" w:rsidR="00943079" w:rsidRDefault="00943079" w:rsidP="0045573E">
            <w:r>
              <w:t>193 (1.5%)</w:t>
            </w:r>
          </w:p>
        </w:tc>
      </w:tr>
      <w:tr w:rsidR="00943079" w14:paraId="23332DBD" w14:textId="77777777" w:rsidTr="0045573E">
        <w:tc>
          <w:tcPr>
            <w:tcW w:w="1838" w:type="dxa"/>
          </w:tcPr>
          <w:p w14:paraId="0A9433C5" w14:textId="77777777" w:rsidR="00943079" w:rsidRDefault="00943079" w:rsidP="0045573E">
            <w:r>
              <w:t>T</w:t>
            </w:r>
            <w:r>
              <w:rPr>
                <w:rFonts w:hint="eastAsia"/>
              </w:rPr>
              <w:t xml:space="preserve">he </w:t>
            </w:r>
            <w:r>
              <w:t>cost</w:t>
            </w:r>
            <w:r>
              <w:rPr>
                <w:rFonts w:hint="eastAsia"/>
              </w:rPr>
              <w:t xml:space="preserve"> of treatment (RMB)</w:t>
            </w:r>
          </w:p>
        </w:tc>
        <w:tc>
          <w:tcPr>
            <w:tcW w:w="2133" w:type="dxa"/>
          </w:tcPr>
          <w:p w14:paraId="7292BDCB" w14:textId="77777777" w:rsidR="00943079" w:rsidRDefault="00943079" w:rsidP="0045573E">
            <w:r>
              <w:t>135087.38±315.29</w:t>
            </w:r>
          </w:p>
        </w:tc>
        <w:tc>
          <w:tcPr>
            <w:tcW w:w="2095" w:type="dxa"/>
          </w:tcPr>
          <w:p w14:paraId="0287FB8D" w14:textId="77777777" w:rsidR="00943079" w:rsidRDefault="00943079" w:rsidP="0045573E">
            <w:r>
              <w:t>125094.16±373.9</w:t>
            </w:r>
          </w:p>
        </w:tc>
        <w:tc>
          <w:tcPr>
            <w:tcW w:w="2230" w:type="dxa"/>
          </w:tcPr>
          <w:p w14:paraId="35CA0BCB" w14:textId="77777777" w:rsidR="00943079" w:rsidRDefault="00943079" w:rsidP="0045573E">
            <w:r>
              <w:t>125412.96±371.76</w:t>
            </w:r>
          </w:p>
        </w:tc>
      </w:tr>
      <w:tr w:rsidR="00943079" w14:paraId="6D7795BA" w14:textId="77777777" w:rsidTr="0045573E">
        <w:tc>
          <w:tcPr>
            <w:tcW w:w="1838" w:type="dxa"/>
          </w:tcPr>
          <w:p w14:paraId="7D6E5E9C" w14:textId="77777777" w:rsidR="00943079" w:rsidRDefault="00943079" w:rsidP="0045573E">
            <w:r>
              <w:rPr>
                <w:rFonts w:hint="eastAsia"/>
              </w:rPr>
              <w:t>I</w:t>
            </w:r>
            <w:r>
              <w:t>ABP</w:t>
            </w:r>
            <w:r>
              <w:rPr>
                <w:rFonts w:hint="eastAsia"/>
              </w:rPr>
              <w:t xml:space="preserve"> </w:t>
            </w:r>
            <w:proofErr w:type="gramStart"/>
            <w:r>
              <w:rPr>
                <w:rFonts w:hint="eastAsia"/>
              </w:rPr>
              <w:t>n(</w:t>
            </w:r>
            <w:proofErr w:type="gramEnd"/>
            <w:r>
              <w:rPr>
                <w:rFonts w:hint="eastAsia"/>
              </w:rPr>
              <w:t>%)</w:t>
            </w:r>
          </w:p>
        </w:tc>
        <w:tc>
          <w:tcPr>
            <w:tcW w:w="2133" w:type="dxa"/>
          </w:tcPr>
          <w:p w14:paraId="0E30744C" w14:textId="77777777" w:rsidR="00943079" w:rsidRDefault="00943079" w:rsidP="0045573E">
            <w:r>
              <w:t>12 (2.9%)</w:t>
            </w:r>
          </w:p>
        </w:tc>
        <w:tc>
          <w:tcPr>
            <w:tcW w:w="2095" w:type="dxa"/>
          </w:tcPr>
          <w:p w14:paraId="73EA3131" w14:textId="77777777" w:rsidR="00943079" w:rsidRDefault="00943079" w:rsidP="0045573E">
            <w:r>
              <w:t>492 (4%)</w:t>
            </w:r>
          </w:p>
        </w:tc>
        <w:tc>
          <w:tcPr>
            <w:tcW w:w="2230" w:type="dxa"/>
          </w:tcPr>
          <w:p w14:paraId="7A6E1DBB" w14:textId="77777777" w:rsidR="00943079" w:rsidRDefault="00943079" w:rsidP="0045573E">
            <w:r>
              <w:t>504 (3.9%)</w:t>
            </w:r>
          </w:p>
        </w:tc>
      </w:tr>
      <w:tr w:rsidR="00943079" w14:paraId="1C0D137D" w14:textId="77777777" w:rsidTr="0045573E">
        <w:tc>
          <w:tcPr>
            <w:tcW w:w="1838" w:type="dxa"/>
          </w:tcPr>
          <w:p w14:paraId="1FB7F815" w14:textId="77777777" w:rsidR="00943079" w:rsidRDefault="00943079" w:rsidP="0045573E">
            <w:r>
              <w:t>T</w:t>
            </w:r>
            <w:r>
              <w:rPr>
                <w:rFonts w:hint="eastAsia"/>
              </w:rPr>
              <w:t>he duration of AKI (d)</w:t>
            </w:r>
          </w:p>
        </w:tc>
        <w:tc>
          <w:tcPr>
            <w:tcW w:w="2133" w:type="dxa"/>
          </w:tcPr>
          <w:p w14:paraId="6FB50CAD" w14:textId="77777777" w:rsidR="00943079" w:rsidRDefault="00943079" w:rsidP="0045573E">
            <w:r>
              <w:t>1.48±</w:t>
            </w:r>
            <w:r>
              <w:rPr>
                <w:rFonts w:hint="eastAsia"/>
              </w:rPr>
              <w:t>0</w:t>
            </w:r>
            <w:r>
              <w:t>.38</w:t>
            </w:r>
          </w:p>
        </w:tc>
        <w:tc>
          <w:tcPr>
            <w:tcW w:w="2095" w:type="dxa"/>
          </w:tcPr>
          <w:p w14:paraId="0FB43AE4" w14:textId="77777777" w:rsidR="00943079" w:rsidRDefault="00943079" w:rsidP="0045573E">
            <w:r>
              <w:t>3.16±</w:t>
            </w:r>
            <w:r>
              <w:rPr>
                <w:rFonts w:hint="eastAsia"/>
              </w:rPr>
              <w:t>1</w:t>
            </w:r>
            <w:r>
              <w:t>.16</w:t>
            </w:r>
          </w:p>
        </w:tc>
        <w:tc>
          <w:tcPr>
            <w:tcW w:w="2230" w:type="dxa"/>
          </w:tcPr>
          <w:p w14:paraId="104401FD" w14:textId="77777777" w:rsidR="00943079" w:rsidRDefault="00943079" w:rsidP="0045573E">
            <w:r>
              <w:t>2.74±</w:t>
            </w:r>
            <w:r>
              <w:rPr>
                <w:rFonts w:hint="eastAsia"/>
              </w:rPr>
              <w:t>1</w:t>
            </w:r>
            <w:r>
              <w:t>.81</w:t>
            </w:r>
          </w:p>
        </w:tc>
      </w:tr>
      <w:tr w:rsidR="00943079" w14:paraId="6D5EE42F" w14:textId="77777777" w:rsidTr="0045573E">
        <w:tc>
          <w:tcPr>
            <w:tcW w:w="1838" w:type="dxa"/>
          </w:tcPr>
          <w:p w14:paraId="3CB16E50" w14:textId="77777777" w:rsidR="00943079" w:rsidRDefault="00943079" w:rsidP="0045573E">
            <w:r>
              <w:t xml:space="preserve">the </w:t>
            </w:r>
            <w:r>
              <w:rPr>
                <w:rFonts w:hint="eastAsia"/>
              </w:rPr>
              <w:t>success</w:t>
            </w:r>
            <w:r>
              <w:t xml:space="preserve"> of treatment</w:t>
            </w:r>
            <w:r>
              <w:rPr>
                <w:rFonts w:hint="eastAsia"/>
              </w:rPr>
              <w:t xml:space="preserve"> of AKI </w:t>
            </w:r>
            <w:proofErr w:type="gramStart"/>
            <w:r>
              <w:rPr>
                <w:rFonts w:hint="eastAsia"/>
              </w:rPr>
              <w:t>n(</w:t>
            </w:r>
            <w:proofErr w:type="gramEnd"/>
            <w:r>
              <w:rPr>
                <w:rFonts w:hint="eastAsia"/>
              </w:rPr>
              <w:t>%)</w:t>
            </w:r>
          </w:p>
        </w:tc>
        <w:tc>
          <w:tcPr>
            <w:tcW w:w="2133" w:type="dxa"/>
          </w:tcPr>
          <w:p w14:paraId="7DE1CCF9" w14:textId="77777777" w:rsidR="00943079" w:rsidRDefault="00943079" w:rsidP="0045573E">
            <w:r>
              <w:t>398 (98.8%)</w:t>
            </w:r>
          </w:p>
        </w:tc>
        <w:tc>
          <w:tcPr>
            <w:tcW w:w="2095" w:type="dxa"/>
          </w:tcPr>
          <w:p w14:paraId="5A816B76" w14:textId="77777777" w:rsidR="00943079" w:rsidRDefault="00943079" w:rsidP="0045573E">
            <w:r>
              <w:t>1171 (96.9%)</w:t>
            </w:r>
          </w:p>
        </w:tc>
        <w:tc>
          <w:tcPr>
            <w:tcW w:w="2230" w:type="dxa"/>
          </w:tcPr>
          <w:p w14:paraId="32046336" w14:textId="77777777" w:rsidR="00943079" w:rsidRDefault="00943079" w:rsidP="0045573E">
            <w:r>
              <w:t>1569 (97.3%)</w:t>
            </w:r>
          </w:p>
        </w:tc>
      </w:tr>
      <w:tr w:rsidR="00943079" w14:paraId="5845C9B1" w14:textId="77777777" w:rsidTr="0045573E">
        <w:tc>
          <w:tcPr>
            <w:tcW w:w="1838" w:type="dxa"/>
            <w:tcBorders>
              <w:bottom w:val="single" w:sz="4" w:space="0" w:color="auto"/>
            </w:tcBorders>
          </w:tcPr>
          <w:p w14:paraId="6C64C98C" w14:textId="77777777" w:rsidR="00943079" w:rsidRDefault="00943079" w:rsidP="0045573E">
            <w:r>
              <w:rPr>
                <w:rFonts w:hint="eastAsia"/>
              </w:rPr>
              <w:t>E</w:t>
            </w:r>
            <w:r>
              <w:t>CMO</w:t>
            </w:r>
            <w:r>
              <w:rPr>
                <w:rFonts w:hint="eastAsia"/>
              </w:rPr>
              <w:t xml:space="preserve"> </w:t>
            </w:r>
            <w:proofErr w:type="gramStart"/>
            <w:r>
              <w:rPr>
                <w:rFonts w:hint="eastAsia"/>
              </w:rPr>
              <w:t>n(</w:t>
            </w:r>
            <w:proofErr w:type="gramEnd"/>
            <w:r>
              <w:rPr>
                <w:rFonts w:hint="eastAsia"/>
              </w:rPr>
              <w:t>%)</w:t>
            </w:r>
          </w:p>
        </w:tc>
        <w:tc>
          <w:tcPr>
            <w:tcW w:w="2133" w:type="dxa"/>
            <w:tcBorders>
              <w:bottom w:val="single" w:sz="4" w:space="0" w:color="auto"/>
            </w:tcBorders>
          </w:tcPr>
          <w:p w14:paraId="7194DE0B" w14:textId="77777777" w:rsidR="00943079" w:rsidRDefault="00943079" w:rsidP="0045573E">
            <w:r>
              <w:t>51 (0.4%)</w:t>
            </w:r>
          </w:p>
        </w:tc>
        <w:tc>
          <w:tcPr>
            <w:tcW w:w="2095" w:type="dxa"/>
            <w:tcBorders>
              <w:bottom w:val="single" w:sz="4" w:space="0" w:color="auto"/>
            </w:tcBorders>
          </w:tcPr>
          <w:p w14:paraId="77173245" w14:textId="77777777" w:rsidR="00943079" w:rsidRDefault="00943079" w:rsidP="0045573E">
            <w:r>
              <w:t>0 (0%)</w:t>
            </w:r>
          </w:p>
        </w:tc>
        <w:tc>
          <w:tcPr>
            <w:tcW w:w="2230" w:type="dxa"/>
            <w:tcBorders>
              <w:bottom w:val="single" w:sz="4" w:space="0" w:color="auto"/>
            </w:tcBorders>
          </w:tcPr>
          <w:p w14:paraId="4FF07F05" w14:textId="77777777" w:rsidR="00943079" w:rsidRDefault="00943079" w:rsidP="0045573E">
            <w:r>
              <w:t>51 (0.4%)</w:t>
            </w:r>
          </w:p>
        </w:tc>
      </w:tr>
    </w:tbl>
    <w:p w14:paraId="08577434" w14:textId="77777777" w:rsidR="00943079" w:rsidRDefault="00943079" w:rsidP="00943079">
      <w:r>
        <w:rPr>
          <w:rFonts w:hint="eastAsia"/>
        </w:rPr>
        <w:t xml:space="preserve">AKI indicates acute kidney injury; POAF, postoperative atrial fibrillation; CRRT, </w:t>
      </w:r>
      <w:r>
        <w:t>continuous renal replacement therapy</w:t>
      </w:r>
      <w:r>
        <w:rPr>
          <w:rFonts w:hint="eastAsia"/>
        </w:rPr>
        <w:t xml:space="preserve">; IABP, </w:t>
      </w:r>
      <w:proofErr w:type="spellStart"/>
      <w:r>
        <w:t>intraaortic</w:t>
      </w:r>
      <w:proofErr w:type="spellEnd"/>
      <w:r>
        <w:t xml:space="preserve"> balloon pump</w:t>
      </w:r>
      <w:r>
        <w:rPr>
          <w:rFonts w:hint="eastAsia"/>
        </w:rPr>
        <w:t>; ECMO, e</w:t>
      </w:r>
      <w:r>
        <w:t xml:space="preserve">xtra </w:t>
      </w:r>
      <w:r>
        <w:rPr>
          <w:rFonts w:hint="eastAsia"/>
        </w:rPr>
        <w:t>c</w:t>
      </w:r>
      <w:r>
        <w:t xml:space="preserve">orporeal </w:t>
      </w:r>
      <w:r>
        <w:rPr>
          <w:rFonts w:hint="eastAsia"/>
        </w:rPr>
        <w:t>m</w:t>
      </w:r>
      <w:r>
        <w:t xml:space="preserve">embrane </w:t>
      </w:r>
      <w:r>
        <w:rPr>
          <w:rFonts w:hint="eastAsia"/>
        </w:rPr>
        <w:t>o</w:t>
      </w:r>
      <w:r>
        <w:t>xygenation</w:t>
      </w:r>
      <w:r>
        <w:rPr>
          <w:rFonts w:hint="eastAsia"/>
        </w:rPr>
        <w:t>.</w:t>
      </w:r>
    </w:p>
    <w:p w14:paraId="62EFEE57" w14:textId="77777777" w:rsidR="00943079" w:rsidRPr="00943079" w:rsidRDefault="00943079">
      <w:pPr>
        <w:rPr>
          <w:rFonts w:hint="eastAsia"/>
        </w:rPr>
      </w:pPr>
      <w:bookmarkStart w:id="0" w:name="_GoBack"/>
      <w:bookmarkEnd w:id="0"/>
    </w:p>
    <w:sectPr w:rsidR="00943079" w:rsidRPr="00943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5537F" w14:textId="77777777" w:rsidR="00766F61" w:rsidRDefault="00766F61" w:rsidP="00E1037B">
      <w:r>
        <w:separator/>
      </w:r>
    </w:p>
  </w:endnote>
  <w:endnote w:type="continuationSeparator" w:id="0">
    <w:p w14:paraId="506324FF" w14:textId="77777777" w:rsidR="00766F61" w:rsidRDefault="00766F61" w:rsidP="00E1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A8880" w14:textId="77777777" w:rsidR="00766F61" w:rsidRDefault="00766F61" w:rsidP="00E1037B">
      <w:r>
        <w:separator/>
      </w:r>
    </w:p>
  </w:footnote>
  <w:footnote w:type="continuationSeparator" w:id="0">
    <w:p w14:paraId="2702C23A" w14:textId="77777777" w:rsidR="00766F61" w:rsidRDefault="00766F61" w:rsidP="00E10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E1"/>
    <w:rsid w:val="FCED9BFC"/>
    <w:rsid w:val="0000452D"/>
    <w:rsid w:val="000426B6"/>
    <w:rsid w:val="000561E1"/>
    <w:rsid w:val="000D7923"/>
    <w:rsid w:val="001310A0"/>
    <w:rsid w:val="00205526"/>
    <w:rsid w:val="00243F01"/>
    <w:rsid w:val="0028230B"/>
    <w:rsid w:val="00295C86"/>
    <w:rsid w:val="002A261E"/>
    <w:rsid w:val="002F1DFC"/>
    <w:rsid w:val="00382CD2"/>
    <w:rsid w:val="003F291E"/>
    <w:rsid w:val="004948FE"/>
    <w:rsid w:val="004C63B9"/>
    <w:rsid w:val="004F747B"/>
    <w:rsid w:val="0051012E"/>
    <w:rsid w:val="00530245"/>
    <w:rsid w:val="00584EBF"/>
    <w:rsid w:val="006378FB"/>
    <w:rsid w:val="0065231E"/>
    <w:rsid w:val="007373C5"/>
    <w:rsid w:val="00740803"/>
    <w:rsid w:val="00766B88"/>
    <w:rsid w:val="00766F61"/>
    <w:rsid w:val="007D4A2C"/>
    <w:rsid w:val="00803F50"/>
    <w:rsid w:val="00845B7C"/>
    <w:rsid w:val="00883C76"/>
    <w:rsid w:val="008D2967"/>
    <w:rsid w:val="008E4704"/>
    <w:rsid w:val="00905188"/>
    <w:rsid w:val="00931EA4"/>
    <w:rsid w:val="00943079"/>
    <w:rsid w:val="009508F9"/>
    <w:rsid w:val="00A03223"/>
    <w:rsid w:val="00A10C56"/>
    <w:rsid w:val="00A26B35"/>
    <w:rsid w:val="00A8495A"/>
    <w:rsid w:val="00B016E6"/>
    <w:rsid w:val="00C13D8B"/>
    <w:rsid w:val="00C23CAC"/>
    <w:rsid w:val="00C736B9"/>
    <w:rsid w:val="00D15DFB"/>
    <w:rsid w:val="00D34C93"/>
    <w:rsid w:val="00D60F4A"/>
    <w:rsid w:val="00DA3B22"/>
    <w:rsid w:val="00E1037B"/>
    <w:rsid w:val="00E9101C"/>
    <w:rsid w:val="00E934C0"/>
    <w:rsid w:val="00F179D0"/>
    <w:rsid w:val="00F717D0"/>
    <w:rsid w:val="00FC27E2"/>
    <w:rsid w:val="06682F9B"/>
    <w:rsid w:val="37FF15B1"/>
    <w:rsid w:val="3BCE61B6"/>
    <w:rsid w:val="490636D0"/>
    <w:rsid w:val="575EC81E"/>
    <w:rsid w:val="7E7BF64D"/>
    <w:rsid w:val="7FEC7831"/>
    <w:rsid w:val="7FEE9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C5A07"/>
  <w15:docId w15:val="{696407DA-2C8A-4A0C-990C-8E8A3F6F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center"/>
    </w:pPr>
    <w:rPr>
      <w:rFonts w:ascii="Calibri" w:hAnsi="Calibri" w:cs="Calibri"/>
      <w:sz w:val="28"/>
      <w:szCs w:val="28"/>
      <w14:ligatures w14:val="standardContextual"/>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cs="宋体"/>
      <w:b/>
      <w:bCs/>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14:ligatures w14:val="none"/>
    </w:rPr>
  </w:style>
  <w:style w:type="character" w:customStyle="1" w:styleId="a4">
    <w:name w:val="批注文字 字符"/>
    <w:basedOn w:val="a0"/>
    <w:link w:val="a3"/>
    <w:uiPriority w:val="99"/>
    <w:qFormat/>
    <w:rPr>
      <w:rFonts w:ascii="Calibri" w:hAnsi="Calibri" w:cs="Calibri"/>
      <w:sz w:val="28"/>
      <w:szCs w:val="28"/>
      <w14:ligatures w14:val="standardContextual"/>
    </w:rPr>
  </w:style>
  <w:style w:type="character" w:customStyle="1" w:styleId="aa">
    <w:name w:val="批注主题 字符"/>
    <w:basedOn w:val="a4"/>
    <w:link w:val="a9"/>
    <w:uiPriority w:val="99"/>
    <w:semiHidden/>
    <w:qFormat/>
    <w:rPr>
      <w:rFonts w:ascii="Calibri" w:hAnsi="Calibri" w:cs="Calibri"/>
      <w:b/>
      <w:bCs/>
      <w:sz w:val="28"/>
      <w:szCs w:val="28"/>
      <w14:ligatures w14:val="standardContextual"/>
    </w:rPr>
  </w:style>
  <w:style w:type="paragraph" w:styleId="ae">
    <w:name w:val="Balloon Text"/>
    <w:basedOn w:val="a"/>
    <w:link w:val="af"/>
    <w:uiPriority w:val="99"/>
    <w:semiHidden/>
    <w:unhideWhenUsed/>
    <w:rsid w:val="00E1037B"/>
    <w:rPr>
      <w:sz w:val="18"/>
      <w:szCs w:val="18"/>
    </w:rPr>
  </w:style>
  <w:style w:type="character" w:customStyle="1" w:styleId="af">
    <w:name w:val="批注框文本 字符"/>
    <w:basedOn w:val="a0"/>
    <w:link w:val="ae"/>
    <w:uiPriority w:val="99"/>
    <w:semiHidden/>
    <w:rsid w:val="00E1037B"/>
    <w:rPr>
      <w:rFonts w:ascii="Calibri" w:hAnsi="Calibri" w:cs="Calibri"/>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xiaozheng zhou</dc:creator>
  <cp:lastModifiedBy>Enolia</cp:lastModifiedBy>
  <cp:revision>8</cp:revision>
  <dcterms:created xsi:type="dcterms:W3CDTF">2025-03-31T11:18:00Z</dcterms:created>
  <dcterms:modified xsi:type="dcterms:W3CDTF">2026-01-16T06:28:00Z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eyJoZGlkIjoiNGU1ODc5NTk0MTczNWE1NmM0YmIwZmFmMTJjYWYxY2EiLCJ1c2VySWQiOiIzNzUwODY4ODEifQ==</vt:lpwstr>
  </property>
  <property fmtid="{D5CDD505-2E9C-101B-9397-08002B2CF9AE}" pid="3" name="KSOProductBuildVer">
    <vt:lpwstr>2052-12.1.0.22483</vt:lpwstr>
  </property>
  <property fmtid="{D5CDD505-2E9C-101B-9397-08002B2CF9AE}" pid="4" name="ICV">
    <vt:lpwstr>08B849E6B91F49A1A6C5968CE9BCC9E4_13</vt:lpwstr>
  </property>
  <property fmtid="{D5CDD505-2E9C-101B-9397-08002B2CF9AE}" pid="5" name="GrammarlyDocumentId">
    <vt:lpwstr>73f7d458-664d-40d7-96ec-eda0f68410a1</vt:lpwstr>
  </property>
</Properties>
</file>