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1063" w14:textId="3E93FE02" w:rsidR="00E91723" w:rsidRPr="00E91723" w:rsidRDefault="00312483">
      <w:pPr>
        <w:rPr>
          <w:lang w:val="en-US"/>
        </w:rPr>
      </w:pPr>
      <w:r w:rsidRPr="00312483">
        <w:rPr>
          <w:lang w:val="en-US"/>
        </w:rPr>
        <w:t>Supplementary</w:t>
      </w:r>
      <w:r>
        <w:rPr>
          <w:lang w:val="en-US"/>
        </w:rPr>
        <w:t xml:space="preserve"> </w:t>
      </w:r>
      <w:r w:rsidR="00E91723">
        <w:rPr>
          <w:lang w:val="en-US"/>
        </w:rPr>
        <w:t xml:space="preserve">Table 1: </w:t>
      </w:r>
      <w:r w:rsidR="00E91723" w:rsidRPr="00E91723">
        <w:rPr>
          <w:lang w:val="en-US"/>
        </w:rPr>
        <w:t xml:space="preserve">Multivariate </w:t>
      </w:r>
      <w:r w:rsidR="00533C95">
        <w:rPr>
          <w:lang w:val="en-US"/>
        </w:rPr>
        <w:t>l</w:t>
      </w:r>
      <w:r w:rsidR="00E91723" w:rsidRPr="00E91723">
        <w:rPr>
          <w:lang w:val="en-US"/>
        </w:rPr>
        <w:t xml:space="preserve">ogistic </w:t>
      </w:r>
      <w:r w:rsidR="00533C95">
        <w:rPr>
          <w:lang w:val="en-US"/>
        </w:rPr>
        <w:t>r</w:t>
      </w:r>
      <w:r w:rsidR="00E91723" w:rsidRPr="00E91723">
        <w:rPr>
          <w:lang w:val="en-US"/>
        </w:rPr>
        <w:t xml:space="preserve">egression for </w:t>
      </w:r>
      <w:r w:rsidR="00533C95">
        <w:rPr>
          <w:lang w:val="en-US"/>
        </w:rPr>
        <w:t>p</w:t>
      </w:r>
      <w:r w:rsidR="00E91723" w:rsidRPr="00E91723">
        <w:rPr>
          <w:lang w:val="en-US"/>
        </w:rPr>
        <w:t xml:space="preserve">redictors of </w:t>
      </w:r>
      <w:r w:rsidR="00533C95">
        <w:rPr>
          <w:lang w:val="en-US"/>
        </w:rPr>
        <w:t>a</w:t>
      </w:r>
      <w:r w:rsidR="00E91723" w:rsidRPr="00E91723">
        <w:rPr>
          <w:lang w:val="en-US"/>
        </w:rPr>
        <w:t>ll-</w:t>
      </w:r>
      <w:r w:rsidR="00533C95">
        <w:rPr>
          <w:lang w:val="en-US"/>
        </w:rPr>
        <w:t>c</w:t>
      </w:r>
      <w:r w:rsidR="00E91723" w:rsidRPr="00E91723">
        <w:rPr>
          <w:lang w:val="en-US"/>
        </w:rPr>
        <w:t xml:space="preserve">ause </w:t>
      </w:r>
      <w:r w:rsidR="00533C95">
        <w:rPr>
          <w:lang w:val="en-US"/>
        </w:rPr>
        <w:t>m</w:t>
      </w:r>
      <w:r w:rsidR="00E91723" w:rsidRPr="00E91723">
        <w:rPr>
          <w:lang w:val="en-US"/>
        </w:rPr>
        <w:t xml:space="preserve">ortality in ACS </w:t>
      </w:r>
      <w:r w:rsidR="00533C95">
        <w:rPr>
          <w:lang w:val="en-US"/>
        </w:rPr>
        <w:t>p</w:t>
      </w:r>
      <w:r w:rsidR="00E91723" w:rsidRPr="00E91723">
        <w:rPr>
          <w:lang w:val="en-US"/>
        </w:rPr>
        <w:t>atients</w:t>
      </w:r>
    </w:p>
    <w:p w14:paraId="19AE627F" w14:textId="77777777" w:rsidR="00846CE8" w:rsidRDefault="00846CE8">
      <w:pPr>
        <w:rPr>
          <w:b/>
          <w:bCs/>
          <w:lang w:val="en-US"/>
        </w:rPr>
      </w:pPr>
    </w:p>
    <w:p w14:paraId="69BE9F2A" w14:textId="77777777" w:rsidR="0046103F" w:rsidRDefault="0046103F">
      <w:pPr>
        <w:rPr>
          <w:b/>
          <w:bCs/>
          <w:lang w:val="en-US"/>
        </w:rPr>
      </w:pPr>
    </w:p>
    <w:p w14:paraId="30CC5C7D" w14:textId="77777777" w:rsidR="0046103F" w:rsidRDefault="0046103F">
      <w:pPr>
        <w:rPr>
          <w:b/>
          <w:bCs/>
          <w:lang w:val="en-US"/>
        </w:rPr>
      </w:pPr>
    </w:p>
    <w:p w14:paraId="30A9C59B" w14:textId="69799EC3" w:rsidR="00846CE8" w:rsidRDefault="00846CE8">
      <w:pPr>
        <w:rPr>
          <w:b/>
          <w:bCs/>
          <w:lang w:val="en-US"/>
        </w:rPr>
      </w:pPr>
      <w:r w:rsidRPr="00CC529B">
        <w:t>A.</w:t>
      </w:r>
      <w:r w:rsidRPr="00846CE8">
        <w:rPr>
          <w:b/>
          <w:bCs/>
        </w:rPr>
        <w:t xml:space="preserve"> </w:t>
      </w:r>
      <w:r w:rsidRPr="006B4852">
        <w:t>Total Population</w:t>
      </w:r>
    </w:p>
    <w:p w14:paraId="571EA2CD" w14:textId="77777777" w:rsidR="00846CE8" w:rsidRDefault="00846CE8">
      <w:pPr>
        <w:rPr>
          <w:b/>
          <w:bCs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1276"/>
        <w:gridCol w:w="850"/>
        <w:gridCol w:w="1701"/>
      </w:tblGrid>
      <w:tr w:rsidR="00846CE8" w:rsidRPr="00846CE8" w14:paraId="58F5C295" w14:textId="77777777" w:rsidTr="00846CE8">
        <w:trPr>
          <w:tblHeader/>
          <w:tblCellSpacing w:w="15" w:type="dxa"/>
        </w:trPr>
        <w:tc>
          <w:tcPr>
            <w:tcW w:w="2410" w:type="dxa"/>
            <w:vAlign w:val="center"/>
            <w:hideMark/>
          </w:tcPr>
          <w:p w14:paraId="2249D69D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Variable</w:t>
            </w:r>
          </w:p>
        </w:tc>
        <w:tc>
          <w:tcPr>
            <w:tcW w:w="1246" w:type="dxa"/>
            <w:vAlign w:val="center"/>
            <w:hideMark/>
          </w:tcPr>
          <w:p w14:paraId="05BB17AF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Adjusted OR</w:t>
            </w:r>
          </w:p>
        </w:tc>
        <w:tc>
          <w:tcPr>
            <w:tcW w:w="820" w:type="dxa"/>
            <w:vAlign w:val="center"/>
            <w:hideMark/>
          </w:tcPr>
          <w:p w14:paraId="75885576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95% CI</w:t>
            </w:r>
          </w:p>
        </w:tc>
        <w:tc>
          <w:tcPr>
            <w:tcW w:w="1656" w:type="dxa"/>
            <w:vAlign w:val="center"/>
            <w:hideMark/>
          </w:tcPr>
          <w:p w14:paraId="0A437540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p-value</w:t>
            </w:r>
          </w:p>
        </w:tc>
      </w:tr>
      <w:tr w:rsidR="00846CE8" w:rsidRPr="00846CE8" w14:paraId="6C36459D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6736C005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SII index</w:t>
            </w:r>
          </w:p>
        </w:tc>
        <w:tc>
          <w:tcPr>
            <w:tcW w:w="1246" w:type="dxa"/>
            <w:vAlign w:val="center"/>
            <w:hideMark/>
          </w:tcPr>
          <w:p w14:paraId="3A715D41" w14:textId="05DF221B" w:rsidR="00846CE8" w:rsidRPr="00846CE8" w:rsidRDefault="00846CE8" w:rsidP="00846CE8">
            <w:pPr>
              <w:rPr>
                <w:lang w:val="en-US"/>
              </w:rPr>
            </w:pPr>
            <w:r w:rsidRPr="00846CE8">
              <w:t>1.00</w:t>
            </w:r>
            <w:r w:rsidR="00497DE0">
              <w:rPr>
                <w:lang w:val="en-US"/>
              </w:rPr>
              <w:t>6</w:t>
            </w:r>
          </w:p>
        </w:tc>
        <w:tc>
          <w:tcPr>
            <w:tcW w:w="820" w:type="dxa"/>
            <w:vAlign w:val="center"/>
            <w:hideMark/>
          </w:tcPr>
          <w:p w14:paraId="2A134D7F" w14:textId="24E69F45" w:rsidR="00846CE8" w:rsidRPr="00846CE8" w:rsidRDefault="00846CE8" w:rsidP="00846CE8">
            <w:pPr>
              <w:rPr>
                <w:lang w:val="en-US"/>
              </w:rPr>
            </w:pPr>
            <w:r w:rsidRPr="00846CE8">
              <w:t>1.0</w:t>
            </w:r>
            <w:r w:rsidR="00497DE0">
              <w:rPr>
                <w:lang w:val="en-US"/>
              </w:rPr>
              <w:t>03</w:t>
            </w:r>
            <w:r w:rsidRPr="00846CE8">
              <w:t>–1.00</w:t>
            </w:r>
            <w:r w:rsidR="00497DE0">
              <w:rPr>
                <w:lang w:val="en-US"/>
              </w:rPr>
              <w:t>8</w:t>
            </w:r>
          </w:p>
        </w:tc>
        <w:tc>
          <w:tcPr>
            <w:tcW w:w="1656" w:type="dxa"/>
            <w:vAlign w:val="center"/>
            <w:hideMark/>
          </w:tcPr>
          <w:p w14:paraId="4190D488" w14:textId="77777777" w:rsidR="00846CE8" w:rsidRPr="00846CE8" w:rsidRDefault="00846CE8" w:rsidP="00846CE8">
            <w:r w:rsidRPr="00846CE8">
              <w:t>&lt;0.001</w:t>
            </w:r>
          </w:p>
        </w:tc>
      </w:tr>
      <w:tr w:rsidR="00846CE8" w:rsidRPr="00846CE8" w14:paraId="595FB779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79197A90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Heart failure</w:t>
            </w:r>
          </w:p>
        </w:tc>
        <w:tc>
          <w:tcPr>
            <w:tcW w:w="1246" w:type="dxa"/>
            <w:vAlign w:val="center"/>
            <w:hideMark/>
          </w:tcPr>
          <w:p w14:paraId="617FE11E" w14:textId="77777777" w:rsidR="00846CE8" w:rsidRPr="00846CE8" w:rsidRDefault="00846CE8" w:rsidP="00846CE8">
            <w:r w:rsidRPr="00846CE8">
              <w:t>2.537</w:t>
            </w:r>
          </w:p>
        </w:tc>
        <w:tc>
          <w:tcPr>
            <w:tcW w:w="820" w:type="dxa"/>
            <w:vAlign w:val="center"/>
            <w:hideMark/>
          </w:tcPr>
          <w:p w14:paraId="01EC3104" w14:textId="77777777" w:rsidR="00846CE8" w:rsidRPr="00846CE8" w:rsidRDefault="00846CE8" w:rsidP="00846CE8">
            <w:r w:rsidRPr="00846CE8">
              <w:t>0.940–6.847</w:t>
            </w:r>
          </w:p>
        </w:tc>
        <w:tc>
          <w:tcPr>
            <w:tcW w:w="1656" w:type="dxa"/>
            <w:vAlign w:val="center"/>
            <w:hideMark/>
          </w:tcPr>
          <w:p w14:paraId="5D211642" w14:textId="77777777" w:rsidR="00846CE8" w:rsidRPr="00846CE8" w:rsidRDefault="00846CE8" w:rsidP="00846CE8">
            <w:r w:rsidRPr="00846CE8">
              <w:t>0.066</w:t>
            </w:r>
          </w:p>
        </w:tc>
      </w:tr>
      <w:tr w:rsidR="00846CE8" w:rsidRPr="00846CE8" w14:paraId="2DB24F26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480E711A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Hypertension</w:t>
            </w:r>
          </w:p>
        </w:tc>
        <w:tc>
          <w:tcPr>
            <w:tcW w:w="1246" w:type="dxa"/>
            <w:vAlign w:val="center"/>
            <w:hideMark/>
          </w:tcPr>
          <w:p w14:paraId="6D15CB9C" w14:textId="77777777" w:rsidR="00846CE8" w:rsidRPr="00846CE8" w:rsidRDefault="00846CE8" w:rsidP="00846CE8">
            <w:r w:rsidRPr="00846CE8">
              <w:t>0.628</w:t>
            </w:r>
          </w:p>
        </w:tc>
        <w:tc>
          <w:tcPr>
            <w:tcW w:w="820" w:type="dxa"/>
            <w:vAlign w:val="center"/>
            <w:hideMark/>
          </w:tcPr>
          <w:p w14:paraId="7830FF5A" w14:textId="77777777" w:rsidR="00846CE8" w:rsidRPr="00846CE8" w:rsidRDefault="00846CE8" w:rsidP="00846CE8">
            <w:r w:rsidRPr="00846CE8">
              <w:t>0.407–0.968</w:t>
            </w:r>
          </w:p>
        </w:tc>
        <w:tc>
          <w:tcPr>
            <w:tcW w:w="1656" w:type="dxa"/>
            <w:vAlign w:val="center"/>
            <w:hideMark/>
          </w:tcPr>
          <w:p w14:paraId="0AC11E41" w14:textId="77777777" w:rsidR="00846CE8" w:rsidRPr="00846CE8" w:rsidRDefault="00846CE8" w:rsidP="00846CE8">
            <w:r w:rsidRPr="00846CE8">
              <w:t>0.035</w:t>
            </w:r>
          </w:p>
        </w:tc>
      </w:tr>
      <w:tr w:rsidR="00846CE8" w:rsidRPr="00846CE8" w14:paraId="31B5C537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2C932CBD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Diabetes mellitus</w:t>
            </w:r>
          </w:p>
        </w:tc>
        <w:tc>
          <w:tcPr>
            <w:tcW w:w="1246" w:type="dxa"/>
            <w:vAlign w:val="center"/>
            <w:hideMark/>
          </w:tcPr>
          <w:p w14:paraId="25281086" w14:textId="77777777" w:rsidR="00846CE8" w:rsidRPr="00846CE8" w:rsidRDefault="00846CE8" w:rsidP="00846CE8">
            <w:r w:rsidRPr="00846CE8">
              <w:t>1.689</w:t>
            </w:r>
          </w:p>
        </w:tc>
        <w:tc>
          <w:tcPr>
            <w:tcW w:w="820" w:type="dxa"/>
            <w:vAlign w:val="center"/>
            <w:hideMark/>
          </w:tcPr>
          <w:p w14:paraId="0D0EB18F" w14:textId="77777777" w:rsidR="00846CE8" w:rsidRPr="00846CE8" w:rsidRDefault="00846CE8" w:rsidP="00846CE8">
            <w:r w:rsidRPr="00846CE8">
              <w:t>1.073–2.658</w:t>
            </w:r>
          </w:p>
        </w:tc>
        <w:tc>
          <w:tcPr>
            <w:tcW w:w="1656" w:type="dxa"/>
            <w:vAlign w:val="center"/>
            <w:hideMark/>
          </w:tcPr>
          <w:p w14:paraId="07BE7C5E" w14:textId="77777777" w:rsidR="00846CE8" w:rsidRPr="00846CE8" w:rsidRDefault="00846CE8" w:rsidP="00846CE8">
            <w:r w:rsidRPr="00846CE8">
              <w:t>0.024</w:t>
            </w:r>
          </w:p>
        </w:tc>
      </w:tr>
      <w:tr w:rsidR="00846CE8" w:rsidRPr="00846CE8" w14:paraId="4ED8FD9E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255BA91F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Dyslipidemia</w:t>
            </w:r>
          </w:p>
        </w:tc>
        <w:tc>
          <w:tcPr>
            <w:tcW w:w="1246" w:type="dxa"/>
            <w:vAlign w:val="center"/>
            <w:hideMark/>
          </w:tcPr>
          <w:p w14:paraId="4873D172" w14:textId="77777777" w:rsidR="00846CE8" w:rsidRPr="00846CE8" w:rsidRDefault="00846CE8" w:rsidP="00846CE8">
            <w:r w:rsidRPr="00846CE8">
              <w:t>0.562</w:t>
            </w:r>
          </w:p>
        </w:tc>
        <w:tc>
          <w:tcPr>
            <w:tcW w:w="820" w:type="dxa"/>
            <w:vAlign w:val="center"/>
            <w:hideMark/>
          </w:tcPr>
          <w:p w14:paraId="1E36CB52" w14:textId="77777777" w:rsidR="00846CE8" w:rsidRPr="00846CE8" w:rsidRDefault="00846CE8" w:rsidP="00846CE8">
            <w:r w:rsidRPr="00846CE8">
              <w:t>0.338–0.933</w:t>
            </w:r>
          </w:p>
        </w:tc>
        <w:tc>
          <w:tcPr>
            <w:tcW w:w="1656" w:type="dxa"/>
            <w:vAlign w:val="center"/>
            <w:hideMark/>
          </w:tcPr>
          <w:p w14:paraId="3722D883" w14:textId="77777777" w:rsidR="00846CE8" w:rsidRPr="00846CE8" w:rsidRDefault="00846CE8" w:rsidP="00846CE8">
            <w:r w:rsidRPr="00846CE8">
              <w:t>0.026</w:t>
            </w:r>
          </w:p>
        </w:tc>
      </w:tr>
      <w:tr w:rsidR="00846CE8" w:rsidRPr="00846CE8" w14:paraId="76580F01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7586830B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Family history of CAD</w:t>
            </w:r>
          </w:p>
        </w:tc>
        <w:tc>
          <w:tcPr>
            <w:tcW w:w="1246" w:type="dxa"/>
            <w:vAlign w:val="center"/>
            <w:hideMark/>
          </w:tcPr>
          <w:p w14:paraId="445E255F" w14:textId="77777777" w:rsidR="00846CE8" w:rsidRPr="00846CE8" w:rsidRDefault="00846CE8" w:rsidP="00846CE8">
            <w:r w:rsidRPr="00846CE8">
              <w:t>0.574</w:t>
            </w:r>
          </w:p>
        </w:tc>
        <w:tc>
          <w:tcPr>
            <w:tcW w:w="820" w:type="dxa"/>
            <w:vAlign w:val="center"/>
            <w:hideMark/>
          </w:tcPr>
          <w:p w14:paraId="6ACC8866" w14:textId="77777777" w:rsidR="00846CE8" w:rsidRPr="00846CE8" w:rsidRDefault="00846CE8" w:rsidP="00846CE8">
            <w:r w:rsidRPr="00846CE8">
              <w:t>0.281–1.173</w:t>
            </w:r>
          </w:p>
        </w:tc>
        <w:tc>
          <w:tcPr>
            <w:tcW w:w="1656" w:type="dxa"/>
            <w:vAlign w:val="center"/>
            <w:hideMark/>
          </w:tcPr>
          <w:p w14:paraId="4399978F" w14:textId="77777777" w:rsidR="00846CE8" w:rsidRPr="00846CE8" w:rsidRDefault="00846CE8" w:rsidP="00846CE8">
            <w:r w:rsidRPr="00846CE8">
              <w:t>0.128</w:t>
            </w:r>
          </w:p>
        </w:tc>
      </w:tr>
      <w:tr w:rsidR="00846CE8" w:rsidRPr="00846CE8" w14:paraId="72F02E94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2B449333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Smoking</w:t>
            </w:r>
          </w:p>
        </w:tc>
        <w:tc>
          <w:tcPr>
            <w:tcW w:w="1246" w:type="dxa"/>
            <w:vAlign w:val="center"/>
            <w:hideMark/>
          </w:tcPr>
          <w:p w14:paraId="00CFCC7F" w14:textId="77777777" w:rsidR="00846CE8" w:rsidRPr="00846CE8" w:rsidRDefault="00846CE8" w:rsidP="00846CE8">
            <w:r w:rsidRPr="00846CE8">
              <w:t>0.790</w:t>
            </w:r>
          </w:p>
        </w:tc>
        <w:tc>
          <w:tcPr>
            <w:tcW w:w="820" w:type="dxa"/>
            <w:vAlign w:val="center"/>
            <w:hideMark/>
          </w:tcPr>
          <w:p w14:paraId="3EE4C3C2" w14:textId="77777777" w:rsidR="00846CE8" w:rsidRPr="00846CE8" w:rsidRDefault="00846CE8" w:rsidP="00846CE8">
            <w:r w:rsidRPr="00846CE8">
              <w:t>0.499–1.249</w:t>
            </w:r>
          </w:p>
        </w:tc>
        <w:tc>
          <w:tcPr>
            <w:tcW w:w="1656" w:type="dxa"/>
            <w:vAlign w:val="center"/>
            <w:hideMark/>
          </w:tcPr>
          <w:p w14:paraId="6936B5FA" w14:textId="77777777" w:rsidR="00846CE8" w:rsidRPr="00846CE8" w:rsidRDefault="00846CE8" w:rsidP="00846CE8">
            <w:r w:rsidRPr="00846CE8">
              <w:t>0.312</w:t>
            </w:r>
          </w:p>
        </w:tc>
      </w:tr>
      <w:tr w:rsidR="00846CE8" w:rsidRPr="00846CE8" w14:paraId="2A15C4A5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0337E027" w14:textId="577F5837" w:rsidR="00846CE8" w:rsidRPr="00846CE8" w:rsidRDefault="00846CE8" w:rsidP="00846CE8">
            <w:pPr>
              <w:rPr>
                <w:b/>
                <w:bCs/>
                <w:lang w:val="en-US"/>
              </w:rPr>
            </w:pPr>
            <w:r w:rsidRPr="00846CE8">
              <w:rPr>
                <w:b/>
                <w:bCs/>
              </w:rPr>
              <w:t>Age</w:t>
            </w:r>
          </w:p>
        </w:tc>
        <w:tc>
          <w:tcPr>
            <w:tcW w:w="1246" w:type="dxa"/>
            <w:vAlign w:val="center"/>
            <w:hideMark/>
          </w:tcPr>
          <w:p w14:paraId="119ED95D" w14:textId="77777777" w:rsidR="00846CE8" w:rsidRPr="00846CE8" w:rsidRDefault="00846CE8" w:rsidP="00846CE8">
            <w:r w:rsidRPr="00846CE8">
              <w:t>1.029</w:t>
            </w:r>
          </w:p>
        </w:tc>
        <w:tc>
          <w:tcPr>
            <w:tcW w:w="820" w:type="dxa"/>
            <w:vAlign w:val="center"/>
            <w:hideMark/>
          </w:tcPr>
          <w:p w14:paraId="16058A2D" w14:textId="77777777" w:rsidR="00846CE8" w:rsidRPr="00846CE8" w:rsidRDefault="00846CE8" w:rsidP="00846CE8">
            <w:r w:rsidRPr="00846CE8">
              <w:t>1.011–1.047</w:t>
            </w:r>
          </w:p>
        </w:tc>
        <w:tc>
          <w:tcPr>
            <w:tcW w:w="1656" w:type="dxa"/>
            <w:vAlign w:val="center"/>
            <w:hideMark/>
          </w:tcPr>
          <w:p w14:paraId="6D928C1A" w14:textId="77777777" w:rsidR="00846CE8" w:rsidRPr="00846CE8" w:rsidRDefault="00846CE8" w:rsidP="00846CE8">
            <w:r w:rsidRPr="00846CE8">
              <w:t>0.002</w:t>
            </w:r>
          </w:p>
        </w:tc>
      </w:tr>
      <w:tr w:rsidR="00846CE8" w:rsidRPr="00846CE8" w14:paraId="69256F4F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2025C9E1" w14:textId="0180D00A" w:rsidR="00846CE8" w:rsidRPr="00846CE8" w:rsidRDefault="00846CE8" w:rsidP="00846CE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CKD</w:t>
            </w:r>
          </w:p>
        </w:tc>
        <w:tc>
          <w:tcPr>
            <w:tcW w:w="1246" w:type="dxa"/>
            <w:vAlign w:val="center"/>
            <w:hideMark/>
          </w:tcPr>
          <w:p w14:paraId="64BE91B4" w14:textId="77777777" w:rsidR="00846CE8" w:rsidRPr="00846CE8" w:rsidRDefault="00846CE8" w:rsidP="00846CE8">
            <w:r w:rsidRPr="00846CE8">
              <w:t>1.901</w:t>
            </w:r>
          </w:p>
        </w:tc>
        <w:tc>
          <w:tcPr>
            <w:tcW w:w="820" w:type="dxa"/>
            <w:vAlign w:val="center"/>
            <w:hideMark/>
          </w:tcPr>
          <w:p w14:paraId="7DE8A5D7" w14:textId="77777777" w:rsidR="00846CE8" w:rsidRPr="00846CE8" w:rsidRDefault="00846CE8" w:rsidP="00846CE8">
            <w:r w:rsidRPr="00846CE8">
              <w:t>0.992–3.642</w:t>
            </w:r>
          </w:p>
        </w:tc>
        <w:tc>
          <w:tcPr>
            <w:tcW w:w="1656" w:type="dxa"/>
            <w:vAlign w:val="center"/>
            <w:hideMark/>
          </w:tcPr>
          <w:p w14:paraId="612F282F" w14:textId="5F79CD82" w:rsidR="00846CE8" w:rsidRPr="00846CE8" w:rsidRDefault="00846CE8" w:rsidP="00846CE8">
            <w:pPr>
              <w:rPr>
                <w:lang w:val="en-US"/>
              </w:rPr>
            </w:pPr>
            <w:r w:rsidRPr="00846CE8">
              <w:t>0.053</w:t>
            </w:r>
          </w:p>
        </w:tc>
      </w:tr>
    </w:tbl>
    <w:p w14:paraId="555C9DEE" w14:textId="77777777" w:rsidR="00846CE8" w:rsidRDefault="00846CE8">
      <w:pPr>
        <w:rPr>
          <w:b/>
          <w:bCs/>
          <w:lang w:val="en-US"/>
        </w:rPr>
      </w:pPr>
    </w:p>
    <w:p w14:paraId="19C5E413" w14:textId="77777777" w:rsidR="00846CE8" w:rsidRDefault="00846CE8">
      <w:pPr>
        <w:rPr>
          <w:b/>
          <w:bCs/>
          <w:lang w:val="en-US"/>
        </w:rPr>
      </w:pPr>
    </w:p>
    <w:p w14:paraId="6DD0562D" w14:textId="77777777" w:rsidR="0046103F" w:rsidRDefault="0046103F">
      <w:pPr>
        <w:rPr>
          <w:b/>
          <w:bCs/>
          <w:lang w:val="en-US"/>
        </w:rPr>
      </w:pPr>
    </w:p>
    <w:p w14:paraId="10011114" w14:textId="77777777" w:rsidR="0046103F" w:rsidRDefault="0046103F">
      <w:pPr>
        <w:rPr>
          <w:b/>
          <w:bCs/>
          <w:lang w:val="en-US"/>
        </w:rPr>
      </w:pPr>
    </w:p>
    <w:p w14:paraId="4EE2BFBA" w14:textId="77777777" w:rsidR="0046103F" w:rsidRDefault="0046103F">
      <w:pPr>
        <w:rPr>
          <w:b/>
          <w:bCs/>
          <w:lang w:val="en-US"/>
        </w:rPr>
      </w:pPr>
    </w:p>
    <w:p w14:paraId="5EA1E035" w14:textId="77777777" w:rsidR="0046103F" w:rsidRDefault="0046103F">
      <w:pPr>
        <w:rPr>
          <w:b/>
          <w:bCs/>
          <w:lang w:val="en-US"/>
        </w:rPr>
      </w:pPr>
    </w:p>
    <w:p w14:paraId="2560F69A" w14:textId="77777777" w:rsidR="00CC529B" w:rsidRDefault="00CC529B">
      <w:pPr>
        <w:rPr>
          <w:b/>
          <w:bCs/>
          <w:lang w:val="en-US"/>
        </w:rPr>
      </w:pPr>
    </w:p>
    <w:p w14:paraId="44EE9226" w14:textId="77777777" w:rsidR="00CC529B" w:rsidRDefault="00CC529B">
      <w:pPr>
        <w:rPr>
          <w:b/>
          <w:bCs/>
          <w:lang w:val="en-US"/>
        </w:rPr>
      </w:pPr>
    </w:p>
    <w:p w14:paraId="60C9CAAC" w14:textId="77777777" w:rsidR="00CC529B" w:rsidRDefault="00CC529B">
      <w:pPr>
        <w:rPr>
          <w:b/>
          <w:bCs/>
          <w:lang w:val="en-US"/>
        </w:rPr>
      </w:pPr>
    </w:p>
    <w:p w14:paraId="7B5AD9CC" w14:textId="77777777" w:rsidR="0046103F" w:rsidRDefault="0046103F">
      <w:pPr>
        <w:rPr>
          <w:b/>
          <w:bCs/>
          <w:lang w:val="en-US"/>
        </w:rPr>
      </w:pPr>
    </w:p>
    <w:p w14:paraId="420334B1" w14:textId="77777777" w:rsidR="0046103F" w:rsidRDefault="0046103F">
      <w:pPr>
        <w:rPr>
          <w:b/>
          <w:bCs/>
          <w:lang w:val="en-US"/>
        </w:rPr>
      </w:pPr>
    </w:p>
    <w:p w14:paraId="4C51A43A" w14:textId="77777777" w:rsidR="0046103F" w:rsidRDefault="0046103F">
      <w:pPr>
        <w:rPr>
          <w:b/>
          <w:bCs/>
          <w:lang w:val="en-US"/>
        </w:rPr>
      </w:pPr>
    </w:p>
    <w:p w14:paraId="3389F85C" w14:textId="77777777" w:rsidR="0046103F" w:rsidRDefault="0046103F">
      <w:pPr>
        <w:rPr>
          <w:b/>
          <w:bCs/>
          <w:lang w:val="en-US"/>
        </w:rPr>
      </w:pPr>
    </w:p>
    <w:p w14:paraId="41C3DDA3" w14:textId="77777777" w:rsidR="0046103F" w:rsidRDefault="0046103F">
      <w:pPr>
        <w:rPr>
          <w:b/>
          <w:bCs/>
          <w:lang w:val="en-US"/>
        </w:rPr>
      </w:pPr>
    </w:p>
    <w:p w14:paraId="1CF61EB6" w14:textId="77777777" w:rsidR="0046103F" w:rsidRDefault="0046103F">
      <w:pPr>
        <w:rPr>
          <w:b/>
          <w:bCs/>
          <w:lang w:val="en-US"/>
        </w:rPr>
      </w:pPr>
    </w:p>
    <w:p w14:paraId="0D24B643" w14:textId="77777777" w:rsidR="00665D51" w:rsidRDefault="00665D51">
      <w:pPr>
        <w:rPr>
          <w:b/>
          <w:bCs/>
          <w:lang w:val="en-US"/>
        </w:rPr>
      </w:pPr>
    </w:p>
    <w:p w14:paraId="0AA4BBF8" w14:textId="77777777" w:rsidR="00665D51" w:rsidRDefault="00665D51">
      <w:pPr>
        <w:rPr>
          <w:b/>
          <w:bCs/>
          <w:lang w:val="en-US"/>
        </w:rPr>
      </w:pPr>
    </w:p>
    <w:p w14:paraId="628AA22A" w14:textId="77777777" w:rsidR="00665D51" w:rsidRDefault="00665D51">
      <w:pPr>
        <w:rPr>
          <w:b/>
          <w:bCs/>
          <w:lang w:val="en-US"/>
        </w:rPr>
      </w:pPr>
    </w:p>
    <w:p w14:paraId="623D8DFD" w14:textId="77777777" w:rsidR="00665D51" w:rsidRDefault="00665D51">
      <w:pPr>
        <w:rPr>
          <w:b/>
          <w:bCs/>
          <w:lang w:val="en-US"/>
        </w:rPr>
      </w:pPr>
    </w:p>
    <w:p w14:paraId="3FE7E381" w14:textId="77777777" w:rsidR="0046103F" w:rsidRDefault="0046103F">
      <w:pPr>
        <w:rPr>
          <w:b/>
          <w:bCs/>
          <w:lang w:val="en-US"/>
        </w:rPr>
      </w:pPr>
    </w:p>
    <w:p w14:paraId="7A34F1F9" w14:textId="77777777" w:rsidR="0046103F" w:rsidRDefault="0046103F">
      <w:pPr>
        <w:rPr>
          <w:b/>
          <w:bCs/>
          <w:lang w:val="en-US"/>
        </w:rPr>
      </w:pPr>
    </w:p>
    <w:p w14:paraId="4A8C8802" w14:textId="77777777" w:rsidR="0046103F" w:rsidRDefault="0046103F">
      <w:pPr>
        <w:rPr>
          <w:b/>
          <w:bCs/>
          <w:lang w:val="en-US"/>
        </w:rPr>
      </w:pPr>
    </w:p>
    <w:p w14:paraId="2E0810E6" w14:textId="77777777" w:rsidR="0046103F" w:rsidRDefault="0046103F">
      <w:pPr>
        <w:rPr>
          <w:b/>
          <w:bCs/>
          <w:lang w:val="en-US"/>
        </w:rPr>
      </w:pPr>
    </w:p>
    <w:p w14:paraId="09E14C95" w14:textId="77777777" w:rsidR="0046103F" w:rsidRDefault="0046103F">
      <w:pPr>
        <w:rPr>
          <w:b/>
          <w:bCs/>
          <w:lang w:val="en-US"/>
        </w:rPr>
      </w:pPr>
    </w:p>
    <w:p w14:paraId="67C56CAB" w14:textId="542F333F" w:rsidR="00846CE8" w:rsidRPr="00846CE8" w:rsidRDefault="00846CE8" w:rsidP="00846CE8">
      <w:pPr>
        <w:rPr>
          <w:b/>
          <w:bCs/>
        </w:rPr>
      </w:pPr>
      <w:r w:rsidRPr="00CC529B">
        <w:t>B.</w:t>
      </w:r>
      <w:r w:rsidRPr="00846CE8">
        <w:rPr>
          <w:b/>
          <w:bCs/>
        </w:rPr>
        <w:t xml:space="preserve"> </w:t>
      </w:r>
      <w:r w:rsidRPr="006B4852">
        <w:t xml:space="preserve">Male </w:t>
      </w:r>
      <w:r w:rsidR="006B4852" w:rsidRPr="006B4852">
        <w:rPr>
          <w:lang w:val="en-US"/>
        </w:rPr>
        <w:t>s</w:t>
      </w:r>
      <w:r w:rsidRPr="006B4852">
        <w:t>ubgroup</w:t>
      </w:r>
    </w:p>
    <w:p w14:paraId="29B678EE" w14:textId="4D9A3C05" w:rsidR="00846CE8" w:rsidRDefault="00846CE8" w:rsidP="00846CE8">
      <w:pPr>
        <w:rPr>
          <w:b/>
          <w:bCs/>
          <w:lang w:val="en-US"/>
        </w:rPr>
      </w:pPr>
    </w:p>
    <w:p w14:paraId="07032F3F" w14:textId="77777777" w:rsidR="00846CE8" w:rsidRDefault="00846CE8" w:rsidP="00846CE8">
      <w:pPr>
        <w:rPr>
          <w:b/>
          <w:bCs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1276"/>
        <w:gridCol w:w="817"/>
        <w:gridCol w:w="752"/>
      </w:tblGrid>
      <w:tr w:rsidR="00846CE8" w:rsidRPr="00846CE8" w14:paraId="5DE02A07" w14:textId="77777777" w:rsidTr="00846CE8">
        <w:trPr>
          <w:tblHeader/>
          <w:tblCellSpacing w:w="15" w:type="dxa"/>
        </w:trPr>
        <w:tc>
          <w:tcPr>
            <w:tcW w:w="2410" w:type="dxa"/>
            <w:vAlign w:val="center"/>
            <w:hideMark/>
          </w:tcPr>
          <w:p w14:paraId="148AFB19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Variable</w:t>
            </w:r>
          </w:p>
        </w:tc>
        <w:tc>
          <w:tcPr>
            <w:tcW w:w="1246" w:type="dxa"/>
            <w:vAlign w:val="center"/>
            <w:hideMark/>
          </w:tcPr>
          <w:p w14:paraId="32CFB2CB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Adjusted OR</w:t>
            </w:r>
          </w:p>
        </w:tc>
        <w:tc>
          <w:tcPr>
            <w:tcW w:w="787" w:type="dxa"/>
            <w:vAlign w:val="center"/>
            <w:hideMark/>
          </w:tcPr>
          <w:p w14:paraId="650ADEE0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95% CI</w:t>
            </w:r>
          </w:p>
        </w:tc>
        <w:tc>
          <w:tcPr>
            <w:tcW w:w="707" w:type="dxa"/>
            <w:vAlign w:val="center"/>
            <w:hideMark/>
          </w:tcPr>
          <w:p w14:paraId="6D151C00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p-value</w:t>
            </w:r>
          </w:p>
        </w:tc>
      </w:tr>
      <w:tr w:rsidR="00846CE8" w:rsidRPr="00846CE8" w14:paraId="5BEBFF60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7BB93C76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SII</w:t>
            </w:r>
          </w:p>
        </w:tc>
        <w:tc>
          <w:tcPr>
            <w:tcW w:w="1246" w:type="dxa"/>
            <w:vAlign w:val="center"/>
            <w:hideMark/>
          </w:tcPr>
          <w:p w14:paraId="0C51669E" w14:textId="1663C946" w:rsidR="00846CE8" w:rsidRPr="00846CE8" w:rsidRDefault="00846CE8" w:rsidP="00846CE8">
            <w:pPr>
              <w:rPr>
                <w:lang w:val="en-US"/>
              </w:rPr>
            </w:pPr>
            <w:r w:rsidRPr="00846CE8">
              <w:t>1.00</w:t>
            </w:r>
            <w:r w:rsidR="00497DE0">
              <w:rPr>
                <w:lang w:val="en-US"/>
              </w:rPr>
              <w:t>6</w:t>
            </w:r>
          </w:p>
        </w:tc>
        <w:tc>
          <w:tcPr>
            <w:tcW w:w="787" w:type="dxa"/>
            <w:vAlign w:val="center"/>
            <w:hideMark/>
          </w:tcPr>
          <w:p w14:paraId="29DA76AB" w14:textId="70468C31" w:rsidR="00846CE8" w:rsidRPr="00846CE8" w:rsidRDefault="00846CE8" w:rsidP="00846CE8">
            <w:pPr>
              <w:rPr>
                <w:lang w:val="en-US"/>
              </w:rPr>
            </w:pPr>
            <w:r w:rsidRPr="00846CE8">
              <w:t>1.00</w:t>
            </w:r>
            <w:r w:rsidR="00497DE0">
              <w:rPr>
                <w:lang w:val="en-US"/>
              </w:rPr>
              <w:t>1</w:t>
            </w:r>
            <w:r w:rsidRPr="00846CE8">
              <w:t>–1.00</w:t>
            </w:r>
            <w:r w:rsidR="00497DE0">
              <w:rPr>
                <w:lang w:val="en-US"/>
              </w:rPr>
              <w:t>9</w:t>
            </w:r>
          </w:p>
        </w:tc>
        <w:tc>
          <w:tcPr>
            <w:tcW w:w="707" w:type="dxa"/>
            <w:vAlign w:val="center"/>
            <w:hideMark/>
          </w:tcPr>
          <w:p w14:paraId="3D074B99" w14:textId="77777777" w:rsidR="00846CE8" w:rsidRPr="00846CE8" w:rsidRDefault="00846CE8" w:rsidP="00846CE8">
            <w:r w:rsidRPr="00846CE8">
              <w:t>&lt;0.001</w:t>
            </w:r>
          </w:p>
        </w:tc>
      </w:tr>
      <w:tr w:rsidR="00846CE8" w:rsidRPr="00846CE8" w14:paraId="7F70A5C8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07B0FB11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Heart failure</w:t>
            </w:r>
          </w:p>
        </w:tc>
        <w:tc>
          <w:tcPr>
            <w:tcW w:w="1246" w:type="dxa"/>
            <w:vAlign w:val="center"/>
            <w:hideMark/>
          </w:tcPr>
          <w:p w14:paraId="2B9C71F3" w14:textId="77777777" w:rsidR="00846CE8" w:rsidRPr="00846CE8" w:rsidRDefault="00846CE8" w:rsidP="00846CE8">
            <w:r w:rsidRPr="00846CE8">
              <w:t>2.965</w:t>
            </w:r>
          </w:p>
        </w:tc>
        <w:tc>
          <w:tcPr>
            <w:tcW w:w="787" w:type="dxa"/>
            <w:vAlign w:val="center"/>
            <w:hideMark/>
          </w:tcPr>
          <w:p w14:paraId="2BCC48A7" w14:textId="77777777" w:rsidR="00846CE8" w:rsidRPr="00846CE8" w:rsidRDefault="00846CE8" w:rsidP="00846CE8">
            <w:r w:rsidRPr="00846CE8">
              <w:t>0.921–9.545</w:t>
            </w:r>
          </w:p>
        </w:tc>
        <w:tc>
          <w:tcPr>
            <w:tcW w:w="707" w:type="dxa"/>
            <w:vAlign w:val="center"/>
            <w:hideMark/>
          </w:tcPr>
          <w:p w14:paraId="570BEC2F" w14:textId="77777777" w:rsidR="00846CE8" w:rsidRPr="00846CE8" w:rsidRDefault="00846CE8" w:rsidP="00846CE8">
            <w:r w:rsidRPr="00846CE8">
              <w:t>0.069</w:t>
            </w:r>
          </w:p>
        </w:tc>
      </w:tr>
      <w:tr w:rsidR="00846CE8" w:rsidRPr="00846CE8" w14:paraId="3D1C12C2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1F94DA47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Hypertension</w:t>
            </w:r>
          </w:p>
        </w:tc>
        <w:tc>
          <w:tcPr>
            <w:tcW w:w="1246" w:type="dxa"/>
            <w:vAlign w:val="center"/>
            <w:hideMark/>
          </w:tcPr>
          <w:p w14:paraId="2C868992" w14:textId="77777777" w:rsidR="00846CE8" w:rsidRPr="00846CE8" w:rsidRDefault="00846CE8" w:rsidP="00846CE8">
            <w:r w:rsidRPr="00846CE8">
              <w:t>0.777</w:t>
            </w:r>
          </w:p>
        </w:tc>
        <w:tc>
          <w:tcPr>
            <w:tcW w:w="787" w:type="dxa"/>
            <w:vAlign w:val="center"/>
            <w:hideMark/>
          </w:tcPr>
          <w:p w14:paraId="40586D39" w14:textId="77777777" w:rsidR="00846CE8" w:rsidRPr="00846CE8" w:rsidRDefault="00846CE8" w:rsidP="00846CE8">
            <w:r w:rsidRPr="00846CE8">
              <w:t>0.468–1.290</w:t>
            </w:r>
          </w:p>
        </w:tc>
        <w:tc>
          <w:tcPr>
            <w:tcW w:w="707" w:type="dxa"/>
            <w:vAlign w:val="center"/>
            <w:hideMark/>
          </w:tcPr>
          <w:p w14:paraId="1B62EC9D" w14:textId="77777777" w:rsidR="00846CE8" w:rsidRPr="00846CE8" w:rsidRDefault="00846CE8" w:rsidP="00846CE8">
            <w:r w:rsidRPr="00846CE8">
              <w:t>0.329</w:t>
            </w:r>
          </w:p>
        </w:tc>
      </w:tr>
      <w:tr w:rsidR="00846CE8" w:rsidRPr="00846CE8" w14:paraId="4476BBCB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79088081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Diabetes mellitus</w:t>
            </w:r>
          </w:p>
        </w:tc>
        <w:tc>
          <w:tcPr>
            <w:tcW w:w="1246" w:type="dxa"/>
            <w:vAlign w:val="center"/>
            <w:hideMark/>
          </w:tcPr>
          <w:p w14:paraId="5636C182" w14:textId="77777777" w:rsidR="00846CE8" w:rsidRPr="00846CE8" w:rsidRDefault="00846CE8" w:rsidP="00846CE8">
            <w:r w:rsidRPr="00846CE8">
              <w:t>1.253</w:t>
            </w:r>
          </w:p>
        </w:tc>
        <w:tc>
          <w:tcPr>
            <w:tcW w:w="787" w:type="dxa"/>
            <w:vAlign w:val="center"/>
            <w:hideMark/>
          </w:tcPr>
          <w:p w14:paraId="0DAA80C1" w14:textId="77777777" w:rsidR="00846CE8" w:rsidRPr="00846CE8" w:rsidRDefault="00846CE8" w:rsidP="00846CE8">
            <w:r w:rsidRPr="00846CE8">
              <w:t>0.720–2.181</w:t>
            </w:r>
          </w:p>
        </w:tc>
        <w:tc>
          <w:tcPr>
            <w:tcW w:w="707" w:type="dxa"/>
            <w:vAlign w:val="center"/>
            <w:hideMark/>
          </w:tcPr>
          <w:p w14:paraId="611A2E80" w14:textId="77777777" w:rsidR="00846CE8" w:rsidRPr="00846CE8" w:rsidRDefault="00846CE8" w:rsidP="00846CE8">
            <w:r w:rsidRPr="00846CE8">
              <w:t>0.424</w:t>
            </w:r>
          </w:p>
        </w:tc>
      </w:tr>
      <w:tr w:rsidR="00846CE8" w:rsidRPr="00846CE8" w14:paraId="4B9F2CCE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1A0F25AD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Dyslipidemia</w:t>
            </w:r>
          </w:p>
        </w:tc>
        <w:tc>
          <w:tcPr>
            <w:tcW w:w="1246" w:type="dxa"/>
            <w:vAlign w:val="center"/>
            <w:hideMark/>
          </w:tcPr>
          <w:p w14:paraId="522529E6" w14:textId="77777777" w:rsidR="00846CE8" w:rsidRPr="00846CE8" w:rsidRDefault="00846CE8" w:rsidP="00846CE8">
            <w:r w:rsidRPr="00846CE8">
              <w:t>0.639</w:t>
            </w:r>
          </w:p>
        </w:tc>
        <w:tc>
          <w:tcPr>
            <w:tcW w:w="787" w:type="dxa"/>
            <w:vAlign w:val="center"/>
            <w:hideMark/>
          </w:tcPr>
          <w:p w14:paraId="76C54467" w14:textId="77777777" w:rsidR="00846CE8" w:rsidRPr="00846CE8" w:rsidRDefault="00846CE8" w:rsidP="00846CE8">
            <w:r w:rsidRPr="00846CE8">
              <w:t>0.354–1.153</w:t>
            </w:r>
          </w:p>
        </w:tc>
        <w:tc>
          <w:tcPr>
            <w:tcW w:w="707" w:type="dxa"/>
            <w:vAlign w:val="center"/>
            <w:hideMark/>
          </w:tcPr>
          <w:p w14:paraId="08DE1A2F" w14:textId="77777777" w:rsidR="00846CE8" w:rsidRPr="00846CE8" w:rsidRDefault="00846CE8" w:rsidP="00846CE8">
            <w:r w:rsidRPr="00846CE8">
              <w:t>0.137</w:t>
            </w:r>
          </w:p>
        </w:tc>
      </w:tr>
      <w:tr w:rsidR="00846CE8" w:rsidRPr="00846CE8" w14:paraId="70406237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3486A95D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Family history of CAD</w:t>
            </w:r>
          </w:p>
        </w:tc>
        <w:tc>
          <w:tcPr>
            <w:tcW w:w="1246" w:type="dxa"/>
            <w:vAlign w:val="center"/>
            <w:hideMark/>
          </w:tcPr>
          <w:p w14:paraId="2D1C160D" w14:textId="77777777" w:rsidR="00846CE8" w:rsidRPr="00846CE8" w:rsidRDefault="00846CE8" w:rsidP="00846CE8">
            <w:r w:rsidRPr="00846CE8">
              <w:t>0.565</w:t>
            </w:r>
          </w:p>
        </w:tc>
        <w:tc>
          <w:tcPr>
            <w:tcW w:w="787" w:type="dxa"/>
            <w:vAlign w:val="center"/>
            <w:hideMark/>
          </w:tcPr>
          <w:p w14:paraId="2986AC38" w14:textId="77777777" w:rsidR="00846CE8" w:rsidRPr="00846CE8" w:rsidRDefault="00846CE8" w:rsidP="00846CE8">
            <w:r w:rsidRPr="00846CE8">
              <w:t>0.252–1.266</w:t>
            </w:r>
          </w:p>
        </w:tc>
        <w:tc>
          <w:tcPr>
            <w:tcW w:w="707" w:type="dxa"/>
            <w:vAlign w:val="center"/>
            <w:hideMark/>
          </w:tcPr>
          <w:p w14:paraId="2E899C5D" w14:textId="77777777" w:rsidR="00846CE8" w:rsidRPr="00846CE8" w:rsidRDefault="00846CE8" w:rsidP="00846CE8">
            <w:r w:rsidRPr="00846CE8">
              <w:t>0.166</w:t>
            </w:r>
          </w:p>
        </w:tc>
      </w:tr>
      <w:tr w:rsidR="00846CE8" w:rsidRPr="00846CE8" w14:paraId="64476374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7104CE4A" w14:textId="77777777" w:rsidR="00846CE8" w:rsidRPr="00846CE8" w:rsidRDefault="00846CE8" w:rsidP="00846CE8">
            <w:pPr>
              <w:rPr>
                <w:b/>
                <w:bCs/>
              </w:rPr>
            </w:pPr>
            <w:r w:rsidRPr="00846CE8">
              <w:rPr>
                <w:b/>
                <w:bCs/>
              </w:rPr>
              <w:t>Smoking</w:t>
            </w:r>
          </w:p>
        </w:tc>
        <w:tc>
          <w:tcPr>
            <w:tcW w:w="1246" w:type="dxa"/>
            <w:vAlign w:val="center"/>
            <w:hideMark/>
          </w:tcPr>
          <w:p w14:paraId="606AE5E4" w14:textId="77777777" w:rsidR="00846CE8" w:rsidRPr="00846CE8" w:rsidRDefault="00846CE8" w:rsidP="00846CE8">
            <w:r w:rsidRPr="00846CE8">
              <w:t>0.664</w:t>
            </w:r>
          </w:p>
        </w:tc>
        <w:tc>
          <w:tcPr>
            <w:tcW w:w="787" w:type="dxa"/>
            <w:vAlign w:val="center"/>
            <w:hideMark/>
          </w:tcPr>
          <w:p w14:paraId="00024329" w14:textId="77777777" w:rsidR="00846CE8" w:rsidRPr="00846CE8" w:rsidRDefault="00846CE8" w:rsidP="00846CE8">
            <w:r w:rsidRPr="00846CE8">
              <w:t>0.399–1.106</w:t>
            </w:r>
          </w:p>
        </w:tc>
        <w:tc>
          <w:tcPr>
            <w:tcW w:w="707" w:type="dxa"/>
            <w:vAlign w:val="center"/>
            <w:hideMark/>
          </w:tcPr>
          <w:p w14:paraId="71D71B83" w14:textId="77777777" w:rsidR="00846CE8" w:rsidRPr="00846CE8" w:rsidRDefault="00846CE8" w:rsidP="00846CE8">
            <w:r w:rsidRPr="00846CE8">
              <w:t>0.116</w:t>
            </w:r>
          </w:p>
        </w:tc>
      </w:tr>
      <w:tr w:rsidR="00846CE8" w:rsidRPr="00846CE8" w14:paraId="526F9301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21BF524D" w14:textId="102A8FDF" w:rsidR="00846CE8" w:rsidRPr="00846CE8" w:rsidRDefault="00846CE8" w:rsidP="00846CE8">
            <w:pPr>
              <w:rPr>
                <w:b/>
                <w:bCs/>
                <w:lang w:val="en-US"/>
              </w:rPr>
            </w:pPr>
            <w:r w:rsidRPr="00846CE8">
              <w:rPr>
                <w:b/>
                <w:bCs/>
              </w:rPr>
              <w:t xml:space="preserve">Age </w:t>
            </w:r>
          </w:p>
        </w:tc>
        <w:tc>
          <w:tcPr>
            <w:tcW w:w="1246" w:type="dxa"/>
            <w:vAlign w:val="center"/>
            <w:hideMark/>
          </w:tcPr>
          <w:p w14:paraId="43C522CC" w14:textId="77777777" w:rsidR="00846CE8" w:rsidRPr="00846CE8" w:rsidRDefault="00846CE8" w:rsidP="00846CE8">
            <w:r w:rsidRPr="00846CE8">
              <w:t>1.012</w:t>
            </w:r>
          </w:p>
        </w:tc>
        <w:tc>
          <w:tcPr>
            <w:tcW w:w="787" w:type="dxa"/>
            <w:vAlign w:val="center"/>
            <w:hideMark/>
          </w:tcPr>
          <w:p w14:paraId="7CD4C93E" w14:textId="77777777" w:rsidR="00846CE8" w:rsidRPr="00846CE8" w:rsidRDefault="00846CE8" w:rsidP="00846CE8">
            <w:r w:rsidRPr="00846CE8">
              <w:t>0.990–1.034</w:t>
            </w:r>
          </w:p>
        </w:tc>
        <w:tc>
          <w:tcPr>
            <w:tcW w:w="707" w:type="dxa"/>
            <w:vAlign w:val="center"/>
            <w:hideMark/>
          </w:tcPr>
          <w:p w14:paraId="0A394743" w14:textId="77777777" w:rsidR="00846CE8" w:rsidRPr="00846CE8" w:rsidRDefault="00846CE8" w:rsidP="00846CE8">
            <w:r w:rsidRPr="00846CE8">
              <w:t>0.301</w:t>
            </w:r>
          </w:p>
        </w:tc>
      </w:tr>
      <w:tr w:rsidR="00846CE8" w:rsidRPr="00846CE8" w14:paraId="1C78A5C5" w14:textId="77777777" w:rsidTr="00846CE8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1D677A03" w14:textId="7DF1961A" w:rsidR="00846CE8" w:rsidRPr="00846CE8" w:rsidRDefault="00846CE8" w:rsidP="00846CE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CKD</w:t>
            </w:r>
          </w:p>
        </w:tc>
        <w:tc>
          <w:tcPr>
            <w:tcW w:w="1246" w:type="dxa"/>
            <w:vAlign w:val="center"/>
            <w:hideMark/>
          </w:tcPr>
          <w:p w14:paraId="25C0871B" w14:textId="77777777" w:rsidR="00846CE8" w:rsidRPr="00846CE8" w:rsidRDefault="00846CE8" w:rsidP="00846CE8">
            <w:r w:rsidRPr="00846CE8">
              <w:t>2.233</w:t>
            </w:r>
          </w:p>
        </w:tc>
        <w:tc>
          <w:tcPr>
            <w:tcW w:w="787" w:type="dxa"/>
            <w:vAlign w:val="center"/>
            <w:hideMark/>
          </w:tcPr>
          <w:p w14:paraId="660BCB42" w14:textId="77777777" w:rsidR="00846CE8" w:rsidRPr="00846CE8" w:rsidRDefault="00846CE8" w:rsidP="00846CE8">
            <w:r w:rsidRPr="00846CE8">
              <w:t>1.000–4.985</w:t>
            </w:r>
          </w:p>
        </w:tc>
        <w:tc>
          <w:tcPr>
            <w:tcW w:w="707" w:type="dxa"/>
            <w:vAlign w:val="center"/>
            <w:hideMark/>
          </w:tcPr>
          <w:p w14:paraId="6D818282" w14:textId="77777777" w:rsidR="00846CE8" w:rsidRPr="00846CE8" w:rsidRDefault="00846CE8" w:rsidP="00846CE8">
            <w:r w:rsidRPr="00846CE8">
              <w:t>0.050</w:t>
            </w:r>
          </w:p>
        </w:tc>
      </w:tr>
    </w:tbl>
    <w:p w14:paraId="4F908F8D" w14:textId="77777777" w:rsidR="00E91723" w:rsidRDefault="00E91723" w:rsidP="00623441">
      <w:pPr>
        <w:rPr>
          <w:b/>
          <w:bCs/>
          <w:lang w:val="en-US"/>
        </w:rPr>
      </w:pPr>
    </w:p>
    <w:p w14:paraId="4F90FA09" w14:textId="77777777" w:rsidR="00665D51" w:rsidRDefault="00665D51" w:rsidP="00623441">
      <w:pPr>
        <w:rPr>
          <w:b/>
          <w:bCs/>
          <w:lang w:val="en-US"/>
        </w:rPr>
      </w:pPr>
    </w:p>
    <w:p w14:paraId="15BE2BFB" w14:textId="77777777" w:rsidR="00665D51" w:rsidRDefault="00665D51" w:rsidP="00623441">
      <w:pPr>
        <w:rPr>
          <w:b/>
          <w:bCs/>
          <w:lang w:val="en-US"/>
        </w:rPr>
      </w:pPr>
    </w:p>
    <w:p w14:paraId="019B353A" w14:textId="77777777" w:rsidR="00665D51" w:rsidRDefault="00665D51" w:rsidP="00623441">
      <w:pPr>
        <w:rPr>
          <w:b/>
          <w:bCs/>
          <w:lang w:val="en-US"/>
        </w:rPr>
      </w:pPr>
    </w:p>
    <w:p w14:paraId="0094D65E" w14:textId="77777777" w:rsidR="00665D51" w:rsidRDefault="00665D51" w:rsidP="00623441">
      <w:pPr>
        <w:rPr>
          <w:b/>
          <w:bCs/>
          <w:lang w:val="en-US"/>
        </w:rPr>
      </w:pPr>
    </w:p>
    <w:p w14:paraId="6E0E7C9D" w14:textId="77777777" w:rsidR="00665D51" w:rsidRDefault="00665D51" w:rsidP="00623441">
      <w:pPr>
        <w:rPr>
          <w:b/>
          <w:bCs/>
          <w:lang w:val="en-US"/>
        </w:rPr>
      </w:pPr>
    </w:p>
    <w:p w14:paraId="030294E5" w14:textId="77777777" w:rsidR="00665D51" w:rsidRDefault="00665D51" w:rsidP="00623441">
      <w:pPr>
        <w:rPr>
          <w:b/>
          <w:bCs/>
          <w:lang w:val="en-US"/>
        </w:rPr>
      </w:pPr>
    </w:p>
    <w:p w14:paraId="234B9A42" w14:textId="77777777" w:rsidR="00665D51" w:rsidRDefault="00665D51" w:rsidP="00623441">
      <w:pPr>
        <w:rPr>
          <w:b/>
          <w:bCs/>
          <w:lang w:val="en-US"/>
        </w:rPr>
      </w:pPr>
    </w:p>
    <w:p w14:paraId="3CF59458" w14:textId="77777777" w:rsidR="00665D51" w:rsidRDefault="00665D51" w:rsidP="00623441">
      <w:pPr>
        <w:rPr>
          <w:b/>
          <w:bCs/>
          <w:lang w:val="en-US"/>
        </w:rPr>
      </w:pPr>
    </w:p>
    <w:p w14:paraId="664BE40B" w14:textId="77777777" w:rsidR="00665D51" w:rsidRDefault="00665D51" w:rsidP="00623441">
      <w:pPr>
        <w:rPr>
          <w:b/>
          <w:bCs/>
          <w:lang w:val="en-US"/>
        </w:rPr>
      </w:pPr>
    </w:p>
    <w:p w14:paraId="0F7F1904" w14:textId="77777777" w:rsidR="00665D51" w:rsidRDefault="00665D51" w:rsidP="00623441">
      <w:pPr>
        <w:rPr>
          <w:b/>
          <w:bCs/>
          <w:lang w:val="en-US"/>
        </w:rPr>
      </w:pPr>
    </w:p>
    <w:p w14:paraId="0F47BC3D" w14:textId="77777777" w:rsidR="00665D51" w:rsidRDefault="00665D51" w:rsidP="00623441">
      <w:pPr>
        <w:rPr>
          <w:b/>
          <w:bCs/>
          <w:lang w:val="en-US"/>
        </w:rPr>
      </w:pPr>
    </w:p>
    <w:p w14:paraId="6C5E9061" w14:textId="77777777" w:rsidR="00665D51" w:rsidRDefault="00665D51" w:rsidP="00623441">
      <w:pPr>
        <w:rPr>
          <w:b/>
          <w:bCs/>
          <w:lang w:val="en-US"/>
        </w:rPr>
      </w:pPr>
    </w:p>
    <w:p w14:paraId="601220A9" w14:textId="77777777" w:rsidR="00665D51" w:rsidRDefault="00665D51" w:rsidP="00623441">
      <w:pPr>
        <w:rPr>
          <w:b/>
          <w:bCs/>
          <w:lang w:val="en-US"/>
        </w:rPr>
      </w:pPr>
    </w:p>
    <w:p w14:paraId="5399F2AB" w14:textId="77777777" w:rsidR="00665D51" w:rsidRDefault="00665D51" w:rsidP="00623441">
      <w:pPr>
        <w:rPr>
          <w:b/>
          <w:bCs/>
          <w:lang w:val="en-US"/>
        </w:rPr>
      </w:pPr>
    </w:p>
    <w:p w14:paraId="08571E48" w14:textId="77777777" w:rsidR="00665D51" w:rsidRDefault="00665D51" w:rsidP="00623441">
      <w:pPr>
        <w:rPr>
          <w:b/>
          <w:bCs/>
          <w:lang w:val="en-US"/>
        </w:rPr>
      </w:pPr>
    </w:p>
    <w:p w14:paraId="31E72B92" w14:textId="77777777" w:rsidR="00665D51" w:rsidRDefault="00665D51" w:rsidP="00623441">
      <w:pPr>
        <w:rPr>
          <w:b/>
          <w:bCs/>
          <w:lang w:val="en-US"/>
        </w:rPr>
      </w:pPr>
    </w:p>
    <w:p w14:paraId="0D5FD623" w14:textId="77777777" w:rsidR="00665D51" w:rsidRDefault="00665D51" w:rsidP="00623441">
      <w:pPr>
        <w:rPr>
          <w:b/>
          <w:bCs/>
          <w:lang w:val="en-US"/>
        </w:rPr>
      </w:pPr>
    </w:p>
    <w:p w14:paraId="0668D1FA" w14:textId="77777777" w:rsidR="00665D51" w:rsidRDefault="00665D51" w:rsidP="00623441">
      <w:pPr>
        <w:rPr>
          <w:b/>
          <w:bCs/>
          <w:lang w:val="en-US"/>
        </w:rPr>
      </w:pPr>
    </w:p>
    <w:p w14:paraId="46C22051" w14:textId="77777777" w:rsidR="00665D51" w:rsidRDefault="00665D51" w:rsidP="00623441">
      <w:pPr>
        <w:rPr>
          <w:b/>
          <w:bCs/>
          <w:lang w:val="en-US"/>
        </w:rPr>
      </w:pPr>
    </w:p>
    <w:p w14:paraId="6A8FF6AE" w14:textId="77777777" w:rsidR="00665D51" w:rsidRDefault="00665D51" w:rsidP="00623441">
      <w:pPr>
        <w:rPr>
          <w:b/>
          <w:bCs/>
          <w:lang w:val="en-US"/>
        </w:rPr>
      </w:pPr>
    </w:p>
    <w:p w14:paraId="41A18E5F" w14:textId="77777777" w:rsidR="00665D51" w:rsidRDefault="00665D51" w:rsidP="00623441">
      <w:pPr>
        <w:rPr>
          <w:b/>
          <w:bCs/>
          <w:lang w:val="en-US"/>
        </w:rPr>
      </w:pPr>
    </w:p>
    <w:p w14:paraId="38934DFD" w14:textId="77777777" w:rsidR="00665D51" w:rsidRDefault="00665D51" w:rsidP="00623441">
      <w:pPr>
        <w:rPr>
          <w:b/>
          <w:bCs/>
          <w:lang w:val="en-US"/>
        </w:rPr>
      </w:pPr>
    </w:p>
    <w:p w14:paraId="240CE36D" w14:textId="77777777" w:rsidR="00665D51" w:rsidRDefault="00665D51" w:rsidP="00623441">
      <w:pPr>
        <w:rPr>
          <w:b/>
          <w:bCs/>
          <w:lang w:val="en-US"/>
        </w:rPr>
      </w:pPr>
    </w:p>
    <w:p w14:paraId="7295EB59" w14:textId="77777777" w:rsidR="00665D51" w:rsidRDefault="00665D51" w:rsidP="00623441">
      <w:pPr>
        <w:rPr>
          <w:b/>
          <w:bCs/>
          <w:lang w:val="en-US"/>
        </w:rPr>
      </w:pPr>
    </w:p>
    <w:p w14:paraId="558EB2D4" w14:textId="77777777" w:rsidR="00665D51" w:rsidRDefault="00665D51" w:rsidP="00623441">
      <w:pPr>
        <w:rPr>
          <w:b/>
          <w:bCs/>
          <w:lang w:val="en-US"/>
        </w:rPr>
      </w:pPr>
    </w:p>
    <w:p w14:paraId="706732EA" w14:textId="77777777" w:rsidR="00665D51" w:rsidRDefault="00665D51" w:rsidP="00623441">
      <w:pPr>
        <w:rPr>
          <w:b/>
          <w:bCs/>
          <w:lang w:val="en-US"/>
        </w:rPr>
      </w:pPr>
    </w:p>
    <w:p w14:paraId="7B73B1F9" w14:textId="59C126F8" w:rsidR="00623441" w:rsidRPr="006B4852" w:rsidRDefault="00623441" w:rsidP="00623441">
      <w:r w:rsidRPr="00CC529B">
        <w:t>C.</w:t>
      </w:r>
      <w:r w:rsidRPr="00623441">
        <w:rPr>
          <w:b/>
          <w:bCs/>
        </w:rPr>
        <w:t xml:space="preserve"> </w:t>
      </w:r>
      <w:r w:rsidRPr="006B4852">
        <w:t xml:space="preserve">Female </w:t>
      </w:r>
      <w:r w:rsidR="006B4852" w:rsidRPr="006B4852">
        <w:rPr>
          <w:lang w:val="en-US"/>
        </w:rPr>
        <w:t>s</w:t>
      </w:r>
      <w:r w:rsidRPr="006B4852">
        <w:t>ubgroup</w:t>
      </w:r>
    </w:p>
    <w:p w14:paraId="27D61AC7" w14:textId="77777777" w:rsidR="00846CE8" w:rsidRPr="006B4852" w:rsidRDefault="00846CE8" w:rsidP="00846CE8">
      <w:pPr>
        <w:rPr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1134"/>
        <w:gridCol w:w="1070"/>
        <w:gridCol w:w="752"/>
      </w:tblGrid>
      <w:tr w:rsidR="00623441" w:rsidRPr="00623441" w14:paraId="66354E19" w14:textId="77777777" w:rsidTr="00623441">
        <w:trPr>
          <w:tblHeader/>
          <w:tblCellSpacing w:w="15" w:type="dxa"/>
        </w:trPr>
        <w:tc>
          <w:tcPr>
            <w:tcW w:w="2410" w:type="dxa"/>
            <w:vAlign w:val="center"/>
            <w:hideMark/>
          </w:tcPr>
          <w:p w14:paraId="58CDDD21" w14:textId="77777777" w:rsidR="00623441" w:rsidRPr="00623441" w:rsidRDefault="00623441" w:rsidP="00623441">
            <w:pPr>
              <w:rPr>
                <w:b/>
                <w:bCs/>
              </w:rPr>
            </w:pPr>
            <w:r w:rsidRPr="00623441">
              <w:rPr>
                <w:b/>
                <w:bCs/>
              </w:rPr>
              <w:t>Variable</w:t>
            </w:r>
          </w:p>
        </w:tc>
        <w:tc>
          <w:tcPr>
            <w:tcW w:w="1104" w:type="dxa"/>
            <w:vAlign w:val="center"/>
            <w:hideMark/>
          </w:tcPr>
          <w:p w14:paraId="6CA93066" w14:textId="77777777" w:rsidR="00623441" w:rsidRPr="00623441" w:rsidRDefault="00623441" w:rsidP="00623441">
            <w:pPr>
              <w:rPr>
                <w:b/>
                <w:bCs/>
              </w:rPr>
            </w:pPr>
            <w:r w:rsidRPr="00623441">
              <w:rPr>
                <w:b/>
                <w:bCs/>
              </w:rPr>
              <w:t>Adjusted OR</w:t>
            </w:r>
          </w:p>
        </w:tc>
        <w:tc>
          <w:tcPr>
            <w:tcW w:w="1040" w:type="dxa"/>
            <w:vAlign w:val="center"/>
            <w:hideMark/>
          </w:tcPr>
          <w:p w14:paraId="31B2AB19" w14:textId="77777777" w:rsidR="00623441" w:rsidRPr="00623441" w:rsidRDefault="00623441" w:rsidP="00623441">
            <w:pPr>
              <w:rPr>
                <w:b/>
                <w:bCs/>
              </w:rPr>
            </w:pPr>
            <w:r w:rsidRPr="00623441">
              <w:rPr>
                <w:b/>
                <w:bCs/>
              </w:rPr>
              <w:t>95% CI</w:t>
            </w:r>
          </w:p>
        </w:tc>
        <w:tc>
          <w:tcPr>
            <w:tcW w:w="0" w:type="auto"/>
            <w:vAlign w:val="center"/>
            <w:hideMark/>
          </w:tcPr>
          <w:p w14:paraId="2E5AA33E" w14:textId="77777777" w:rsidR="00623441" w:rsidRPr="00623441" w:rsidRDefault="00623441" w:rsidP="00623441">
            <w:pPr>
              <w:rPr>
                <w:b/>
                <w:bCs/>
              </w:rPr>
            </w:pPr>
            <w:r w:rsidRPr="00623441">
              <w:rPr>
                <w:b/>
                <w:bCs/>
              </w:rPr>
              <w:t>p-value</w:t>
            </w:r>
          </w:p>
        </w:tc>
      </w:tr>
      <w:tr w:rsidR="00623441" w:rsidRPr="00623441" w14:paraId="535B93A9" w14:textId="77777777" w:rsidTr="00623441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26020759" w14:textId="77777777" w:rsidR="00623441" w:rsidRPr="00623441" w:rsidRDefault="00623441" w:rsidP="00623441">
            <w:pPr>
              <w:rPr>
                <w:b/>
                <w:bCs/>
              </w:rPr>
            </w:pPr>
            <w:r w:rsidRPr="00623441">
              <w:rPr>
                <w:b/>
                <w:bCs/>
              </w:rPr>
              <w:t>SII</w:t>
            </w:r>
          </w:p>
        </w:tc>
        <w:tc>
          <w:tcPr>
            <w:tcW w:w="1104" w:type="dxa"/>
            <w:vAlign w:val="center"/>
            <w:hideMark/>
          </w:tcPr>
          <w:p w14:paraId="36E0BB3F" w14:textId="3C1BB78A" w:rsidR="00623441" w:rsidRPr="00623441" w:rsidRDefault="00623441" w:rsidP="00623441">
            <w:pPr>
              <w:rPr>
                <w:lang w:val="en-US"/>
              </w:rPr>
            </w:pPr>
            <w:r w:rsidRPr="00623441">
              <w:t>1.00</w:t>
            </w:r>
            <w:r w:rsidR="00497DE0">
              <w:rPr>
                <w:lang w:val="en-US"/>
              </w:rPr>
              <w:t>7</w:t>
            </w:r>
          </w:p>
        </w:tc>
        <w:tc>
          <w:tcPr>
            <w:tcW w:w="1040" w:type="dxa"/>
            <w:vAlign w:val="center"/>
            <w:hideMark/>
          </w:tcPr>
          <w:p w14:paraId="667C3886" w14:textId="192FBE2C" w:rsidR="00623441" w:rsidRPr="00623441" w:rsidRDefault="00623441" w:rsidP="00623441">
            <w:pPr>
              <w:rPr>
                <w:lang w:val="en-US"/>
              </w:rPr>
            </w:pPr>
            <w:r w:rsidRPr="00623441">
              <w:t>1.00</w:t>
            </w:r>
            <w:r w:rsidR="00497DE0">
              <w:rPr>
                <w:lang w:val="en-US"/>
              </w:rPr>
              <w:t>3</w:t>
            </w:r>
            <w:r w:rsidRPr="00623441">
              <w:t>–1.00</w:t>
            </w:r>
            <w:r w:rsidR="00497DE0">
              <w:rPr>
                <w:lang w:val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6916850" w14:textId="311CE5F9" w:rsidR="00623441" w:rsidRPr="00623441" w:rsidRDefault="00623441" w:rsidP="00623441">
            <w:pPr>
              <w:rPr>
                <w:lang w:val="en-US"/>
              </w:rPr>
            </w:pPr>
            <w:r w:rsidRPr="00623441">
              <w:t>0.0</w:t>
            </w:r>
            <w:r w:rsidR="00497DE0">
              <w:t>2</w:t>
            </w:r>
            <w:r w:rsidR="00497DE0">
              <w:rPr>
                <w:lang w:val="en-US"/>
              </w:rPr>
              <w:t>4</w:t>
            </w:r>
          </w:p>
        </w:tc>
      </w:tr>
      <w:tr w:rsidR="00623441" w:rsidRPr="00623441" w14:paraId="7C3CEAC8" w14:textId="77777777" w:rsidTr="00623441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7B3CA8FC" w14:textId="77777777" w:rsidR="00623441" w:rsidRPr="00623441" w:rsidRDefault="00623441" w:rsidP="00623441">
            <w:pPr>
              <w:rPr>
                <w:b/>
                <w:bCs/>
              </w:rPr>
            </w:pPr>
            <w:r w:rsidRPr="00623441">
              <w:rPr>
                <w:b/>
                <w:bCs/>
              </w:rPr>
              <w:t>Heart failure</w:t>
            </w:r>
          </w:p>
        </w:tc>
        <w:tc>
          <w:tcPr>
            <w:tcW w:w="1104" w:type="dxa"/>
            <w:vAlign w:val="center"/>
            <w:hideMark/>
          </w:tcPr>
          <w:p w14:paraId="612BCFA5" w14:textId="77777777" w:rsidR="00623441" w:rsidRPr="00623441" w:rsidRDefault="00623441" w:rsidP="00623441">
            <w:r w:rsidRPr="00623441">
              <w:t>1.811</w:t>
            </w:r>
          </w:p>
        </w:tc>
        <w:tc>
          <w:tcPr>
            <w:tcW w:w="1040" w:type="dxa"/>
            <w:vAlign w:val="center"/>
            <w:hideMark/>
          </w:tcPr>
          <w:p w14:paraId="68C9CFC5" w14:textId="77777777" w:rsidR="00623441" w:rsidRPr="00623441" w:rsidRDefault="00623441" w:rsidP="00623441">
            <w:r w:rsidRPr="00623441">
              <w:t>0.281–11.663</w:t>
            </w:r>
          </w:p>
        </w:tc>
        <w:tc>
          <w:tcPr>
            <w:tcW w:w="0" w:type="auto"/>
            <w:vAlign w:val="center"/>
            <w:hideMark/>
          </w:tcPr>
          <w:p w14:paraId="2134A8D0" w14:textId="77777777" w:rsidR="00623441" w:rsidRPr="00623441" w:rsidRDefault="00623441" w:rsidP="00623441">
            <w:r w:rsidRPr="00623441">
              <w:t>0.532</w:t>
            </w:r>
          </w:p>
        </w:tc>
      </w:tr>
      <w:tr w:rsidR="00623441" w:rsidRPr="00623441" w14:paraId="52340253" w14:textId="77777777" w:rsidTr="00623441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4807F5D7" w14:textId="77777777" w:rsidR="00623441" w:rsidRPr="00623441" w:rsidRDefault="00623441" w:rsidP="00623441">
            <w:pPr>
              <w:rPr>
                <w:b/>
                <w:bCs/>
              </w:rPr>
            </w:pPr>
            <w:r w:rsidRPr="00623441">
              <w:rPr>
                <w:b/>
                <w:bCs/>
              </w:rPr>
              <w:t>Hypertension</w:t>
            </w:r>
          </w:p>
        </w:tc>
        <w:tc>
          <w:tcPr>
            <w:tcW w:w="1104" w:type="dxa"/>
            <w:vAlign w:val="center"/>
            <w:hideMark/>
          </w:tcPr>
          <w:p w14:paraId="746F0441" w14:textId="77777777" w:rsidR="00623441" w:rsidRPr="00623441" w:rsidRDefault="00623441" w:rsidP="00623441">
            <w:r w:rsidRPr="00623441">
              <w:t>0.359</w:t>
            </w:r>
          </w:p>
        </w:tc>
        <w:tc>
          <w:tcPr>
            <w:tcW w:w="1040" w:type="dxa"/>
            <w:vAlign w:val="center"/>
            <w:hideMark/>
          </w:tcPr>
          <w:p w14:paraId="620338EF" w14:textId="77777777" w:rsidR="00623441" w:rsidRPr="00623441" w:rsidRDefault="00623441" w:rsidP="00623441">
            <w:r w:rsidRPr="00623441">
              <w:t>0.147–0.878</w:t>
            </w:r>
          </w:p>
        </w:tc>
        <w:tc>
          <w:tcPr>
            <w:tcW w:w="0" w:type="auto"/>
            <w:vAlign w:val="center"/>
            <w:hideMark/>
          </w:tcPr>
          <w:p w14:paraId="30AC0476" w14:textId="77777777" w:rsidR="00623441" w:rsidRPr="00623441" w:rsidRDefault="00623441" w:rsidP="00623441">
            <w:r w:rsidRPr="00623441">
              <w:t>0.025</w:t>
            </w:r>
          </w:p>
        </w:tc>
      </w:tr>
      <w:tr w:rsidR="00623441" w:rsidRPr="00623441" w14:paraId="130D6E8F" w14:textId="77777777" w:rsidTr="00623441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304A13BA" w14:textId="77777777" w:rsidR="00623441" w:rsidRPr="00623441" w:rsidRDefault="00623441" w:rsidP="00623441">
            <w:pPr>
              <w:rPr>
                <w:b/>
                <w:bCs/>
              </w:rPr>
            </w:pPr>
            <w:r w:rsidRPr="00623441">
              <w:rPr>
                <w:b/>
                <w:bCs/>
              </w:rPr>
              <w:t>Diabetes mellitus</w:t>
            </w:r>
          </w:p>
        </w:tc>
        <w:tc>
          <w:tcPr>
            <w:tcW w:w="1104" w:type="dxa"/>
            <w:vAlign w:val="center"/>
            <w:hideMark/>
          </w:tcPr>
          <w:p w14:paraId="24E39DCA" w14:textId="77777777" w:rsidR="00623441" w:rsidRPr="00623441" w:rsidRDefault="00623441" w:rsidP="00623441">
            <w:r w:rsidRPr="00623441">
              <w:t>4.092</w:t>
            </w:r>
          </w:p>
        </w:tc>
        <w:tc>
          <w:tcPr>
            <w:tcW w:w="1040" w:type="dxa"/>
            <w:vAlign w:val="center"/>
            <w:hideMark/>
          </w:tcPr>
          <w:p w14:paraId="4B291258" w14:textId="77777777" w:rsidR="00623441" w:rsidRPr="00623441" w:rsidRDefault="00623441" w:rsidP="00623441">
            <w:r w:rsidRPr="00623441">
              <w:t>1.658–10.098</w:t>
            </w:r>
          </w:p>
        </w:tc>
        <w:tc>
          <w:tcPr>
            <w:tcW w:w="0" w:type="auto"/>
            <w:vAlign w:val="center"/>
            <w:hideMark/>
          </w:tcPr>
          <w:p w14:paraId="01B18A25" w14:textId="77777777" w:rsidR="00623441" w:rsidRPr="00623441" w:rsidRDefault="00623441" w:rsidP="00623441">
            <w:r w:rsidRPr="00623441">
              <w:t>0.002</w:t>
            </w:r>
          </w:p>
        </w:tc>
      </w:tr>
      <w:tr w:rsidR="00623441" w:rsidRPr="00623441" w14:paraId="4BDFE1A8" w14:textId="77777777" w:rsidTr="00623441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05571183" w14:textId="77777777" w:rsidR="00623441" w:rsidRPr="00623441" w:rsidRDefault="00623441" w:rsidP="00623441">
            <w:pPr>
              <w:rPr>
                <w:b/>
                <w:bCs/>
              </w:rPr>
            </w:pPr>
            <w:r w:rsidRPr="00623441">
              <w:rPr>
                <w:b/>
                <w:bCs/>
              </w:rPr>
              <w:t>Dyslipidemia</w:t>
            </w:r>
          </w:p>
        </w:tc>
        <w:tc>
          <w:tcPr>
            <w:tcW w:w="1104" w:type="dxa"/>
            <w:vAlign w:val="center"/>
            <w:hideMark/>
          </w:tcPr>
          <w:p w14:paraId="7847837C" w14:textId="77777777" w:rsidR="00623441" w:rsidRPr="00623441" w:rsidRDefault="00623441" w:rsidP="00623441">
            <w:r w:rsidRPr="00623441">
              <w:t>0.326</w:t>
            </w:r>
          </w:p>
        </w:tc>
        <w:tc>
          <w:tcPr>
            <w:tcW w:w="1040" w:type="dxa"/>
            <w:vAlign w:val="center"/>
            <w:hideMark/>
          </w:tcPr>
          <w:p w14:paraId="6A8C3563" w14:textId="77777777" w:rsidR="00623441" w:rsidRPr="00623441" w:rsidRDefault="00623441" w:rsidP="00623441">
            <w:r w:rsidRPr="00623441">
              <w:t>0.112–0.952</w:t>
            </w:r>
          </w:p>
        </w:tc>
        <w:tc>
          <w:tcPr>
            <w:tcW w:w="0" w:type="auto"/>
            <w:vAlign w:val="center"/>
            <w:hideMark/>
          </w:tcPr>
          <w:p w14:paraId="1FE91539" w14:textId="77777777" w:rsidR="00623441" w:rsidRPr="00623441" w:rsidRDefault="00623441" w:rsidP="00623441">
            <w:r w:rsidRPr="00623441">
              <w:t>0.040</w:t>
            </w:r>
          </w:p>
        </w:tc>
      </w:tr>
      <w:tr w:rsidR="00623441" w:rsidRPr="00623441" w14:paraId="79A4B76D" w14:textId="77777777" w:rsidTr="00623441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66E0BB7A" w14:textId="77777777" w:rsidR="00623441" w:rsidRPr="00623441" w:rsidRDefault="00623441" w:rsidP="00623441">
            <w:pPr>
              <w:rPr>
                <w:b/>
                <w:bCs/>
              </w:rPr>
            </w:pPr>
            <w:r w:rsidRPr="00623441">
              <w:rPr>
                <w:b/>
                <w:bCs/>
              </w:rPr>
              <w:t>Family history of CAD</w:t>
            </w:r>
          </w:p>
        </w:tc>
        <w:tc>
          <w:tcPr>
            <w:tcW w:w="1104" w:type="dxa"/>
            <w:vAlign w:val="center"/>
            <w:hideMark/>
          </w:tcPr>
          <w:p w14:paraId="5685222B" w14:textId="77777777" w:rsidR="00623441" w:rsidRPr="00623441" w:rsidRDefault="00623441" w:rsidP="00623441">
            <w:r w:rsidRPr="00623441">
              <w:t>0.491</w:t>
            </w:r>
          </w:p>
        </w:tc>
        <w:tc>
          <w:tcPr>
            <w:tcW w:w="1040" w:type="dxa"/>
            <w:vAlign w:val="center"/>
            <w:hideMark/>
          </w:tcPr>
          <w:p w14:paraId="4C7CA635" w14:textId="77777777" w:rsidR="00623441" w:rsidRPr="00623441" w:rsidRDefault="00623441" w:rsidP="00623441">
            <w:r w:rsidRPr="00623441">
              <w:t>0.094–2.572</w:t>
            </w:r>
          </w:p>
        </w:tc>
        <w:tc>
          <w:tcPr>
            <w:tcW w:w="0" w:type="auto"/>
            <w:vAlign w:val="center"/>
            <w:hideMark/>
          </w:tcPr>
          <w:p w14:paraId="6501303E" w14:textId="77777777" w:rsidR="00623441" w:rsidRPr="00623441" w:rsidRDefault="00623441" w:rsidP="00623441">
            <w:r w:rsidRPr="00623441">
              <w:t>0.400</w:t>
            </w:r>
          </w:p>
        </w:tc>
      </w:tr>
      <w:tr w:rsidR="00623441" w:rsidRPr="00623441" w14:paraId="2D744B8A" w14:textId="77777777" w:rsidTr="00623441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3F1DC8EF" w14:textId="77777777" w:rsidR="00623441" w:rsidRPr="00623441" w:rsidRDefault="00623441" w:rsidP="00623441">
            <w:pPr>
              <w:rPr>
                <w:b/>
                <w:bCs/>
              </w:rPr>
            </w:pPr>
            <w:r w:rsidRPr="00623441">
              <w:rPr>
                <w:b/>
                <w:bCs/>
              </w:rPr>
              <w:t>Smoking</w:t>
            </w:r>
          </w:p>
        </w:tc>
        <w:tc>
          <w:tcPr>
            <w:tcW w:w="1104" w:type="dxa"/>
            <w:vAlign w:val="center"/>
            <w:hideMark/>
          </w:tcPr>
          <w:p w14:paraId="74B247DF" w14:textId="77777777" w:rsidR="00623441" w:rsidRPr="00623441" w:rsidRDefault="00623441" w:rsidP="00623441">
            <w:r w:rsidRPr="00623441">
              <w:t>1.426</w:t>
            </w:r>
          </w:p>
        </w:tc>
        <w:tc>
          <w:tcPr>
            <w:tcW w:w="1040" w:type="dxa"/>
            <w:vAlign w:val="center"/>
            <w:hideMark/>
          </w:tcPr>
          <w:p w14:paraId="767C280D" w14:textId="77777777" w:rsidR="00623441" w:rsidRPr="00623441" w:rsidRDefault="00623441" w:rsidP="00623441">
            <w:r w:rsidRPr="00623441">
              <w:t>0.448–4.544</w:t>
            </w:r>
          </w:p>
        </w:tc>
        <w:tc>
          <w:tcPr>
            <w:tcW w:w="0" w:type="auto"/>
            <w:vAlign w:val="center"/>
            <w:hideMark/>
          </w:tcPr>
          <w:p w14:paraId="1419663F" w14:textId="77777777" w:rsidR="00623441" w:rsidRPr="00623441" w:rsidRDefault="00623441" w:rsidP="00623441">
            <w:r w:rsidRPr="00623441">
              <w:t>0.548</w:t>
            </w:r>
          </w:p>
        </w:tc>
      </w:tr>
      <w:tr w:rsidR="00623441" w:rsidRPr="00623441" w14:paraId="2558B1AB" w14:textId="77777777" w:rsidTr="00623441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6182C000" w14:textId="53858A80" w:rsidR="00623441" w:rsidRPr="00623441" w:rsidRDefault="00623441" w:rsidP="00623441">
            <w:pPr>
              <w:rPr>
                <w:b/>
                <w:bCs/>
                <w:lang w:val="en-US"/>
              </w:rPr>
            </w:pPr>
            <w:r w:rsidRPr="00623441">
              <w:rPr>
                <w:b/>
                <w:bCs/>
              </w:rPr>
              <w:t xml:space="preserve">Age </w:t>
            </w:r>
          </w:p>
        </w:tc>
        <w:tc>
          <w:tcPr>
            <w:tcW w:w="1104" w:type="dxa"/>
            <w:vAlign w:val="center"/>
            <w:hideMark/>
          </w:tcPr>
          <w:p w14:paraId="700CBC27" w14:textId="77777777" w:rsidR="00623441" w:rsidRPr="00623441" w:rsidRDefault="00623441" w:rsidP="00623441">
            <w:r w:rsidRPr="00623441">
              <w:t>1.082</w:t>
            </w:r>
          </w:p>
        </w:tc>
        <w:tc>
          <w:tcPr>
            <w:tcW w:w="1040" w:type="dxa"/>
            <w:vAlign w:val="center"/>
            <w:hideMark/>
          </w:tcPr>
          <w:p w14:paraId="339B238C" w14:textId="77777777" w:rsidR="00623441" w:rsidRPr="00623441" w:rsidRDefault="00623441" w:rsidP="00623441">
            <w:r w:rsidRPr="00623441">
              <w:t>1.040–1.125</w:t>
            </w:r>
          </w:p>
        </w:tc>
        <w:tc>
          <w:tcPr>
            <w:tcW w:w="0" w:type="auto"/>
            <w:vAlign w:val="center"/>
            <w:hideMark/>
          </w:tcPr>
          <w:p w14:paraId="61AF839B" w14:textId="77777777" w:rsidR="00623441" w:rsidRPr="00623441" w:rsidRDefault="00623441" w:rsidP="00623441">
            <w:r w:rsidRPr="00623441">
              <w:t>&lt;0.001</w:t>
            </w:r>
          </w:p>
        </w:tc>
      </w:tr>
      <w:tr w:rsidR="00623441" w:rsidRPr="00623441" w14:paraId="22B70C0C" w14:textId="77777777" w:rsidTr="00623441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56A4B739" w14:textId="4AF5B319" w:rsidR="00623441" w:rsidRPr="00623441" w:rsidRDefault="00623441" w:rsidP="0062344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CKD</w:t>
            </w:r>
          </w:p>
        </w:tc>
        <w:tc>
          <w:tcPr>
            <w:tcW w:w="1104" w:type="dxa"/>
            <w:vAlign w:val="center"/>
            <w:hideMark/>
          </w:tcPr>
          <w:p w14:paraId="0815F834" w14:textId="77777777" w:rsidR="00623441" w:rsidRPr="00623441" w:rsidRDefault="00623441" w:rsidP="00623441">
            <w:r w:rsidRPr="00623441">
              <w:t>1.354</w:t>
            </w:r>
          </w:p>
        </w:tc>
        <w:tc>
          <w:tcPr>
            <w:tcW w:w="1040" w:type="dxa"/>
            <w:vAlign w:val="center"/>
            <w:hideMark/>
          </w:tcPr>
          <w:p w14:paraId="4DDF84FC" w14:textId="77777777" w:rsidR="00623441" w:rsidRPr="00623441" w:rsidRDefault="00623441" w:rsidP="00623441">
            <w:r w:rsidRPr="00623441">
              <w:t>0.415–4.411</w:t>
            </w:r>
          </w:p>
        </w:tc>
        <w:tc>
          <w:tcPr>
            <w:tcW w:w="0" w:type="auto"/>
            <w:vAlign w:val="center"/>
            <w:hideMark/>
          </w:tcPr>
          <w:p w14:paraId="12FD83D4" w14:textId="77777777" w:rsidR="00623441" w:rsidRPr="00623441" w:rsidRDefault="00623441" w:rsidP="00623441">
            <w:r w:rsidRPr="00623441">
              <w:t>0.615</w:t>
            </w:r>
          </w:p>
        </w:tc>
      </w:tr>
    </w:tbl>
    <w:p w14:paraId="4CE9BE6E" w14:textId="77777777" w:rsidR="00E91723" w:rsidRDefault="00E91723" w:rsidP="00846CE8">
      <w:pPr>
        <w:rPr>
          <w:b/>
          <w:bCs/>
          <w:lang w:val="en-US"/>
        </w:rPr>
      </w:pPr>
    </w:p>
    <w:p w14:paraId="0945B63B" w14:textId="77777777" w:rsidR="00E91723" w:rsidRDefault="00E91723" w:rsidP="00846CE8">
      <w:pPr>
        <w:rPr>
          <w:b/>
          <w:bCs/>
          <w:lang w:val="en-US"/>
        </w:rPr>
      </w:pPr>
    </w:p>
    <w:p w14:paraId="5BD0A612" w14:textId="77777777" w:rsidR="00665D51" w:rsidRDefault="00665D51" w:rsidP="00846CE8">
      <w:pPr>
        <w:rPr>
          <w:b/>
          <w:bCs/>
          <w:lang w:val="en-US"/>
        </w:rPr>
      </w:pPr>
    </w:p>
    <w:p w14:paraId="72EFA6FB" w14:textId="77777777" w:rsidR="00AA3F3D" w:rsidRDefault="00AA3F3D" w:rsidP="00846CE8">
      <w:pPr>
        <w:rPr>
          <w:b/>
          <w:bCs/>
          <w:lang w:val="en-US"/>
        </w:rPr>
      </w:pPr>
    </w:p>
    <w:p w14:paraId="3D1CC80E" w14:textId="77777777" w:rsidR="00665D51" w:rsidRDefault="00665D51" w:rsidP="00846CE8">
      <w:pPr>
        <w:rPr>
          <w:b/>
          <w:bCs/>
          <w:lang w:val="en-US"/>
        </w:rPr>
      </w:pPr>
    </w:p>
    <w:p w14:paraId="17337128" w14:textId="77777777" w:rsidR="00665D51" w:rsidRDefault="00665D51" w:rsidP="00846CE8">
      <w:pPr>
        <w:rPr>
          <w:b/>
          <w:bCs/>
          <w:lang w:val="en-US"/>
        </w:rPr>
      </w:pPr>
    </w:p>
    <w:p w14:paraId="04421533" w14:textId="77777777" w:rsidR="00AA3F3D" w:rsidRDefault="00AA3F3D" w:rsidP="00846CE8">
      <w:pPr>
        <w:rPr>
          <w:b/>
          <w:bCs/>
          <w:lang w:val="en-US"/>
        </w:rPr>
      </w:pPr>
    </w:p>
    <w:p w14:paraId="3A2B2958" w14:textId="77777777" w:rsidR="00665D51" w:rsidRDefault="00665D51" w:rsidP="00846CE8">
      <w:pPr>
        <w:rPr>
          <w:b/>
          <w:bCs/>
          <w:lang w:val="en-US"/>
        </w:rPr>
      </w:pPr>
    </w:p>
    <w:p w14:paraId="712ACC5A" w14:textId="77777777" w:rsidR="00665D51" w:rsidRDefault="00665D51" w:rsidP="00846CE8">
      <w:pPr>
        <w:rPr>
          <w:b/>
          <w:bCs/>
          <w:lang w:val="en-US"/>
        </w:rPr>
      </w:pPr>
    </w:p>
    <w:p w14:paraId="06E2DE88" w14:textId="77777777" w:rsidR="00665D51" w:rsidRDefault="00665D51" w:rsidP="00846CE8">
      <w:pPr>
        <w:rPr>
          <w:b/>
          <w:bCs/>
          <w:lang w:val="en-US"/>
        </w:rPr>
      </w:pPr>
    </w:p>
    <w:p w14:paraId="69C38428" w14:textId="77777777" w:rsidR="00665D51" w:rsidRDefault="00665D51" w:rsidP="00846CE8">
      <w:pPr>
        <w:rPr>
          <w:b/>
          <w:bCs/>
          <w:lang w:val="en-US"/>
        </w:rPr>
      </w:pPr>
    </w:p>
    <w:p w14:paraId="1E363073" w14:textId="77777777" w:rsidR="00665D51" w:rsidRDefault="00665D51" w:rsidP="00846CE8">
      <w:pPr>
        <w:rPr>
          <w:b/>
          <w:bCs/>
          <w:lang w:val="en-US"/>
        </w:rPr>
      </w:pPr>
    </w:p>
    <w:p w14:paraId="73EFC9CE" w14:textId="77777777" w:rsidR="00665D51" w:rsidRDefault="00665D51" w:rsidP="00846CE8">
      <w:pPr>
        <w:rPr>
          <w:b/>
          <w:bCs/>
          <w:lang w:val="en-US"/>
        </w:rPr>
      </w:pPr>
    </w:p>
    <w:p w14:paraId="7F1BEF7B" w14:textId="77777777" w:rsidR="00665D51" w:rsidRDefault="00665D51" w:rsidP="00846CE8">
      <w:pPr>
        <w:rPr>
          <w:b/>
          <w:bCs/>
          <w:lang w:val="en-US"/>
        </w:rPr>
      </w:pPr>
    </w:p>
    <w:p w14:paraId="5ED381D3" w14:textId="77777777" w:rsidR="00665D51" w:rsidRDefault="00665D51" w:rsidP="00846CE8">
      <w:pPr>
        <w:rPr>
          <w:b/>
          <w:bCs/>
          <w:lang w:val="en-US"/>
        </w:rPr>
      </w:pPr>
    </w:p>
    <w:p w14:paraId="7249DC0E" w14:textId="77777777" w:rsidR="00665D51" w:rsidRDefault="00665D51" w:rsidP="00846CE8">
      <w:pPr>
        <w:rPr>
          <w:b/>
          <w:bCs/>
          <w:lang w:val="en-US"/>
        </w:rPr>
      </w:pPr>
    </w:p>
    <w:p w14:paraId="1599AF49" w14:textId="77777777" w:rsidR="00665D51" w:rsidRDefault="00665D51" w:rsidP="00846CE8">
      <w:pPr>
        <w:rPr>
          <w:b/>
          <w:bCs/>
          <w:lang w:val="en-US"/>
        </w:rPr>
      </w:pPr>
    </w:p>
    <w:p w14:paraId="7528A028" w14:textId="77777777" w:rsidR="00665D51" w:rsidRDefault="00665D51" w:rsidP="00846CE8">
      <w:pPr>
        <w:rPr>
          <w:b/>
          <w:bCs/>
          <w:lang w:val="en-US"/>
        </w:rPr>
      </w:pPr>
    </w:p>
    <w:p w14:paraId="19C0F266" w14:textId="77777777" w:rsidR="00665D51" w:rsidRDefault="00665D51" w:rsidP="00846CE8">
      <w:pPr>
        <w:rPr>
          <w:b/>
          <w:bCs/>
          <w:lang w:val="en-US"/>
        </w:rPr>
      </w:pPr>
    </w:p>
    <w:p w14:paraId="58093C7A" w14:textId="77777777" w:rsidR="00665D51" w:rsidRDefault="00665D51" w:rsidP="00846CE8">
      <w:pPr>
        <w:rPr>
          <w:b/>
          <w:bCs/>
          <w:lang w:val="en-US"/>
        </w:rPr>
      </w:pPr>
    </w:p>
    <w:p w14:paraId="4C5BA5A4" w14:textId="77777777" w:rsidR="00665D51" w:rsidRDefault="00665D51" w:rsidP="00846CE8">
      <w:pPr>
        <w:rPr>
          <w:b/>
          <w:bCs/>
          <w:lang w:val="en-US"/>
        </w:rPr>
      </w:pPr>
    </w:p>
    <w:p w14:paraId="3BAF174E" w14:textId="77777777" w:rsidR="00665D51" w:rsidRDefault="00665D51" w:rsidP="00846CE8">
      <w:pPr>
        <w:rPr>
          <w:b/>
          <w:bCs/>
          <w:lang w:val="en-US"/>
        </w:rPr>
      </w:pPr>
    </w:p>
    <w:p w14:paraId="605847BE" w14:textId="77777777" w:rsidR="00665D51" w:rsidRDefault="00665D51" w:rsidP="00846CE8">
      <w:pPr>
        <w:rPr>
          <w:b/>
          <w:bCs/>
          <w:lang w:val="en-US"/>
        </w:rPr>
      </w:pPr>
    </w:p>
    <w:p w14:paraId="696492EF" w14:textId="77777777" w:rsidR="00665D51" w:rsidRDefault="00665D51" w:rsidP="00846CE8">
      <w:pPr>
        <w:rPr>
          <w:b/>
          <w:bCs/>
          <w:lang w:val="en-US"/>
        </w:rPr>
      </w:pPr>
    </w:p>
    <w:p w14:paraId="25269488" w14:textId="77777777" w:rsidR="00665D51" w:rsidRDefault="00665D51" w:rsidP="00846CE8">
      <w:pPr>
        <w:rPr>
          <w:b/>
          <w:bCs/>
          <w:lang w:val="en-US"/>
        </w:rPr>
      </w:pPr>
    </w:p>
    <w:p w14:paraId="756DBD18" w14:textId="77777777" w:rsidR="00665D51" w:rsidRDefault="00665D51" w:rsidP="00846CE8">
      <w:pPr>
        <w:rPr>
          <w:b/>
          <w:bCs/>
          <w:lang w:val="en-US"/>
        </w:rPr>
      </w:pPr>
    </w:p>
    <w:p w14:paraId="1ED36B01" w14:textId="4D7EB55B" w:rsidR="00665D51" w:rsidRDefault="00AA3F3D" w:rsidP="00846CE8">
      <w:pPr>
        <w:rPr>
          <w:b/>
          <w:bCs/>
          <w:lang w:val="en-US"/>
        </w:rPr>
      </w:pPr>
      <w:r w:rsidRPr="00312483">
        <w:rPr>
          <w:lang w:val="en-US"/>
        </w:rPr>
        <w:lastRenderedPageBreak/>
        <w:t>Supplementary</w:t>
      </w:r>
      <w:r>
        <w:rPr>
          <w:lang w:val="en-US"/>
        </w:rPr>
        <w:t xml:space="preserve"> </w:t>
      </w:r>
      <w:r w:rsidRPr="00E91723">
        <w:rPr>
          <w:lang w:val="en-US"/>
        </w:rPr>
        <w:t xml:space="preserve">Table </w:t>
      </w:r>
      <w:r>
        <w:rPr>
          <w:lang w:val="en-US"/>
        </w:rPr>
        <w:t>2</w:t>
      </w:r>
      <w:r>
        <w:rPr>
          <w:lang w:val="en-US"/>
        </w:rPr>
        <w:t xml:space="preserve">: </w:t>
      </w:r>
      <w:r w:rsidRPr="00AA3F3D">
        <w:rPr>
          <w:lang w:val="en-US"/>
        </w:rPr>
        <w:t xml:space="preserve">Predictive </w:t>
      </w:r>
      <w:r>
        <w:rPr>
          <w:lang w:val="en-US"/>
        </w:rPr>
        <w:t>p</w:t>
      </w:r>
      <w:r w:rsidRPr="00AA3F3D">
        <w:rPr>
          <w:lang w:val="en-US"/>
        </w:rPr>
        <w:t xml:space="preserve">erformance of SII for </w:t>
      </w:r>
      <w:r>
        <w:rPr>
          <w:lang w:val="en-US"/>
        </w:rPr>
        <w:t>a</w:t>
      </w:r>
      <w:r w:rsidRPr="00AA3F3D">
        <w:rPr>
          <w:lang w:val="en-US"/>
        </w:rPr>
        <w:t>ll-</w:t>
      </w:r>
      <w:r>
        <w:rPr>
          <w:lang w:val="en-US"/>
        </w:rPr>
        <w:t>c</w:t>
      </w:r>
      <w:r w:rsidRPr="00AA3F3D">
        <w:rPr>
          <w:lang w:val="en-US"/>
        </w:rPr>
        <w:t xml:space="preserve">ause </w:t>
      </w:r>
      <w:r>
        <w:rPr>
          <w:lang w:val="en-US"/>
        </w:rPr>
        <w:t>m</w:t>
      </w:r>
      <w:r w:rsidRPr="00AA3F3D">
        <w:rPr>
          <w:lang w:val="en-US"/>
        </w:rPr>
        <w:t xml:space="preserve">ortality by </w:t>
      </w:r>
      <w:r>
        <w:rPr>
          <w:lang w:val="en-US"/>
        </w:rPr>
        <w:t>d</w:t>
      </w:r>
      <w:r w:rsidRPr="00AA3F3D">
        <w:rPr>
          <w:lang w:val="en-US"/>
        </w:rPr>
        <w:t xml:space="preserve">iabetes </w:t>
      </w:r>
      <w:r>
        <w:rPr>
          <w:lang w:val="en-US"/>
        </w:rPr>
        <w:t>s</w:t>
      </w:r>
      <w:r w:rsidRPr="00AA3F3D">
        <w:rPr>
          <w:lang w:val="en-US"/>
        </w:rPr>
        <w:t xml:space="preserve">tatus and </w:t>
      </w:r>
      <w:r w:rsidR="000C5A03">
        <w:rPr>
          <w:lang w:val="en-US"/>
        </w:rPr>
        <w:t>gender</w:t>
      </w:r>
      <w:r>
        <w:rPr>
          <w:lang w:val="en-US"/>
        </w:rPr>
        <w:t xml:space="preserve"> </w:t>
      </w:r>
    </w:p>
    <w:p w14:paraId="131175F1" w14:textId="77777777" w:rsidR="00665D51" w:rsidRDefault="00665D51" w:rsidP="00846CE8">
      <w:pPr>
        <w:rPr>
          <w:b/>
          <w:bCs/>
          <w:lang w:val="en-US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851"/>
        <w:gridCol w:w="1417"/>
      </w:tblGrid>
      <w:tr w:rsidR="00AA3F3D" w:rsidRPr="00AA3F3D" w14:paraId="1660F50D" w14:textId="77777777" w:rsidTr="00AA3F3D">
        <w:trPr>
          <w:trHeight w:val="523"/>
          <w:tblHeader/>
          <w:tblCellSpacing w:w="15" w:type="dxa"/>
        </w:trPr>
        <w:tc>
          <w:tcPr>
            <w:tcW w:w="2268" w:type="dxa"/>
            <w:vAlign w:val="center"/>
            <w:hideMark/>
          </w:tcPr>
          <w:p w14:paraId="3B7FF10B" w14:textId="3BE9592F" w:rsidR="00AA3F3D" w:rsidRPr="00AA3F3D" w:rsidRDefault="00AA3F3D" w:rsidP="00AA3F3D">
            <w:pPr>
              <w:rPr>
                <w:b/>
                <w:bCs/>
              </w:rPr>
            </w:pPr>
            <w:r w:rsidRPr="00AA3F3D">
              <w:rPr>
                <w:b/>
                <w:bCs/>
              </w:rPr>
              <w:t>Subgroup</w:t>
            </w:r>
          </w:p>
        </w:tc>
        <w:tc>
          <w:tcPr>
            <w:tcW w:w="821" w:type="dxa"/>
            <w:vAlign w:val="center"/>
            <w:hideMark/>
          </w:tcPr>
          <w:p w14:paraId="364F0066" w14:textId="77777777" w:rsidR="00AA3F3D" w:rsidRPr="00AA3F3D" w:rsidRDefault="00AA3F3D" w:rsidP="00AA3F3D">
            <w:pPr>
              <w:rPr>
                <w:b/>
                <w:bCs/>
              </w:rPr>
            </w:pPr>
            <w:r w:rsidRPr="00AA3F3D">
              <w:rPr>
                <w:b/>
                <w:bCs/>
              </w:rPr>
              <w:t>AUC</w:t>
            </w:r>
          </w:p>
        </w:tc>
        <w:tc>
          <w:tcPr>
            <w:tcW w:w="1372" w:type="dxa"/>
            <w:vAlign w:val="center"/>
            <w:hideMark/>
          </w:tcPr>
          <w:p w14:paraId="0FCF14E3" w14:textId="77777777" w:rsidR="00AA3F3D" w:rsidRPr="00AA3F3D" w:rsidRDefault="00AA3F3D" w:rsidP="00AA3F3D">
            <w:pPr>
              <w:rPr>
                <w:b/>
                <w:bCs/>
              </w:rPr>
            </w:pPr>
            <w:r w:rsidRPr="00AA3F3D">
              <w:rPr>
                <w:b/>
                <w:bCs/>
              </w:rPr>
              <w:t>95% CI</w:t>
            </w:r>
          </w:p>
        </w:tc>
      </w:tr>
      <w:tr w:rsidR="00AA3F3D" w:rsidRPr="00AA3F3D" w14:paraId="17B28F82" w14:textId="77777777" w:rsidTr="00AA3F3D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20A5AA1F" w14:textId="77777777" w:rsidR="00AA3F3D" w:rsidRPr="00AA3F3D" w:rsidRDefault="00AA3F3D" w:rsidP="00AA3F3D">
            <w:r w:rsidRPr="00AA3F3D">
              <w:rPr>
                <w:b/>
                <w:bCs/>
              </w:rPr>
              <w:t>Total population</w:t>
            </w:r>
          </w:p>
        </w:tc>
        <w:tc>
          <w:tcPr>
            <w:tcW w:w="821" w:type="dxa"/>
            <w:vAlign w:val="center"/>
            <w:hideMark/>
          </w:tcPr>
          <w:p w14:paraId="0E7C3C29" w14:textId="77777777" w:rsidR="00AA3F3D" w:rsidRPr="00AA3F3D" w:rsidRDefault="00AA3F3D" w:rsidP="00AA3F3D"/>
        </w:tc>
        <w:tc>
          <w:tcPr>
            <w:tcW w:w="1372" w:type="dxa"/>
            <w:vAlign w:val="center"/>
            <w:hideMark/>
          </w:tcPr>
          <w:p w14:paraId="4F1C9CA7" w14:textId="77777777" w:rsidR="00AA3F3D" w:rsidRPr="00AA3F3D" w:rsidRDefault="00AA3F3D" w:rsidP="00AA3F3D"/>
        </w:tc>
      </w:tr>
      <w:tr w:rsidR="00AA3F3D" w:rsidRPr="00AA3F3D" w14:paraId="5A02F997" w14:textId="77777777" w:rsidTr="00AA3F3D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383823BA" w14:textId="3A93474C" w:rsidR="00AA3F3D" w:rsidRPr="00AA3F3D" w:rsidRDefault="00AA3F3D" w:rsidP="00AA3F3D">
            <w:r w:rsidRPr="00AA3F3D">
              <w:t xml:space="preserve">With </w:t>
            </w:r>
            <w:r w:rsidR="00542DAB">
              <w:rPr>
                <w:lang w:val="en-US"/>
              </w:rPr>
              <w:t>DM</w:t>
            </w:r>
          </w:p>
        </w:tc>
        <w:tc>
          <w:tcPr>
            <w:tcW w:w="821" w:type="dxa"/>
            <w:vAlign w:val="center"/>
            <w:hideMark/>
          </w:tcPr>
          <w:p w14:paraId="5CBF6492" w14:textId="77777777" w:rsidR="00AA3F3D" w:rsidRPr="00AA3F3D" w:rsidRDefault="00AA3F3D" w:rsidP="00AA3F3D">
            <w:r w:rsidRPr="00AA3F3D">
              <w:t>0.68</w:t>
            </w:r>
          </w:p>
        </w:tc>
        <w:tc>
          <w:tcPr>
            <w:tcW w:w="1372" w:type="dxa"/>
            <w:vAlign w:val="center"/>
            <w:hideMark/>
          </w:tcPr>
          <w:p w14:paraId="35821240" w14:textId="77777777" w:rsidR="00AA3F3D" w:rsidRPr="00AA3F3D" w:rsidRDefault="00AA3F3D" w:rsidP="00AA3F3D">
            <w:r w:rsidRPr="00AA3F3D">
              <w:t>0.60–0.76</w:t>
            </w:r>
          </w:p>
        </w:tc>
      </w:tr>
      <w:tr w:rsidR="00AA3F3D" w:rsidRPr="00AA3F3D" w14:paraId="6198BA18" w14:textId="77777777" w:rsidTr="00AA3F3D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3F2DF59D" w14:textId="45C2A276" w:rsidR="00AA3F3D" w:rsidRPr="00AA3F3D" w:rsidRDefault="00AA3F3D" w:rsidP="00AA3F3D">
            <w:pPr>
              <w:rPr>
                <w:lang w:val="en-US"/>
              </w:rPr>
            </w:pPr>
            <w:r w:rsidRPr="00AA3F3D">
              <w:t xml:space="preserve">Without </w:t>
            </w:r>
            <w:r w:rsidR="00542DAB">
              <w:rPr>
                <w:lang w:val="en-US"/>
              </w:rPr>
              <w:t>DM</w:t>
            </w:r>
          </w:p>
        </w:tc>
        <w:tc>
          <w:tcPr>
            <w:tcW w:w="821" w:type="dxa"/>
            <w:vAlign w:val="center"/>
            <w:hideMark/>
          </w:tcPr>
          <w:p w14:paraId="6134671E" w14:textId="77777777" w:rsidR="00AA3F3D" w:rsidRPr="00AA3F3D" w:rsidRDefault="00AA3F3D" w:rsidP="00AA3F3D">
            <w:r w:rsidRPr="00AA3F3D">
              <w:t>0.57</w:t>
            </w:r>
          </w:p>
        </w:tc>
        <w:tc>
          <w:tcPr>
            <w:tcW w:w="1372" w:type="dxa"/>
            <w:vAlign w:val="center"/>
            <w:hideMark/>
          </w:tcPr>
          <w:p w14:paraId="3264D6FF" w14:textId="77777777" w:rsidR="00AA3F3D" w:rsidRPr="00AA3F3D" w:rsidRDefault="00AA3F3D" w:rsidP="00AA3F3D">
            <w:r w:rsidRPr="00AA3F3D">
              <w:t>0.50–0.64</w:t>
            </w:r>
          </w:p>
        </w:tc>
      </w:tr>
      <w:tr w:rsidR="00AA3F3D" w:rsidRPr="00AA3F3D" w14:paraId="3A8321EF" w14:textId="77777777" w:rsidTr="00AA3F3D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3B28132B" w14:textId="77777777" w:rsidR="00AA3F3D" w:rsidRPr="00AA3F3D" w:rsidRDefault="00AA3F3D" w:rsidP="00AA3F3D">
            <w:r w:rsidRPr="00AA3F3D">
              <w:rPr>
                <w:b/>
                <w:bCs/>
              </w:rPr>
              <w:t>Women</w:t>
            </w:r>
          </w:p>
        </w:tc>
        <w:tc>
          <w:tcPr>
            <w:tcW w:w="821" w:type="dxa"/>
            <w:vAlign w:val="center"/>
            <w:hideMark/>
          </w:tcPr>
          <w:p w14:paraId="0B743A68" w14:textId="77777777" w:rsidR="00AA3F3D" w:rsidRPr="00AA3F3D" w:rsidRDefault="00AA3F3D" w:rsidP="00AA3F3D"/>
        </w:tc>
        <w:tc>
          <w:tcPr>
            <w:tcW w:w="1372" w:type="dxa"/>
            <w:vAlign w:val="center"/>
            <w:hideMark/>
          </w:tcPr>
          <w:p w14:paraId="04F15CD6" w14:textId="77777777" w:rsidR="00AA3F3D" w:rsidRPr="00AA3F3D" w:rsidRDefault="00AA3F3D" w:rsidP="00AA3F3D"/>
        </w:tc>
      </w:tr>
      <w:tr w:rsidR="00AA3F3D" w:rsidRPr="00AA3F3D" w14:paraId="69116624" w14:textId="77777777" w:rsidTr="00AA3F3D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53B99D66" w14:textId="52638C50" w:rsidR="00AA3F3D" w:rsidRPr="00AA3F3D" w:rsidRDefault="00AA3F3D" w:rsidP="00AA3F3D">
            <w:pPr>
              <w:rPr>
                <w:lang w:val="en-US"/>
              </w:rPr>
            </w:pPr>
            <w:r w:rsidRPr="00AA3F3D">
              <w:t xml:space="preserve">With </w:t>
            </w:r>
            <w:r w:rsidR="00542DAB">
              <w:rPr>
                <w:lang w:val="en-US"/>
              </w:rPr>
              <w:t>DM</w:t>
            </w:r>
          </w:p>
        </w:tc>
        <w:tc>
          <w:tcPr>
            <w:tcW w:w="821" w:type="dxa"/>
            <w:vAlign w:val="center"/>
            <w:hideMark/>
          </w:tcPr>
          <w:p w14:paraId="12D82826" w14:textId="77777777" w:rsidR="00AA3F3D" w:rsidRPr="00AA3F3D" w:rsidRDefault="00AA3F3D" w:rsidP="00AA3F3D">
            <w:r w:rsidRPr="00AA3F3D">
              <w:t>0.65</w:t>
            </w:r>
          </w:p>
        </w:tc>
        <w:tc>
          <w:tcPr>
            <w:tcW w:w="1372" w:type="dxa"/>
            <w:vAlign w:val="center"/>
            <w:hideMark/>
          </w:tcPr>
          <w:p w14:paraId="09890855" w14:textId="77777777" w:rsidR="00AA3F3D" w:rsidRPr="00AA3F3D" w:rsidRDefault="00AA3F3D" w:rsidP="00AA3F3D">
            <w:r w:rsidRPr="00AA3F3D">
              <w:t>0.51–0.79</w:t>
            </w:r>
          </w:p>
        </w:tc>
      </w:tr>
      <w:tr w:rsidR="00AA3F3D" w:rsidRPr="00AA3F3D" w14:paraId="6684D9E2" w14:textId="77777777" w:rsidTr="00AA3F3D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5B8854EF" w14:textId="404DA2B0" w:rsidR="00AA3F3D" w:rsidRPr="00AA3F3D" w:rsidRDefault="00AA3F3D" w:rsidP="00AA3F3D">
            <w:pPr>
              <w:rPr>
                <w:lang w:val="en-US"/>
              </w:rPr>
            </w:pPr>
            <w:r w:rsidRPr="00AA3F3D">
              <w:t xml:space="preserve">Without </w:t>
            </w:r>
            <w:r w:rsidR="00542DAB">
              <w:rPr>
                <w:lang w:val="en-US"/>
              </w:rPr>
              <w:t>DM</w:t>
            </w:r>
          </w:p>
        </w:tc>
        <w:tc>
          <w:tcPr>
            <w:tcW w:w="821" w:type="dxa"/>
            <w:vAlign w:val="center"/>
            <w:hideMark/>
          </w:tcPr>
          <w:p w14:paraId="182F3735" w14:textId="77777777" w:rsidR="00AA3F3D" w:rsidRPr="00AA3F3D" w:rsidRDefault="00AA3F3D" w:rsidP="00AA3F3D">
            <w:r w:rsidRPr="00AA3F3D">
              <w:t>0.72</w:t>
            </w:r>
          </w:p>
        </w:tc>
        <w:tc>
          <w:tcPr>
            <w:tcW w:w="1372" w:type="dxa"/>
            <w:vAlign w:val="center"/>
            <w:hideMark/>
          </w:tcPr>
          <w:p w14:paraId="6665B2AF" w14:textId="77777777" w:rsidR="00AA3F3D" w:rsidRPr="00AA3F3D" w:rsidRDefault="00AA3F3D" w:rsidP="00AA3F3D">
            <w:r w:rsidRPr="00AA3F3D">
              <w:t>0.60–0.84</w:t>
            </w:r>
          </w:p>
        </w:tc>
      </w:tr>
      <w:tr w:rsidR="00AA3F3D" w:rsidRPr="00AA3F3D" w14:paraId="63E84874" w14:textId="77777777" w:rsidTr="00AA3F3D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11A7AC0A" w14:textId="77777777" w:rsidR="00AA3F3D" w:rsidRPr="00AA3F3D" w:rsidRDefault="00AA3F3D" w:rsidP="00AA3F3D">
            <w:r w:rsidRPr="00AA3F3D">
              <w:rPr>
                <w:b/>
                <w:bCs/>
              </w:rPr>
              <w:t>Men</w:t>
            </w:r>
          </w:p>
        </w:tc>
        <w:tc>
          <w:tcPr>
            <w:tcW w:w="821" w:type="dxa"/>
            <w:vAlign w:val="center"/>
            <w:hideMark/>
          </w:tcPr>
          <w:p w14:paraId="687FB58D" w14:textId="77777777" w:rsidR="00AA3F3D" w:rsidRPr="00AA3F3D" w:rsidRDefault="00AA3F3D" w:rsidP="00AA3F3D"/>
        </w:tc>
        <w:tc>
          <w:tcPr>
            <w:tcW w:w="1372" w:type="dxa"/>
            <w:vAlign w:val="center"/>
            <w:hideMark/>
          </w:tcPr>
          <w:p w14:paraId="0664CBBA" w14:textId="77777777" w:rsidR="00AA3F3D" w:rsidRPr="00AA3F3D" w:rsidRDefault="00AA3F3D" w:rsidP="00AA3F3D"/>
        </w:tc>
      </w:tr>
      <w:tr w:rsidR="00AA3F3D" w:rsidRPr="00AA3F3D" w14:paraId="41166F43" w14:textId="77777777" w:rsidTr="00AA3F3D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61307895" w14:textId="109E367F" w:rsidR="00AA3F3D" w:rsidRPr="00AA3F3D" w:rsidRDefault="00AA3F3D" w:rsidP="00AA3F3D">
            <w:pPr>
              <w:rPr>
                <w:lang w:val="en-US"/>
              </w:rPr>
            </w:pPr>
            <w:r w:rsidRPr="00AA3F3D">
              <w:t xml:space="preserve">With </w:t>
            </w:r>
            <w:r w:rsidR="00542DAB">
              <w:rPr>
                <w:lang w:val="en-US"/>
              </w:rPr>
              <w:t>DM</w:t>
            </w:r>
          </w:p>
        </w:tc>
        <w:tc>
          <w:tcPr>
            <w:tcW w:w="821" w:type="dxa"/>
            <w:vAlign w:val="center"/>
            <w:hideMark/>
          </w:tcPr>
          <w:p w14:paraId="1B8EE24B" w14:textId="77777777" w:rsidR="00AA3F3D" w:rsidRPr="00AA3F3D" w:rsidRDefault="00AA3F3D" w:rsidP="00AA3F3D">
            <w:r w:rsidRPr="00AA3F3D">
              <w:t>0.69</w:t>
            </w:r>
          </w:p>
        </w:tc>
        <w:tc>
          <w:tcPr>
            <w:tcW w:w="1372" w:type="dxa"/>
            <w:vAlign w:val="center"/>
            <w:hideMark/>
          </w:tcPr>
          <w:p w14:paraId="538C1BE1" w14:textId="77777777" w:rsidR="00AA3F3D" w:rsidRPr="00AA3F3D" w:rsidRDefault="00AA3F3D" w:rsidP="00AA3F3D">
            <w:r w:rsidRPr="00AA3F3D">
              <w:t>0.59–0.79</w:t>
            </w:r>
          </w:p>
        </w:tc>
      </w:tr>
      <w:tr w:rsidR="00AA3F3D" w:rsidRPr="00AA3F3D" w14:paraId="141997DA" w14:textId="77777777" w:rsidTr="00AA3F3D">
        <w:trPr>
          <w:tblCellSpacing w:w="15" w:type="dxa"/>
        </w:trPr>
        <w:tc>
          <w:tcPr>
            <w:tcW w:w="2268" w:type="dxa"/>
            <w:vAlign w:val="center"/>
            <w:hideMark/>
          </w:tcPr>
          <w:p w14:paraId="14B74618" w14:textId="7ACD0235" w:rsidR="00AA3F3D" w:rsidRPr="00AA3F3D" w:rsidRDefault="00AA3F3D" w:rsidP="00AA3F3D">
            <w:pPr>
              <w:rPr>
                <w:lang w:val="en-US"/>
              </w:rPr>
            </w:pPr>
            <w:r w:rsidRPr="00AA3F3D">
              <w:t xml:space="preserve">Without </w:t>
            </w:r>
            <w:r w:rsidR="00542DAB">
              <w:rPr>
                <w:lang w:val="en-US"/>
              </w:rPr>
              <w:t>DM</w:t>
            </w:r>
          </w:p>
        </w:tc>
        <w:tc>
          <w:tcPr>
            <w:tcW w:w="821" w:type="dxa"/>
            <w:vAlign w:val="center"/>
            <w:hideMark/>
          </w:tcPr>
          <w:p w14:paraId="5608B7A5" w14:textId="77777777" w:rsidR="00AA3F3D" w:rsidRPr="00AA3F3D" w:rsidRDefault="00AA3F3D" w:rsidP="00AA3F3D">
            <w:r w:rsidRPr="00AA3F3D">
              <w:t>0.52</w:t>
            </w:r>
          </w:p>
        </w:tc>
        <w:tc>
          <w:tcPr>
            <w:tcW w:w="1372" w:type="dxa"/>
            <w:vAlign w:val="center"/>
            <w:hideMark/>
          </w:tcPr>
          <w:p w14:paraId="277A263C" w14:textId="77777777" w:rsidR="00AA3F3D" w:rsidRPr="00AA3F3D" w:rsidRDefault="00AA3F3D" w:rsidP="00AA3F3D">
            <w:r w:rsidRPr="00AA3F3D">
              <w:t>0.44–0.66</w:t>
            </w:r>
          </w:p>
        </w:tc>
      </w:tr>
    </w:tbl>
    <w:p w14:paraId="0BC8CE2E" w14:textId="77777777" w:rsidR="00AA3F3D" w:rsidRDefault="00AA3F3D" w:rsidP="00846CE8">
      <w:pPr>
        <w:rPr>
          <w:lang w:val="en-US"/>
        </w:rPr>
      </w:pPr>
    </w:p>
    <w:p w14:paraId="0F98758C" w14:textId="77777777" w:rsidR="00AA3F3D" w:rsidRDefault="00AA3F3D" w:rsidP="00846CE8">
      <w:pPr>
        <w:rPr>
          <w:lang w:val="en-US"/>
        </w:rPr>
      </w:pPr>
    </w:p>
    <w:p w14:paraId="10D10A4D" w14:textId="77777777" w:rsidR="00AA3F3D" w:rsidRDefault="00AA3F3D" w:rsidP="00846CE8">
      <w:pPr>
        <w:rPr>
          <w:lang w:val="en-US"/>
        </w:rPr>
      </w:pPr>
    </w:p>
    <w:p w14:paraId="0CB916B7" w14:textId="77777777" w:rsidR="00AA3F3D" w:rsidRDefault="00AA3F3D" w:rsidP="00846CE8">
      <w:pPr>
        <w:rPr>
          <w:lang w:val="en-US"/>
        </w:rPr>
      </w:pPr>
    </w:p>
    <w:p w14:paraId="7D72C931" w14:textId="77777777" w:rsidR="00AA3F3D" w:rsidRDefault="00AA3F3D" w:rsidP="00846CE8">
      <w:pPr>
        <w:rPr>
          <w:lang w:val="en-US"/>
        </w:rPr>
      </w:pPr>
    </w:p>
    <w:p w14:paraId="2D1F4901" w14:textId="77777777" w:rsidR="00AA3F3D" w:rsidRDefault="00AA3F3D" w:rsidP="00846CE8">
      <w:pPr>
        <w:rPr>
          <w:lang w:val="en-US"/>
        </w:rPr>
      </w:pPr>
    </w:p>
    <w:p w14:paraId="56073E51" w14:textId="77777777" w:rsidR="00AA3F3D" w:rsidRDefault="00AA3F3D" w:rsidP="00846CE8">
      <w:pPr>
        <w:rPr>
          <w:lang w:val="en-US"/>
        </w:rPr>
      </w:pPr>
    </w:p>
    <w:p w14:paraId="51FA592C" w14:textId="77777777" w:rsidR="00AA3F3D" w:rsidRDefault="00AA3F3D" w:rsidP="00846CE8">
      <w:pPr>
        <w:rPr>
          <w:lang w:val="en-US"/>
        </w:rPr>
      </w:pPr>
    </w:p>
    <w:p w14:paraId="6DABCE49" w14:textId="77777777" w:rsidR="00AA3F3D" w:rsidRDefault="00AA3F3D" w:rsidP="00846CE8">
      <w:pPr>
        <w:rPr>
          <w:lang w:val="en-US"/>
        </w:rPr>
      </w:pPr>
    </w:p>
    <w:p w14:paraId="238CCEF1" w14:textId="77777777" w:rsidR="00AA3F3D" w:rsidRDefault="00AA3F3D" w:rsidP="00846CE8">
      <w:pPr>
        <w:rPr>
          <w:lang w:val="en-US"/>
        </w:rPr>
      </w:pPr>
    </w:p>
    <w:p w14:paraId="4CF1AC81" w14:textId="77777777" w:rsidR="00AA3F3D" w:rsidRDefault="00AA3F3D" w:rsidP="00846CE8">
      <w:pPr>
        <w:rPr>
          <w:lang w:val="en-US"/>
        </w:rPr>
      </w:pPr>
    </w:p>
    <w:p w14:paraId="673783C0" w14:textId="77777777" w:rsidR="00AA3F3D" w:rsidRDefault="00AA3F3D" w:rsidP="00846CE8">
      <w:pPr>
        <w:rPr>
          <w:lang w:val="en-US"/>
        </w:rPr>
      </w:pPr>
    </w:p>
    <w:p w14:paraId="6BA47F74" w14:textId="77777777" w:rsidR="00AA3F3D" w:rsidRDefault="00AA3F3D" w:rsidP="00846CE8">
      <w:pPr>
        <w:rPr>
          <w:lang w:val="en-US"/>
        </w:rPr>
      </w:pPr>
    </w:p>
    <w:p w14:paraId="2D809F64" w14:textId="77777777" w:rsidR="00AA3F3D" w:rsidRDefault="00AA3F3D" w:rsidP="00846CE8">
      <w:pPr>
        <w:rPr>
          <w:lang w:val="en-US"/>
        </w:rPr>
      </w:pPr>
    </w:p>
    <w:p w14:paraId="64964C56" w14:textId="77777777" w:rsidR="00AA3F3D" w:rsidRDefault="00AA3F3D" w:rsidP="00846CE8">
      <w:pPr>
        <w:rPr>
          <w:lang w:val="en-US"/>
        </w:rPr>
      </w:pPr>
    </w:p>
    <w:p w14:paraId="6D414202" w14:textId="77777777" w:rsidR="00AA3F3D" w:rsidRDefault="00AA3F3D" w:rsidP="00846CE8">
      <w:pPr>
        <w:rPr>
          <w:lang w:val="en-US"/>
        </w:rPr>
      </w:pPr>
    </w:p>
    <w:p w14:paraId="1B7AB343" w14:textId="77777777" w:rsidR="00AA3F3D" w:rsidRDefault="00AA3F3D" w:rsidP="00846CE8">
      <w:pPr>
        <w:rPr>
          <w:lang w:val="en-US"/>
        </w:rPr>
      </w:pPr>
    </w:p>
    <w:p w14:paraId="0CF3E9D2" w14:textId="77777777" w:rsidR="00AA3F3D" w:rsidRDefault="00AA3F3D" w:rsidP="00846CE8">
      <w:pPr>
        <w:rPr>
          <w:lang w:val="en-US"/>
        </w:rPr>
      </w:pPr>
    </w:p>
    <w:p w14:paraId="1DE54377" w14:textId="77777777" w:rsidR="00AA3F3D" w:rsidRDefault="00AA3F3D" w:rsidP="00846CE8">
      <w:pPr>
        <w:rPr>
          <w:lang w:val="en-US"/>
        </w:rPr>
      </w:pPr>
    </w:p>
    <w:p w14:paraId="36B12B60" w14:textId="77777777" w:rsidR="00AA3F3D" w:rsidRDefault="00AA3F3D" w:rsidP="00846CE8">
      <w:pPr>
        <w:rPr>
          <w:lang w:val="en-US"/>
        </w:rPr>
      </w:pPr>
    </w:p>
    <w:p w14:paraId="4EC0F054" w14:textId="77777777" w:rsidR="00AA3F3D" w:rsidRDefault="00AA3F3D" w:rsidP="00846CE8">
      <w:pPr>
        <w:rPr>
          <w:lang w:val="en-US"/>
        </w:rPr>
      </w:pPr>
    </w:p>
    <w:p w14:paraId="11D54706" w14:textId="77777777" w:rsidR="00AA3F3D" w:rsidRDefault="00AA3F3D" w:rsidP="00846CE8">
      <w:pPr>
        <w:rPr>
          <w:lang w:val="en-US"/>
        </w:rPr>
      </w:pPr>
    </w:p>
    <w:p w14:paraId="6621AADE" w14:textId="77777777" w:rsidR="00AA3F3D" w:rsidRDefault="00AA3F3D" w:rsidP="00846CE8">
      <w:pPr>
        <w:rPr>
          <w:lang w:val="en-US"/>
        </w:rPr>
      </w:pPr>
    </w:p>
    <w:p w14:paraId="3974F156" w14:textId="77777777" w:rsidR="00AA3F3D" w:rsidRDefault="00AA3F3D" w:rsidP="00846CE8">
      <w:pPr>
        <w:rPr>
          <w:lang w:val="en-US"/>
        </w:rPr>
      </w:pPr>
    </w:p>
    <w:p w14:paraId="038703B9" w14:textId="77777777" w:rsidR="00AA3F3D" w:rsidRDefault="00AA3F3D" w:rsidP="00846CE8">
      <w:pPr>
        <w:rPr>
          <w:lang w:val="en-US"/>
        </w:rPr>
      </w:pPr>
    </w:p>
    <w:p w14:paraId="295E5381" w14:textId="77777777" w:rsidR="00AA3F3D" w:rsidRDefault="00AA3F3D" w:rsidP="00846CE8">
      <w:pPr>
        <w:rPr>
          <w:lang w:val="en-US"/>
        </w:rPr>
      </w:pPr>
    </w:p>
    <w:p w14:paraId="46873D22" w14:textId="77777777" w:rsidR="00AA3F3D" w:rsidRDefault="00AA3F3D" w:rsidP="00846CE8">
      <w:pPr>
        <w:rPr>
          <w:lang w:val="en-US"/>
        </w:rPr>
      </w:pPr>
    </w:p>
    <w:p w14:paraId="56B42D59" w14:textId="77777777" w:rsidR="00AA3F3D" w:rsidRDefault="00AA3F3D" w:rsidP="00846CE8">
      <w:pPr>
        <w:rPr>
          <w:lang w:val="en-US"/>
        </w:rPr>
      </w:pPr>
    </w:p>
    <w:p w14:paraId="06B6FD00" w14:textId="77777777" w:rsidR="00AA3F3D" w:rsidRDefault="00AA3F3D" w:rsidP="00846CE8">
      <w:pPr>
        <w:rPr>
          <w:lang w:val="en-US"/>
        </w:rPr>
      </w:pPr>
    </w:p>
    <w:p w14:paraId="71429752" w14:textId="77777777" w:rsidR="00AA3F3D" w:rsidRDefault="00AA3F3D" w:rsidP="00846CE8">
      <w:pPr>
        <w:rPr>
          <w:lang w:val="en-US"/>
        </w:rPr>
      </w:pPr>
    </w:p>
    <w:p w14:paraId="706F9EE2" w14:textId="77777777" w:rsidR="00AA3F3D" w:rsidRDefault="00AA3F3D" w:rsidP="00846CE8">
      <w:pPr>
        <w:rPr>
          <w:lang w:val="en-US"/>
        </w:rPr>
      </w:pPr>
    </w:p>
    <w:p w14:paraId="0205CE88" w14:textId="77777777" w:rsidR="00AA3F3D" w:rsidRDefault="00AA3F3D" w:rsidP="00846CE8">
      <w:pPr>
        <w:rPr>
          <w:lang w:val="en-US"/>
        </w:rPr>
      </w:pPr>
    </w:p>
    <w:p w14:paraId="70E3D0DE" w14:textId="77777777" w:rsidR="00AA3F3D" w:rsidRDefault="00AA3F3D" w:rsidP="00846CE8">
      <w:pPr>
        <w:rPr>
          <w:lang w:val="en-US"/>
        </w:rPr>
      </w:pPr>
    </w:p>
    <w:p w14:paraId="5B910BCE" w14:textId="77777777" w:rsidR="00AA3F3D" w:rsidRDefault="00AA3F3D" w:rsidP="00846CE8">
      <w:pPr>
        <w:rPr>
          <w:lang w:val="en-US"/>
        </w:rPr>
      </w:pPr>
    </w:p>
    <w:p w14:paraId="7F39CF9F" w14:textId="77777777" w:rsidR="00AA3F3D" w:rsidRDefault="00AA3F3D" w:rsidP="00846CE8">
      <w:pPr>
        <w:rPr>
          <w:lang w:val="en-US"/>
        </w:rPr>
      </w:pPr>
    </w:p>
    <w:p w14:paraId="6F71C233" w14:textId="77777777" w:rsidR="00AA3F3D" w:rsidRDefault="00AA3F3D" w:rsidP="00846CE8">
      <w:pPr>
        <w:rPr>
          <w:lang w:val="en-US"/>
        </w:rPr>
      </w:pPr>
    </w:p>
    <w:p w14:paraId="3B74EA4D" w14:textId="77777777" w:rsidR="00AA3F3D" w:rsidRDefault="00AA3F3D" w:rsidP="00846CE8">
      <w:pPr>
        <w:rPr>
          <w:lang w:val="en-US"/>
        </w:rPr>
      </w:pPr>
    </w:p>
    <w:p w14:paraId="25FA3D3D" w14:textId="77777777" w:rsidR="00AA3F3D" w:rsidRDefault="00AA3F3D" w:rsidP="00846CE8">
      <w:pPr>
        <w:rPr>
          <w:lang w:val="en-US"/>
        </w:rPr>
      </w:pPr>
    </w:p>
    <w:p w14:paraId="7C5F6483" w14:textId="631B8DD1" w:rsidR="002A35F7" w:rsidRDefault="00312483" w:rsidP="00846CE8">
      <w:pPr>
        <w:rPr>
          <w:b/>
          <w:bCs/>
          <w:lang w:val="en-US"/>
        </w:rPr>
      </w:pPr>
      <w:r w:rsidRPr="00312483">
        <w:rPr>
          <w:lang w:val="en-US"/>
        </w:rPr>
        <w:t>Supplementary</w:t>
      </w:r>
      <w:r>
        <w:rPr>
          <w:lang w:val="en-US"/>
        </w:rPr>
        <w:t xml:space="preserve"> </w:t>
      </w:r>
      <w:r w:rsidR="00E91723" w:rsidRPr="00E91723">
        <w:rPr>
          <w:lang w:val="en-US"/>
        </w:rPr>
        <w:t xml:space="preserve">Table </w:t>
      </w:r>
      <w:r w:rsidR="00AA3F3D">
        <w:rPr>
          <w:lang w:val="en-US"/>
        </w:rPr>
        <w:t>3</w:t>
      </w:r>
      <w:r w:rsidR="00E91723" w:rsidRPr="00E91723">
        <w:rPr>
          <w:lang w:val="en-US"/>
        </w:rPr>
        <w:t>:</w:t>
      </w:r>
      <w:r w:rsidR="00E91723">
        <w:rPr>
          <w:b/>
          <w:bCs/>
          <w:lang w:val="en-US"/>
        </w:rPr>
        <w:t xml:space="preserve"> </w:t>
      </w:r>
      <w:r w:rsidR="002A35F7" w:rsidRPr="00E91723">
        <w:rPr>
          <w:lang w:val="en-US"/>
        </w:rPr>
        <w:t xml:space="preserve">Multivariate Cox Regression for </w:t>
      </w:r>
      <w:r w:rsidR="00BE67B4">
        <w:rPr>
          <w:lang w:val="en-US"/>
        </w:rPr>
        <w:t>p</w:t>
      </w:r>
      <w:r w:rsidR="002A35F7" w:rsidRPr="00E91723">
        <w:rPr>
          <w:lang w:val="en-US"/>
        </w:rPr>
        <w:t xml:space="preserve">redictors of </w:t>
      </w:r>
      <w:r w:rsidR="00BE67B4">
        <w:rPr>
          <w:lang w:val="en-US"/>
        </w:rPr>
        <w:t>a</w:t>
      </w:r>
      <w:r w:rsidR="002A35F7" w:rsidRPr="00E91723">
        <w:rPr>
          <w:lang w:val="en-US"/>
        </w:rPr>
        <w:t>ll-</w:t>
      </w:r>
      <w:r w:rsidR="00BE67B4">
        <w:rPr>
          <w:lang w:val="en-US"/>
        </w:rPr>
        <w:t>c</w:t>
      </w:r>
      <w:r w:rsidR="002A35F7" w:rsidRPr="00E91723">
        <w:rPr>
          <w:lang w:val="en-US"/>
        </w:rPr>
        <w:t xml:space="preserve">ause </w:t>
      </w:r>
      <w:r w:rsidR="00BE67B4">
        <w:rPr>
          <w:lang w:val="en-US"/>
        </w:rPr>
        <w:t>m</w:t>
      </w:r>
      <w:r w:rsidR="002A35F7" w:rsidRPr="00E91723">
        <w:rPr>
          <w:lang w:val="en-US"/>
        </w:rPr>
        <w:t xml:space="preserve">ortality in ACS </w:t>
      </w:r>
      <w:r w:rsidR="00BE67B4">
        <w:rPr>
          <w:lang w:val="en-US"/>
        </w:rPr>
        <w:t>p</w:t>
      </w:r>
      <w:r w:rsidR="002A35F7" w:rsidRPr="00E91723">
        <w:rPr>
          <w:lang w:val="en-US"/>
        </w:rPr>
        <w:t xml:space="preserve">atients </w:t>
      </w:r>
      <w:r w:rsidR="002A6DCA">
        <w:rPr>
          <w:lang w:val="en-US"/>
        </w:rPr>
        <w:t>-</w:t>
      </w:r>
      <w:r w:rsidR="002A35F7" w:rsidRPr="00E91723">
        <w:rPr>
          <w:lang w:val="en-US"/>
        </w:rPr>
        <w:t xml:space="preserve"> </w:t>
      </w:r>
      <w:r w:rsidR="00BE67B4">
        <w:rPr>
          <w:lang w:val="en-US"/>
        </w:rPr>
        <w:t>t</w:t>
      </w:r>
      <w:r w:rsidR="002A35F7" w:rsidRPr="00E91723">
        <w:rPr>
          <w:lang w:val="en-US"/>
        </w:rPr>
        <w:t xml:space="preserve">otal </w:t>
      </w:r>
      <w:r w:rsidR="00BE67B4">
        <w:rPr>
          <w:lang w:val="en-US"/>
        </w:rPr>
        <w:t>p</w:t>
      </w:r>
      <w:r w:rsidR="002A35F7" w:rsidRPr="00E91723">
        <w:rPr>
          <w:lang w:val="en-US"/>
        </w:rPr>
        <w:t>opulation</w:t>
      </w:r>
    </w:p>
    <w:p w14:paraId="71801160" w14:textId="77777777" w:rsidR="002A35F7" w:rsidRDefault="002A35F7" w:rsidP="00846CE8">
      <w:pPr>
        <w:rPr>
          <w:b/>
          <w:bCs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1134"/>
        <w:gridCol w:w="942"/>
        <w:gridCol w:w="752"/>
      </w:tblGrid>
      <w:tr w:rsidR="002A35F7" w:rsidRPr="002A35F7" w14:paraId="4DE142CF" w14:textId="77777777" w:rsidTr="002A35F7">
        <w:trPr>
          <w:tblHeader/>
          <w:tblCellSpacing w:w="15" w:type="dxa"/>
        </w:trPr>
        <w:tc>
          <w:tcPr>
            <w:tcW w:w="2410" w:type="dxa"/>
            <w:vAlign w:val="center"/>
            <w:hideMark/>
          </w:tcPr>
          <w:p w14:paraId="47E349F3" w14:textId="77777777" w:rsidR="002A35F7" w:rsidRPr="002A35F7" w:rsidRDefault="002A35F7" w:rsidP="002A35F7">
            <w:pPr>
              <w:rPr>
                <w:b/>
                <w:bCs/>
              </w:rPr>
            </w:pPr>
            <w:r w:rsidRPr="002A35F7">
              <w:rPr>
                <w:b/>
                <w:bCs/>
              </w:rPr>
              <w:t>Variable</w:t>
            </w:r>
          </w:p>
        </w:tc>
        <w:tc>
          <w:tcPr>
            <w:tcW w:w="1104" w:type="dxa"/>
            <w:vAlign w:val="center"/>
            <w:hideMark/>
          </w:tcPr>
          <w:p w14:paraId="7598D2A1" w14:textId="77777777" w:rsidR="002A35F7" w:rsidRPr="002A35F7" w:rsidRDefault="002A35F7" w:rsidP="002A35F7">
            <w:pPr>
              <w:rPr>
                <w:b/>
                <w:bCs/>
              </w:rPr>
            </w:pPr>
            <w:r w:rsidRPr="002A35F7">
              <w:rPr>
                <w:b/>
                <w:bCs/>
              </w:rPr>
              <w:t>Adjusted HR</w:t>
            </w:r>
          </w:p>
        </w:tc>
        <w:tc>
          <w:tcPr>
            <w:tcW w:w="912" w:type="dxa"/>
            <w:vAlign w:val="center"/>
            <w:hideMark/>
          </w:tcPr>
          <w:p w14:paraId="02D56526" w14:textId="77777777" w:rsidR="002A35F7" w:rsidRPr="002A35F7" w:rsidRDefault="002A35F7" w:rsidP="002A35F7">
            <w:pPr>
              <w:rPr>
                <w:b/>
                <w:bCs/>
              </w:rPr>
            </w:pPr>
            <w:r w:rsidRPr="002A35F7">
              <w:rPr>
                <w:b/>
                <w:bCs/>
              </w:rPr>
              <w:t>95% CI</w:t>
            </w:r>
          </w:p>
        </w:tc>
        <w:tc>
          <w:tcPr>
            <w:tcW w:w="707" w:type="dxa"/>
            <w:vAlign w:val="center"/>
            <w:hideMark/>
          </w:tcPr>
          <w:p w14:paraId="4F96239E" w14:textId="77777777" w:rsidR="002A35F7" w:rsidRPr="002A35F7" w:rsidRDefault="002A35F7" w:rsidP="002A35F7">
            <w:pPr>
              <w:rPr>
                <w:b/>
                <w:bCs/>
              </w:rPr>
            </w:pPr>
            <w:r w:rsidRPr="002A35F7">
              <w:rPr>
                <w:b/>
                <w:bCs/>
              </w:rPr>
              <w:t>p-value</w:t>
            </w:r>
          </w:p>
        </w:tc>
      </w:tr>
      <w:tr w:rsidR="002A35F7" w:rsidRPr="002A35F7" w14:paraId="5E4D970D" w14:textId="77777777" w:rsidTr="002A35F7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55CCEAF2" w14:textId="77777777" w:rsidR="002A35F7" w:rsidRPr="002A35F7" w:rsidRDefault="002A35F7" w:rsidP="002A35F7">
            <w:pPr>
              <w:rPr>
                <w:b/>
                <w:bCs/>
                <w:lang w:val="en-US"/>
              </w:rPr>
            </w:pPr>
            <w:r w:rsidRPr="002A35F7">
              <w:rPr>
                <w:b/>
                <w:bCs/>
                <w:lang w:val="en-US"/>
              </w:rPr>
              <w:t>SII Index (high vs. low)</w:t>
            </w:r>
          </w:p>
        </w:tc>
        <w:tc>
          <w:tcPr>
            <w:tcW w:w="1104" w:type="dxa"/>
            <w:vAlign w:val="center"/>
            <w:hideMark/>
          </w:tcPr>
          <w:p w14:paraId="315E2766" w14:textId="5E1E6D47" w:rsidR="002A35F7" w:rsidRPr="002A35F7" w:rsidRDefault="002A35F7" w:rsidP="002A35F7">
            <w:pPr>
              <w:rPr>
                <w:lang w:val="en-US"/>
              </w:rPr>
            </w:pPr>
            <w:r w:rsidRPr="002A35F7">
              <w:t>2.</w:t>
            </w:r>
            <w:r>
              <w:rPr>
                <w:lang w:val="en-US"/>
              </w:rPr>
              <w:t>307</w:t>
            </w:r>
          </w:p>
        </w:tc>
        <w:tc>
          <w:tcPr>
            <w:tcW w:w="912" w:type="dxa"/>
            <w:vAlign w:val="center"/>
            <w:hideMark/>
          </w:tcPr>
          <w:p w14:paraId="041A3399" w14:textId="781606DC" w:rsidR="002A35F7" w:rsidRPr="002A35F7" w:rsidRDefault="002A35F7" w:rsidP="002A35F7">
            <w:r w:rsidRPr="002A35F7">
              <w:t>1.</w:t>
            </w:r>
            <w:r>
              <w:t>59</w:t>
            </w:r>
            <w:r w:rsidRPr="002A35F7">
              <w:t>6–3.</w:t>
            </w:r>
            <w:r>
              <w:rPr>
                <w:lang w:val="en-US"/>
              </w:rPr>
              <w:t>31</w:t>
            </w:r>
            <w:r w:rsidRPr="002A35F7">
              <w:t>7</w:t>
            </w:r>
          </w:p>
        </w:tc>
        <w:tc>
          <w:tcPr>
            <w:tcW w:w="707" w:type="dxa"/>
            <w:vAlign w:val="center"/>
            <w:hideMark/>
          </w:tcPr>
          <w:p w14:paraId="7C3A2941" w14:textId="77777777" w:rsidR="002A35F7" w:rsidRPr="002A35F7" w:rsidRDefault="002A35F7" w:rsidP="002A35F7">
            <w:r w:rsidRPr="002A35F7">
              <w:t>&lt;0.001</w:t>
            </w:r>
          </w:p>
        </w:tc>
      </w:tr>
      <w:tr w:rsidR="002A35F7" w:rsidRPr="002A35F7" w14:paraId="1065D2EC" w14:textId="77777777" w:rsidTr="002A35F7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61A8B20D" w14:textId="77777777" w:rsidR="002A35F7" w:rsidRPr="002A35F7" w:rsidRDefault="002A35F7" w:rsidP="002A35F7">
            <w:pPr>
              <w:rPr>
                <w:b/>
                <w:bCs/>
              </w:rPr>
            </w:pPr>
            <w:r w:rsidRPr="002A35F7">
              <w:rPr>
                <w:b/>
                <w:bCs/>
              </w:rPr>
              <w:t>Heart failure</w:t>
            </w:r>
          </w:p>
        </w:tc>
        <w:tc>
          <w:tcPr>
            <w:tcW w:w="1104" w:type="dxa"/>
            <w:vAlign w:val="center"/>
            <w:hideMark/>
          </w:tcPr>
          <w:p w14:paraId="1FC37EE2" w14:textId="77777777" w:rsidR="002A35F7" w:rsidRPr="002A35F7" w:rsidRDefault="002A35F7" w:rsidP="002A35F7">
            <w:r w:rsidRPr="002A35F7">
              <w:t>2.079</w:t>
            </w:r>
          </w:p>
        </w:tc>
        <w:tc>
          <w:tcPr>
            <w:tcW w:w="912" w:type="dxa"/>
            <w:vAlign w:val="center"/>
            <w:hideMark/>
          </w:tcPr>
          <w:p w14:paraId="29E755A1" w14:textId="77777777" w:rsidR="002A35F7" w:rsidRPr="002A35F7" w:rsidRDefault="002A35F7" w:rsidP="002A35F7">
            <w:r w:rsidRPr="002A35F7">
              <w:t>1.006–4.300</w:t>
            </w:r>
          </w:p>
        </w:tc>
        <w:tc>
          <w:tcPr>
            <w:tcW w:w="707" w:type="dxa"/>
            <w:vAlign w:val="center"/>
            <w:hideMark/>
          </w:tcPr>
          <w:p w14:paraId="2ACCDDCD" w14:textId="77777777" w:rsidR="002A35F7" w:rsidRPr="002A35F7" w:rsidRDefault="002A35F7" w:rsidP="002A35F7">
            <w:r w:rsidRPr="002A35F7">
              <w:t>0.048</w:t>
            </w:r>
          </w:p>
        </w:tc>
      </w:tr>
      <w:tr w:rsidR="002A35F7" w:rsidRPr="002A35F7" w14:paraId="0C59788D" w14:textId="77777777" w:rsidTr="002A35F7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2D596C38" w14:textId="77777777" w:rsidR="002A35F7" w:rsidRPr="002A35F7" w:rsidRDefault="002A35F7" w:rsidP="002A35F7">
            <w:pPr>
              <w:rPr>
                <w:b/>
                <w:bCs/>
              </w:rPr>
            </w:pPr>
            <w:r w:rsidRPr="002A35F7">
              <w:rPr>
                <w:b/>
                <w:bCs/>
              </w:rPr>
              <w:t>Hypertension</w:t>
            </w:r>
          </w:p>
        </w:tc>
        <w:tc>
          <w:tcPr>
            <w:tcW w:w="1104" w:type="dxa"/>
            <w:vAlign w:val="center"/>
            <w:hideMark/>
          </w:tcPr>
          <w:p w14:paraId="5A997AEE" w14:textId="77777777" w:rsidR="002A35F7" w:rsidRPr="002A35F7" w:rsidRDefault="002A35F7" w:rsidP="002A35F7">
            <w:r w:rsidRPr="002A35F7">
              <w:t>0.833</w:t>
            </w:r>
          </w:p>
        </w:tc>
        <w:tc>
          <w:tcPr>
            <w:tcW w:w="912" w:type="dxa"/>
            <w:vAlign w:val="center"/>
            <w:hideMark/>
          </w:tcPr>
          <w:p w14:paraId="4D0DED74" w14:textId="77777777" w:rsidR="002A35F7" w:rsidRPr="002A35F7" w:rsidRDefault="002A35F7" w:rsidP="002A35F7">
            <w:r w:rsidRPr="002A35F7">
              <w:t>0.576–1.204</w:t>
            </w:r>
          </w:p>
        </w:tc>
        <w:tc>
          <w:tcPr>
            <w:tcW w:w="707" w:type="dxa"/>
            <w:vAlign w:val="center"/>
            <w:hideMark/>
          </w:tcPr>
          <w:p w14:paraId="2A5B51AF" w14:textId="77777777" w:rsidR="002A35F7" w:rsidRPr="002A35F7" w:rsidRDefault="002A35F7" w:rsidP="002A35F7">
            <w:r w:rsidRPr="002A35F7">
              <w:t>0.330</w:t>
            </w:r>
          </w:p>
        </w:tc>
      </w:tr>
      <w:tr w:rsidR="002A35F7" w:rsidRPr="002A35F7" w14:paraId="06A03E1D" w14:textId="77777777" w:rsidTr="002A35F7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5F7261C2" w14:textId="77777777" w:rsidR="002A35F7" w:rsidRPr="002A35F7" w:rsidRDefault="002A35F7" w:rsidP="002A35F7">
            <w:pPr>
              <w:rPr>
                <w:b/>
                <w:bCs/>
              </w:rPr>
            </w:pPr>
            <w:r w:rsidRPr="002A35F7">
              <w:rPr>
                <w:b/>
                <w:bCs/>
              </w:rPr>
              <w:t>Diabetes mellitus</w:t>
            </w:r>
          </w:p>
        </w:tc>
        <w:tc>
          <w:tcPr>
            <w:tcW w:w="1104" w:type="dxa"/>
            <w:vAlign w:val="center"/>
            <w:hideMark/>
          </w:tcPr>
          <w:p w14:paraId="421D3395" w14:textId="77777777" w:rsidR="002A35F7" w:rsidRPr="002A35F7" w:rsidRDefault="002A35F7" w:rsidP="002A35F7">
            <w:r w:rsidRPr="002A35F7">
              <w:t>1.264</w:t>
            </w:r>
          </w:p>
        </w:tc>
        <w:tc>
          <w:tcPr>
            <w:tcW w:w="912" w:type="dxa"/>
            <w:vAlign w:val="center"/>
            <w:hideMark/>
          </w:tcPr>
          <w:p w14:paraId="7550A861" w14:textId="77777777" w:rsidR="002A35F7" w:rsidRPr="002A35F7" w:rsidRDefault="002A35F7" w:rsidP="002A35F7">
            <w:r w:rsidRPr="002A35F7">
              <w:t>0.860–1.856</w:t>
            </w:r>
          </w:p>
        </w:tc>
        <w:tc>
          <w:tcPr>
            <w:tcW w:w="707" w:type="dxa"/>
            <w:vAlign w:val="center"/>
            <w:hideMark/>
          </w:tcPr>
          <w:p w14:paraId="3258757E" w14:textId="77777777" w:rsidR="002A35F7" w:rsidRPr="002A35F7" w:rsidRDefault="002A35F7" w:rsidP="002A35F7">
            <w:r w:rsidRPr="002A35F7">
              <w:t>0.233</w:t>
            </w:r>
          </w:p>
        </w:tc>
      </w:tr>
      <w:tr w:rsidR="002A35F7" w:rsidRPr="002A35F7" w14:paraId="63EA987B" w14:textId="77777777" w:rsidTr="002A35F7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4C7BA21F" w14:textId="77777777" w:rsidR="002A35F7" w:rsidRPr="002A35F7" w:rsidRDefault="002A35F7" w:rsidP="002A35F7">
            <w:pPr>
              <w:rPr>
                <w:b/>
                <w:bCs/>
              </w:rPr>
            </w:pPr>
            <w:r w:rsidRPr="002A35F7">
              <w:rPr>
                <w:b/>
                <w:bCs/>
              </w:rPr>
              <w:t>Dyslipidemia</w:t>
            </w:r>
          </w:p>
        </w:tc>
        <w:tc>
          <w:tcPr>
            <w:tcW w:w="1104" w:type="dxa"/>
            <w:vAlign w:val="center"/>
            <w:hideMark/>
          </w:tcPr>
          <w:p w14:paraId="3E0752F5" w14:textId="77777777" w:rsidR="002A35F7" w:rsidRPr="002A35F7" w:rsidRDefault="002A35F7" w:rsidP="002A35F7">
            <w:r w:rsidRPr="002A35F7">
              <w:t>0.815</w:t>
            </w:r>
          </w:p>
        </w:tc>
        <w:tc>
          <w:tcPr>
            <w:tcW w:w="912" w:type="dxa"/>
            <w:vAlign w:val="center"/>
            <w:hideMark/>
          </w:tcPr>
          <w:p w14:paraId="3A0656B9" w14:textId="77777777" w:rsidR="002A35F7" w:rsidRPr="002A35F7" w:rsidRDefault="002A35F7" w:rsidP="002A35F7">
            <w:r w:rsidRPr="002A35F7">
              <w:t>0.519–1.280</w:t>
            </w:r>
          </w:p>
        </w:tc>
        <w:tc>
          <w:tcPr>
            <w:tcW w:w="707" w:type="dxa"/>
            <w:vAlign w:val="center"/>
            <w:hideMark/>
          </w:tcPr>
          <w:p w14:paraId="2039C941" w14:textId="77777777" w:rsidR="002A35F7" w:rsidRPr="002A35F7" w:rsidRDefault="002A35F7" w:rsidP="002A35F7">
            <w:r w:rsidRPr="002A35F7">
              <w:t>0.374</w:t>
            </w:r>
          </w:p>
        </w:tc>
      </w:tr>
      <w:tr w:rsidR="002A35F7" w:rsidRPr="002A35F7" w14:paraId="7620225A" w14:textId="77777777" w:rsidTr="002A35F7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39E886AB" w14:textId="77777777" w:rsidR="002A35F7" w:rsidRPr="002A35F7" w:rsidRDefault="002A35F7" w:rsidP="002A35F7">
            <w:pPr>
              <w:rPr>
                <w:b/>
                <w:bCs/>
              </w:rPr>
            </w:pPr>
            <w:r w:rsidRPr="002A35F7">
              <w:rPr>
                <w:b/>
                <w:bCs/>
              </w:rPr>
              <w:t>Family history of CAD</w:t>
            </w:r>
          </w:p>
        </w:tc>
        <w:tc>
          <w:tcPr>
            <w:tcW w:w="1104" w:type="dxa"/>
            <w:vAlign w:val="center"/>
            <w:hideMark/>
          </w:tcPr>
          <w:p w14:paraId="28831BC0" w14:textId="77777777" w:rsidR="002A35F7" w:rsidRPr="002A35F7" w:rsidRDefault="002A35F7" w:rsidP="002A35F7">
            <w:r w:rsidRPr="002A35F7">
              <w:t>0.666</w:t>
            </w:r>
          </w:p>
        </w:tc>
        <w:tc>
          <w:tcPr>
            <w:tcW w:w="912" w:type="dxa"/>
            <w:vAlign w:val="center"/>
            <w:hideMark/>
          </w:tcPr>
          <w:p w14:paraId="48CC4F1E" w14:textId="77777777" w:rsidR="002A35F7" w:rsidRPr="002A35F7" w:rsidRDefault="002A35F7" w:rsidP="002A35F7">
            <w:r w:rsidRPr="002A35F7">
              <w:t>0.342–1.298</w:t>
            </w:r>
          </w:p>
        </w:tc>
        <w:tc>
          <w:tcPr>
            <w:tcW w:w="707" w:type="dxa"/>
            <w:vAlign w:val="center"/>
            <w:hideMark/>
          </w:tcPr>
          <w:p w14:paraId="61041ED8" w14:textId="77777777" w:rsidR="002A35F7" w:rsidRPr="002A35F7" w:rsidRDefault="002A35F7" w:rsidP="002A35F7">
            <w:r w:rsidRPr="002A35F7">
              <w:t>0.233</w:t>
            </w:r>
          </w:p>
        </w:tc>
      </w:tr>
      <w:tr w:rsidR="002A35F7" w:rsidRPr="002A35F7" w14:paraId="3D9E2517" w14:textId="77777777" w:rsidTr="002A35F7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49D2C763" w14:textId="77777777" w:rsidR="002A35F7" w:rsidRPr="002A35F7" w:rsidRDefault="002A35F7" w:rsidP="002A35F7">
            <w:pPr>
              <w:rPr>
                <w:b/>
                <w:bCs/>
              </w:rPr>
            </w:pPr>
            <w:r w:rsidRPr="002A35F7">
              <w:rPr>
                <w:b/>
                <w:bCs/>
              </w:rPr>
              <w:t>Smoking</w:t>
            </w:r>
          </w:p>
        </w:tc>
        <w:tc>
          <w:tcPr>
            <w:tcW w:w="1104" w:type="dxa"/>
            <w:vAlign w:val="center"/>
            <w:hideMark/>
          </w:tcPr>
          <w:p w14:paraId="363801FF" w14:textId="77777777" w:rsidR="002A35F7" w:rsidRPr="002A35F7" w:rsidRDefault="002A35F7" w:rsidP="002A35F7">
            <w:r w:rsidRPr="002A35F7">
              <w:t>1.052</w:t>
            </w:r>
          </w:p>
        </w:tc>
        <w:tc>
          <w:tcPr>
            <w:tcW w:w="912" w:type="dxa"/>
            <w:vAlign w:val="center"/>
            <w:hideMark/>
          </w:tcPr>
          <w:p w14:paraId="1DB17618" w14:textId="77777777" w:rsidR="002A35F7" w:rsidRPr="002A35F7" w:rsidRDefault="002A35F7" w:rsidP="002A35F7">
            <w:r w:rsidRPr="002A35F7">
              <w:t>0.690–1.602</w:t>
            </w:r>
          </w:p>
        </w:tc>
        <w:tc>
          <w:tcPr>
            <w:tcW w:w="707" w:type="dxa"/>
            <w:vAlign w:val="center"/>
            <w:hideMark/>
          </w:tcPr>
          <w:p w14:paraId="3C0C441F" w14:textId="77777777" w:rsidR="002A35F7" w:rsidRPr="002A35F7" w:rsidRDefault="002A35F7" w:rsidP="002A35F7">
            <w:r w:rsidRPr="002A35F7">
              <w:t>0.814</w:t>
            </w:r>
          </w:p>
        </w:tc>
      </w:tr>
      <w:tr w:rsidR="002A35F7" w:rsidRPr="002A35F7" w14:paraId="65DE505A" w14:textId="77777777" w:rsidTr="002A35F7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7701B64C" w14:textId="3E9CB60F" w:rsidR="002A35F7" w:rsidRPr="002A35F7" w:rsidRDefault="002A35F7" w:rsidP="002A35F7">
            <w:pPr>
              <w:rPr>
                <w:b/>
                <w:bCs/>
                <w:lang w:val="en-US"/>
              </w:rPr>
            </w:pPr>
            <w:r w:rsidRPr="002A35F7">
              <w:rPr>
                <w:b/>
                <w:bCs/>
              </w:rPr>
              <w:t xml:space="preserve">Age </w:t>
            </w:r>
          </w:p>
        </w:tc>
        <w:tc>
          <w:tcPr>
            <w:tcW w:w="1104" w:type="dxa"/>
            <w:vAlign w:val="center"/>
            <w:hideMark/>
          </w:tcPr>
          <w:p w14:paraId="17BB84BD" w14:textId="77777777" w:rsidR="002A35F7" w:rsidRPr="002A35F7" w:rsidRDefault="002A35F7" w:rsidP="002A35F7">
            <w:r w:rsidRPr="002A35F7">
              <w:t>1.016</w:t>
            </w:r>
          </w:p>
        </w:tc>
        <w:tc>
          <w:tcPr>
            <w:tcW w:w="912" w:type="dxa"/>
            <w:vAlign w:val="center"/>
            <w:hideMark/>
          </w:tcPr>
          <w:p w14:paraId="0FDFF558" w14:textId="77777777" w:rsidR="002A35F7" w:rsidRPr="002A35F7" w:rsidRDefault="002A35F7" w:rsidP="002A35F7">
            <w:r w:rsidRPr="002A35F7">
              <w:t>1.000–1.032</w:t>
            </w:r>
          </w:p>
        </w:tc>
        <w:tc>
          <w:tcPr>
            <w:tcW w:w="707" w:type="dxa"/>
            <w:vAlign w:val="center"/>
            <w:hideMark/>
          </w:tcPr>
          <w:p w14:paraId="1DD3EAAA" w14:textId="77777777" w:rsidR="002A35F7" w:rsidRPr="002A35F7" w:rsidRDefault="002A35F7" w:rsidP="002A35F7">
            <w:r w:rsidRPr="002A35F7">
              <w:t>0.049</w:t>
            </w:r>
          </w:p>
        </w:tc>
      </w:tr>
      <w:tr w:rsidR="002A35F7" w:rsidRPr="002A35F7" w14:paraId="2E154433" w14:textId="77777777" w:rsidTr="002A35F7">
        <w:trPr>
          <w:tblCellSpacing w:w="15" w:type="dxa"/>
        </w:trPr>
        <w:tc>
          <w:tcPr>
            <w:tcW w:w="2410" w:type="dxa"/>
            <w:vAlign w:val="center"/>
            <w:hideMark/>
          </w:tcPr>
          <w:p w14:paraId="1CBD694F" w14:textId="3E3B0617" w:rsidR="002A35F7" w:rsidRPr="002A35F7" w:rsidRDefault="002A35F7" w:rsidP="002A35F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CKD</w:t>
            </w:r>
          </w:p>
        </w:tc>
        <w:tc>
          <w:tcPr>
            <w:tcW w:w="1104" w:type="dxa"/>
            <w:vAlign w:val="center"/>
            <w:hideMark/>
          </w:tcPr>
          <w:p w14:paraId="297DC2A8" w14:textId="77777777" w:rsidR="002A35F7" w:rsidRPr="002A35F7" w:rsidRDefault="002A35F7" w:rsidP="002A35F7">
            <w:r w:rsidRPr="002A35F7">
              <w:t>2.264</w:t>
            </w:r>
          </w:p>
        </w:tc>
        <w:tc>
          <w:tcPr>
            <w:tcW w:w="912" w:type="dxa"/>
            <w:vAlign w:val="center"/>
            <w:hideMark/>
          </w:tcPr>
          <w:p w14:paraId="58A18165" w14:textId="77777777" w:rsidR="002A35F7" w:rsidRPr="002A35F7" w:rsidRDefault="002A35F7" w:rsidP="002A35F7">
            <w:r w:rsidRPr="002A35F7">
              <w:t>1.374–3.731</w:t>
            </w:r>
          </w:p>
        </w:tc>
        <w:tc>
          <w:tcPr>
            <w:tcW w:w="707" w:type="dxa"/>
            <w:vAlign w:val="center"/>
            <w:hideMark/>
          </w:tcPr>
          <w:p w14:paraId="46EDDBC7" w14:textId="77777777" w:rsidR="002A35F7" w:rsidRPr="002A35F7" w:rsidRDefault="002A35F7" w:rsidP="002A35F7">
            <w:r w:rsidRPr="002A35F7">
              <w:t>0.001</w:t>
            </w:r>
          </w:p>
        </w:tc>
      </w:tr>
    </w:tbl>
    <w:p w14:paraId="59DE2E54" w14:textId="77777777" w:rsidR="002A35F7" w:rsidRPr="002A35F7" w:rsidRDefault="002A35F7" w:rsidP="00846CE8">
      <w:pPr>
        <w:rPr>
          <w:b/>
          <w:bCs/>
          <w:lang w:val="en-US"/>
        </w:rPr>
      </w:pPr>
    </w:p>
    <w:p w14:paraId="13F26707" w14:textId="77777777" w:rsidR="00EB1EF6" w:rsidRPr="00846CE8" w:rsidRDefault="00EB1EF6" w:rsidP="00846CE8">
      <w:pPr>
        <w:rPr>
          <w:b/>
          <w:bCs/>
          <w:lang w:val="en-US"/>
        </w:rPr>
      </w:pPr>
    </w:p>
    <w:sectPr w:rsidR="00EB1EF6" w:rsidRPr="00846C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F3EB7"/>
    <w:multiLevelType w:val="hybridMultilevel"/>
    <w:tmpl w:val="4920A6B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32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731A5"/>
    <w:rsid w:val="000C5A03"/>
    <w:rsid w:val="002A35F7"/>
    <w:rsid w:val="002A6DCA"/>
    <w:rsid w:val="00312483"/>
    <w:rsid w:val="00353ED7"/>
    <w:rsid w:val="0046103F"/>
    <w:rsid w:val="00497DE0"/>
    <w:rsid w:val="00526EBA"/>
    <w:rsid w:val="00533C95"/>
    <w:rsid w:val="00535CAC"/>
    <w:rsid w:val="00542DAB"/>
    <w:rsid w:val="00623441"/>
    <w:rsid w:val="00665D51"/>
    <w:rsid w:val="006B4852"/>
    <w:rsid w:val="00705B49"/>
    <w:rsid w:val="00813F69"/>
    <w:rsid w:val="00826C40"/>
    <w:rsid w:val="00846CE8"/>
    <w:rsid w:val="009731A5"/>
    <w:rsid w:val="00AA3F3D"/>
    <w:rsid w:val="00BE67B4"/>
    <w:rsid w:val="00CC529B"/>
    <w:rsid w:val="00D3051D"/>
    <w:rsid w:val="00D4369B"/>
    <w:rsid w:val="00E91723"/>
    <w:rsid w:val="00EA3396"/>
    <w:rsid w:val="00EB1EF6"/>
    <w:rsid w:val="00F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61924"/>
  <w15:chartTrackingRefBased/>
  <w15:docId w15:val="{923B6BC2-D9A3-4446-9EB7-B5EAA461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7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31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31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31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31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31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31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31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731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31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31A5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31A5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31A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31A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31A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3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31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7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31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7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31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731A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31A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31A5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31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731A5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9731A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338</Words>
  <Characters>1880</Characters>
  <Application>Microsoft Office Word</Application>
  <DocSecurity>0</DocSecurity>
  <Lines>470</Lines>
  <Paragraphs>221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Efstratios Karagiannidis</dc:creator>
  <cp:keywords/>
  <dc:description/>
  <cp:lastModifiedBy>Efstratios Karagiannidis</cp:lastModifiedBy>
  <cp:revision>23</cp:revision>
  <dcterms:created xsi:type="dcterms:W3CDTF">2025-05-27T16:36:00Z</dcterms:created>
  <dcterms:modified xsi:type="dcterms:W3CDTF">2025-05-31T14:18:00Z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52b0b3ee-a530-497f-a35e-9febdbeaf1e2</vt:lpwstr>
  </property>
</Properties>
</file>