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AAA54" w14:textId="4D9B6919" w:rsidR="00CD5917" w:rsidRPr="00433B1D" w:rsidRDefault="00CD5917" w:rsidP="00ED20C8">
      <w:pPr>
        <w:autoSpaceDE w:val="0"/>
        <w:autoSpaceDN w:val="0"/>
        <w:adjustRightInd w:val="0"/>
        <w:snapToGrid w:val="0"/>
        <w:spacing w:before="240" w:after="24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433B1D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Supplementary Material</w:t>
      </w:r>
    </w:p>
    <w:p w14:paraId="5E1BB587" w14:textId="77777777" w:rsidR="00ED20C8" w:rsidRPr="00433B1D" w:rsidRDefault="00ED20C8" w:rsidP="00ED20C8">
      <w:pPr>
        <w:autoSpaceDE w:val="0"/>
        <w:autoSpaceDN w:val="0"/>
        <w:adjustRightInd w:val="0"/>
        <w:snapToGrid w:val="0"/>
        <w:spacing w:before="240" w:after="24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133419F8" w14:textId="5711D5B3" w:rsidR="00ED20C8" w:rsidRPr="00433B1D" w:rsidRDefault="00F07D51" w:rsidP="00CD5917">
      <w:pPr>
        <w:autoSpaceDE w:val="0"/>
        <w:autoSpaceDN w:val="0"/>
        <w:adjustRightInd w:val="0"/>
        <w:snapToGrid w:val="0"/>
        <w:spacing w:before="240" w:after="240" w:line="288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433B1D">
        <w:rPr>
          <w:noProof/>
        </w:rPr>
        <w:drawing>
          <wp:inline distT="0" distB="0" distL="0" distR="0" wp14:anchorId="655C5FD5" wp14:editId="618E9D00">
            <wp:extent cx="5791200" cy="324631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570" cy="3247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50E6E" w14:textId="3DD7839C" w:rsidR="00CD5917" w:rsidRPr="00433B1D" w:rsidRDefault="00CD5917" w:rsidP="00ED20C8">
      <w:pPr>
        <w:adjustRightInd w:val="0"/>
        <w:snapToGrid w:val="0"/>
        <w:spacing w:line="288" w:lineRule="auto"/>
        <w:jc w:val="left"/>
        <w:rPr>
          <w:rFonts w:ascii="Times New Roman" w:eastAsia="宋体" w:hAnsi="Times New Roman" w:cs="Times New Roman"/>
          <w:b/>
          <w:bCs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Supplementary Fig. 1. </w:t>
      </w:r>
      <w:r w:rsidR="00375CEA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Dynamics of cytomegalovirus immunoglobulin (Ig) G.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>(A) Dynamics of cytomegalovirus immunoglobulin (Ig) G in the Denka IgG assay in the real count. (B) Dynamics of IgG in the Denka IgG assay in log count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>.</w:t>
      </w:r>
    </w:p>
    <w:p w14:paraId="70B805C0" w14:textId="383D86ED" w:rsidR="00ED20C8" w:rsidRPr="00433B1D" w:rsidRDefault="00CD591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Cs/>
          <w:szCs w:val="20"/>
          <w:lang w:eastAsia="zh-CN"/>
        </w:rPr>
        <w:t>IgG: Immunoglobulin G</w:t>
      </w:r>
      <w:r w:rsidR="00C671A7" w:rsidRPr="00433B1D">
        <w:rPr>
          <w:rFonts w:ascii="Times New Roman" w:eastAsia="宋体" w:hAnsi="Times New Roman" w:cs="Times New Roman"/>
          <w:bCs/>
          <w:szCs w:val="20"/>
          <w:lang w:eastAsia="zh-CN"/>
        </w:rPr>
        <w:t>.</w:t>
      </w:r>
    </w:p>
    <w:p w14:paraId="0C9BF4FE" w14:textId="561269EC" w:rsidR="00C671A7" w:rsidRPr="00433B1D" w:rsidRDefault="00C671A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0"/>
          <w:lang w:eastAsia="zh-CN"/>
        </w:rPr>
      </w:pPr>
    </w:p>
    <w:p w14:paraId="1B765EAD" w14:textId="77777777" w:rsidR="00C671A7" w:rsidRPr="00433B1D" w:rsidRDefault="00C671A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  <w:lang w:eastAsia="zh-CN"/>
        </w:rPr>
      </w:pPr>
    </w:p>
    <w:p w14:paraId="0DA250A4" w14:textId="1F52EA42" w:rsidR="00CD5917" w:rsidRPr="00433B1D" w:rsidRDefault="00DD0F00" w:rsidP="00F07D51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  <w:lang w:eastAsia="zh-CN"/>
        </w:rPr>
      </w:pPr>
      <w:r w:rsidRPr="00433B1D">
        <w:rPr>
          <w:noProof/>
        </w:rPr>
        <w:lastRenderedPageBreak/>
        <w:drawing>
          <wp:inline distT="0" distB="0" distL="0" distR="0" wp14:anchorId="18C04770" wp14:editId="6EAABAE4">
            <wp:extent cx="5400040" cy="298323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8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18E72" w14:textId="151D67C7" w:rsidR="00CD5917" w:rsidRPr="00433B1D" w:rsidRDefault="00CD5917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/>
          <w:bCs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Supplementary Fig. 2. </w:t>
      </w:r>
      <w:r w:rsidR="00375CEA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Correlation of cytomegalovirus immunoglobulin (Ig) G avidity between the IgG avidity assays.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(A) Correlation between cytomegalovirus immunoglobulin (Ig) G avidity in the </w:t>
      </w:r>
      <w:proofErr w:type="spellStart"/>
      <w:r w:rsidRPr="00433B1D">
        <w:rPr>
          <w:rFonts w:ascii="Times New Roman" w:eastAsia="宋体" w:hAnsi="Times New Roman" w:cs="Times New Roman"/>
          <w:szCs w:val="20"/>
          <w:lang w:eastAsia="zh-CN"/>
        </w:rPr>
        <w:t>Enzygnost</w:t>
      </w:r>
      <w:proofErr w:type="spellEnd"/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IgG assay and in the Denka IgG avidity assay (n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 xml:space="preserve">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>=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 xml:space="preserve">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>58). (B) Color separation into the two phases (e</w:t>
      </w:r>
      <w:r w:rsidR="00AC5BEB" w:rsidRPr="00433B1D">
        <w:rPr>
          <w:rFonts w:ascii="Times New Roman" w:eastAsia="宋体" w:hAnsi="Times New Roman" w:cs="Times New Roman"/>
          <w:szCs w:val="20"/>
          <w:lang w:eastAsia="zh-CN"/>
        </w:rPr>
        <w:t>arly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phase: before 60 weeks and </w:t>
      </w:r>
      <w:r w:rsidR="00AC5BEB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phase: after 60 weeks) (n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 xml:space="preserve">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>=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 xml:space="preserve">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>58)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>.</w:t>
      </w:r>
    </w:p>
    <w:p w14:paraId="42829F07" w14:textId="36AF2818" w:rsidR="00CD5917" w:rsidRPr="00433B1D" w:rsidRDefault="00CD5917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szCs w:val="20"/>
          <w:lang w:eastAsia="zh-CN"/>
        </w:rPr>
        <w:t>In B, blue and orange circles are plots of the e</w:t>
      </w:r>
      <w:r w:rsidR="00AC5BEB" w:rsidRPr="00433B1D">
        <w:rPr>
          <w:rFonts w:ascii="Times New Roman" w:eastAsia="宋体" w:hAnsi="Times New Roman" w:cs="Times New Roman"/>
          <w:szCs w:val="20"/>
          <w:lang w:eastAsia="zh-CN"/>
        </w:rPr>
        <w:t>arly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and </w:t>
      </w:r>
      <w:r w:rsidR="00AC5BEB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phases, respectively.</w:t>
      </w:r>
    </w:p>
    <w:p w14:paraId="771BEEDA" w14:textId="731DD28D" w:rsidR="00ED20C8" w:rsidRPr="00433B1D" w:rsidRDefault="00CD591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Cs/>
          <w:szCs w:val="20"/>
          <w:lang w:eastAsia="zh-CN"/>
        </w:rPr>
        <w:t>IgG: Immunoglobulin G</w:t>
      </w:r>
      <w:r w:rsidR="00C671A7" w:rsidRPr="00433B1D">
        <w:rPr>
          <w:rFonts w:ascii="Times New Roman" w:eastAsia="宋体" w:hAnsi="Times New Roman" w:cs="Times New Roman"/>
          <w:bCs/>
          <w:szCs w:val="20"/>
          <w:lang w:eastAsia="zh-CN"/>
        </w:rPr>
        <w:t>.</w:t>
      </w:r>
    </w:p>
    <w:p w14:paraId="5A237098" w14:textId="1CA35D59" w:rsidR="00C671A7" w:rsidRPr="00433B1D" w:rsidRDefault="00C671A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0"/>
          <w:lang w:eastAsia="zh-CN"/>
        </w:rPr>
      </w:pPr>
    </w:p>
    <w:p w14:paraId="1A63B922" w14:textId="77777777" w:rsidR="00CD5917" w:rsidRPr="00433B1D" w:rsidRDefault="00CD5917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0"/>
          <w:lang w:eastAsia="zh-CN"/>
        </w:rPr>
      </w:pPr>
    </w:p>
    <w:p w14:paraId="49CD744C" w14:textId="54D8A3AE" w:rsidR="00CD5917" w:rsidRPr="00433B1D" w:rsidRDefault="00171E87" w:rsidP="008D2BE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  <w:lang w:eastAsia="zh-CN"/>
        </w:rPr>
      </w:pPr>
      <w:r w:rsidRPr="00433B1D">
        <w:rPr>
          <w:noProof/>
        </w:rPr>
        <w:drawing>
          <wp:inline distT="0" distB="0" distL="0" distR="0" wp14:anchorId="6BED5932" wp14:editId="03A0E61E">
            <wp:extent cx="5400040" cy="299212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9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3639E" w14:textId="37471609" w:rsidR="00CD5917" w:rsidRPr="00433B1D" w:rsidRDefault="00CD5917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/>
          <w:bCs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Supplementary Fig. 3. </w:t>
      </w:r>
      <w:r w:rsidR="00057DA4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>Correlation between cytomegalovirus immunoglobulin (Ig) M and IgG avidity</w:t>
      </w:r>
      <w:r w:rsidR="007860AE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 (1)</w:t>
      </w:r>
      <w:r w:rsidR="00057DA4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.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(A) Correlation between cytomegalovirus immunoglobulin (Ig) M in the Denka IgM assay </w:t>
      </w:r>
      <w:proofErr w:type="spellStart"/>
      <w:r w:rsidRPr="00433B1D">
        <w:rPr>
          <w:rFonts w:ascii="Times New Roman" w:eastAsia="宋体" w:hAnsi="Times New Roman" w:cs="Times New Roman"/>
          <w:szCs w:val="20"/>
          <w:lang w:eastAsia="zh-CN"/>
        </w:rPr>
        <w:t>Ver.2</w:t>
      </w:r>
      <w:proofErr w:type="spellEnd"/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and IgG avidity in the </w:t>
      </w:r>
      <w:proofErr w:type="spellStart"/>
      <w:r w:rsidRPr="00433B1D">
        <w:rPr>
          <w:rFonts w:ascii="Times New Roman" w:eastAsia="宋体" w:hAnsi="Times New Roman" w:cs="Times New Roman"/>
          <w:szCs w:val="20"/>
          <w:lang w:eastAsia="zh-CN"/>
        </w:rPr>
        <w:t>Enzygnost</w:t>
      </w:r>
      <w:proofErr w:type="spellEnd"/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IgG assay. (B) Color separation into the two phases (e</w:t>
      </w:r>
      <w:r w:rsidR="00AC5BEB" w:rsidRPr="00433B1D">
        <w:rPr>
          <w:rFonts w:ascii="Times New Roman" w:eastAsia="宋体" w:hAnsi="Times New Roman" w:cs="Times New Roman"/>
          <w:szCs w:val="20"/>
          <w:lang w:eastAsia="zh-CN"/>
        </w:rPr>
        <w:t>arly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phase: before 60 weeks and </w:t>
      </w:r>
      <w:r w:rsidR="00AC5BEB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phase: after 60 weeks)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>.</w:t>
      </w:r>
      <w:r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 </w:t>
      </w:r>
    </w:p>
    <w:p w14:paraId="3941A6B3" w14:textId="41E8EE62" w:rsidR="00CD5917" w:rsidRPr="00433B1D" w:rsidRDefault="00CD5917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szCs w:val="20"/>
          <w:lang w:eastAsia="zh-CN"/>
        </w:rPr>
        <w:lastRenderedPageBreak/>
        <w:t>In B, blue and orange circles are plots of the e</w:t>
      </w:r>
      <w:r w:rsidR="00AC5BEB" w:rsidRPr="00433B1D">
        <w:rPr>
          <w:rFonts w:ascii="Times New Roman" w:eastAsia="宋体" w:hAnsi="Times New Roman" w:cs="Times New Roman"/>
          <w:szCs w:val="20"/>
          <w:lang w:eastAsia="zh-CN"/>
        </w:rPr>
        <w:t>arly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and </w:t>
      </w:r>
      <w:r w:rsidR="00AC5BEB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phases, respectively. Red circles are plots of the </w:t>
      </w:r>
      <w:r w:rsidR="00477FD5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 in the exceptional case (Case 5).</w:t>
      </w:r>
    </w:p>
    <w:p w14:paraId="217E10BB" w14:textId="13B83C0B" w:rsidR="00ED20C8" w:rsidRPr="00433B1D" w:rsidRDefault="00CD591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Cs/>
          <w:szCs w:val="20"/>
          <w:lang w:eastAsia="zh-CN"/>
        </w:rPr>
        <w:t>IgM: Immunoglobulin M; IgG: Immunoglobulin G</w:t>
      </w:r>
      <w:r w:rsidR="00C671A7" w:rsidRPr="00433B1D">
        <w:rPr>
          <w:rFonts w:ascii="Times New Roman" w:eastAsia="宋体" w:hAnsi="Times New Roman" w:cs="Times New Roman"/>
          <w:bCs/>
          <w:szCs w:val="20"/>
          <w:lang w:eastAsia="zh-CN"/>
        </w:rPr>
        <w:t>.</w:t>
      </w:r>
    </w:p>
    <w:p w14:paraId="1DE43C07" w14:textId="57DF9DB3" w:rsidR="00C671A7" w:rsidRPr="00433B1D" w:rsidRDefault="00C671A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0"/>
          <w:lang w:eastAsia="zh-CN"/>
        </w:rPr>
      </w:pPr>
    </w:p>
    <w:p w14:paraId="38B1CEF8" w14:textId="77777777" w:rsidR="00C671A7" w:rsidRPr="00433B1D" w:rsidRDefault="00C671A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/>
          <w:bCs/>
          <w:szCs w:val="20"/>
          <w:lang w:eastAsia="zh-CN"/>
        </w:rPr>
      </w:pPr>
    </w:p>
    <w:p w14:paraId="772F1E02" w14:textId="2391F2E7" w:rsidR="00CD5917" w:rsidRPr="00433B1D" w:rsidRDefault="00ED20C8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/>
          <w:bCs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/>
          <w:bCs/>
          <w:noProof/>
          <w:szCs w:val="20"/>
          <w:lang w:eastAsia="zh-CN"/>
        </w:rPr>
        <w:drawing>
          <wp:inline distT="0" distB="0" distL="0" distR="0" wp14:anchorId="31204B34" wp14:editId="413BF203">
            <wp:extent cx="5400040" cy="298450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48848" w14:textId="253C7B07" w:rsidR="00CD5917" w:rsidRPr="00433B1D" w:rsidRDefault="00CD5917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/>
          <w:bCs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>Supplementary Fig. 4.</w:t>
      </w:r>
      <w:r w:rsidR="007076AF" w:rsidRPr="00433B1D">
        <w:t xml:space="preserve"> </w:t>
      </w:r>
      <w:r w:rsidR="007076AF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Correlation </w:t>
      </w:r>
      <w:r w:rsidR="008614AC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>between</w:t>
      </w:r>
      <w:r w:rsidR="007076AF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 cytomegalovirus immunoglobulin (Ig) M </w:t>
      </w:r>
      <w:r w:rsidR="0053295B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>and</w:t>
      </w:r>
      <w:r w:rsidR="007076AF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 </w:t>
      </w:r>
      <w:r w:rsidR="0053295B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>IgG</w:t>
      </w:r>
      <w:r w:rsidR="007076AF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 </w:t>
      </w:r>
      <w:r w:rsidR="0053295B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>avidity</w:t>
      </w:r>
      <w:r w:rsidR="007860AE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 (2)</w:t>
      </w:r>
      <w:r w:rsidR="007076AF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>.</w:t>
      </w:r>
      <w:r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(A) Correlation between cytomegalovirus immunoglobulin (Ig) M in the Denka IgM assay </w:t>
      </w:r>
      <w:proofErr w:type="spellStart"/>
      <w:r w:rsidRPr="00433B1D">
        <w:rPr>
          <w:rFonts w:ascii="Times New Roman" w:eastAsia="宋体" w:hAnsi="Times New Roman" w:cs="Times New Roman"/>
          <w:szCs w:val="20"/>
          <w:lang w:eastAsia="zh-CN"/>
        </w:rPr>
        <w:t>Ver.1</w:t>
      </w:r>
      <w:proofErr w:type="spellEnd"/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and IgG avidity in the Denka IgG avidity assay (n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 xml:space="preserve">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>=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 xml:space="preserve">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>58). (B) Color separation into the two phases (e</w:t>
      </w:r>
      <w:r w:rsidR="00477FD5" w:rsidRPr="00433B1D">
        <w:rPr>
          <w:rFonts w:ascii="Times New Roman" w:eastAsia="宋体" w:hAnsi="Times New Roman" w:cs="Times New Roman"/>
          <w:szCs w:val="20"/>
          <w:lang w:eastAsia="zh-CN"/>
        </w:rPr>
        <w:t>arly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phase: before 60 weeks and </w:t>
      </w:r>
      <w:r w:rsidR="00477FD5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phase: after 60 weeks) (n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 xml:space="preserve">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>=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 xml:space="preserve">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>58)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>.</w:t>
      </w:r>
    </w:p>
    <w:p w14:paraId="51FD34C1" w14:textId="4AFD42E5" w:rsidR="00CD5917" w:rsidRPr="00433B1D" w:rsidRDefault="00CD5917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szCs w:val="20"/>
          <w:lang w:eastAsia="zh-CN"/>
        </w:rPr>
        <w:t>In B, blue and orange circles are plots of the e</w:t>
      </w:r>
      <w:r w:rsidR="00477FD5" w:rsidRPr="00433B1D">
        <w:rPr>
          <w:rFonts w:ascii="Times New Roman" w:eastAsia="宋体" w:hAnsi="Times New Roman" w:cs="Times New Roman"/>
          <w:szCs w:val="20"/>
          <w:lang w:eastAsia="zh-CN"/>
        </w:rPr>
        <w:t>arly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and </w:t>
      </w:r>
      <w:r w:rsidR="00477FD5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phases, respectively. Red circles are plots of the </w:t>
      </w:r>
      <w:r w:rsidR="00477FD5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 in the exceptional case (Case 5).</w:t>
      </w:r>
    </w:p>
    <w:p w14:paraId="4B431F7B" w14:textId="728A8556" w:rsidR="00ED20C8" w:rsidRPr="00433B1D" w:rsidRDefault="00CD591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Cs/>
          <w:szCs w:val="20"/>
          <w:lang w:eastAsia="zh-CN"/>
        </w:rPr>
        <w:t>IgM: Immunoglobulin M; IgG: Immunoglobulin G</w:t>
      </w:r>
      <w:r w:rsidR="00C671A7" w:rsidRPr="00433B1D">
        <w:rPr>
          <w:rFonts w:ascii="Times New Roman" w:eastAsia="宋体" w:hAnsi="Times New Roman" w:cs="Times New Roman"/>
          <w:bCs/>
          <w:szCs w:val="20"/>
          <w:lang w:eastAsia="zh-CN"/>
        </w:rPr>
        <w:t>.</w:t>
      </w:r>
    </w:p>
    <w:p w14:paraId="472A15F3" w14:textId="3498DFB9" w:rsidR="00C671A7" w:rsidRPr="00433B1D" w:rsidRDefault="00C671A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0"/>
          <w:lang w:eastAsia="zh-CN"/>
        </w:rPr>
      </w:pPr>
    </w:p>
    <w:p w14:paraId="67CB8AE1" w14:textId="77777777" w:rsidR="00C671A7" w:rsidRPr="00433B1D" w:rsidRDefault="00C671A7" w:rsidP="00C671A7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/>
          <w:bCs/>
          <w:szCs w:val="20"/>
          <w:lang w:eastAsia="zh-CN"/>
        </w:rPr>
      </w:pPr>
    </w:p>
    <w:p w14:paraId="71CE45B2" w14:textId="7B1BBE5B" w:rsidR="00CD5917" w:rsidRPr="00433B1D" w:rsidRDefault="00ED20C8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/>
          <w:bCs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/>
          <w:bCs/>
          <w:noProof/>
          <w:szCs w:val="20"/>
          <w:lang w:eastAsia="zh-CN"/>
        </w:rPr>
        <w:lastRenderedPageBreak/>
        <w:drawing>
          <wp:inline distT="0" distB="0" distL="0" distR="0" wp14:anchorId="7262B52C" wp14:editId="599F415D">
            <wp:extent cx="5400040" cy="298450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B87ED" w14:textId="75CB9B0E" w:rsidR="00CD5917" w:rsidRPr="00433B1D" w:rsidRDefault="00CD5917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>Supplementary Fig. 5.</w:t>
      </w:r>
      <w:r w:rsidR="00F56D7D" w:rsidRPr="00433B1D">
        <w:t xml:space="preserve"> </w:t>
      </w:r>
      <w:r w:rsidR="00F56D7D"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>Correlation between cytomegalovirus immunoglobulin (Ig) M and IgG avidity (3).</w:t>
      </w:r>
      <w:r w:rsidRPr="00433B1D">
        <w:rPr>
          <w:rFonts w:ascii="Times New Roman" w:eastAsia="宋体" w:hAnsi="Times New Roman" w:cs="Times New Roman"/>
          <w:b/>
          <w:bCs/>
          <w:szCs w:val="20"/>
          <w:lang w:eastAsia="zh-CN"/>
        </w:rPr>
        <w:t xml:space="preserve"> 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(A) Correlation between cytomegalovirus immunoglobulin (Ig) M in the Denka IgM assay </w:t>
      </w:r>
      <w:proofErr w:type="spellStart"/>
      <w:r w:rsidRPr="00433B1D">
        <w:rPr>
          <w:rFonts w:ascii="Times New Roman" w:eastAsia="宋体" w:hAnsi="Times New Roman" w:cs="Times New Roman"/>
          <w:szCs w:val="20"/>
          <w:lang w:eastAsia="zh-CN"/>
        </w:rPr>
        <w:t>Ver.1</w:t>
      </w:r>
      <w:proofErr w:type="spellEnd"/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and IgG avidity in the </w:t>
      </w:r>
      <w:proofErr w:type="spellStart"/>
      <w:r w:rsidRPr="00433B1D">
        <w:rPr>
          <w:rFonts w:ascii="Times New Roman" w:eastAsia="宋体" w:hAnsi="Times New Roman" w:cs="Times New Roman"/>
          <w:szCs w:val="20"/>
          <w:lang w:eastAsia="zh-CN"/>
        </w:rPr>
        <w:t>Enzygnost</w:t>
      </w:r>
      <w:proofErr w:type="spellEnd"/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IgG assay. (B) Color separation into the two phases (e</w:t>
      </w:r>
      <w:r w:rsidR="00194E70" w:rsidRPr="00433B1D">
        <w:rPr>
          <w:rFonts w:ascii="Times New Roman" w:eastAsia="宋体" w:hAnsi="Times New Roman" w:cs="Times New Roman"/>
          <w:szCs w:val="20"/>
          <w:lang w:eastAsia="zh-CN"/>
        </w:rPr>
        <w:t>arly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phase: before 60 weeks and </w:t>
      </w:r>
      <w:r w:rsidR="00194E70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phase: after 60 weeks)</w:t>
      </w:r>
      <w:r w:rsidR="00C671A7" w:rsidRPr="00433B1D">
        <w:rPr>
          <w:rFonts w:ascii="Times New Roman" w:eastAsia="宋体" w:hAnsi="Times New Roman" w:cs="Times New Roman"/>
          <w:szCs w:val="20"/>
          <w:lang w:eastAsia="zh-CN"/>
        </w:rPr>
        <w:t>.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</w:t>
      </w:r>
    </w:p>
    <w:p w14:paraId="603A6B8F" w14:textId="0FBBB098" w:rsidR="00CD5917" w:rsidRPr="00433B1D" w:rsidRDefault="00CD5917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  <w:lang w:eastAsia="zh-CN"/>
        </w:rPr>
      </w:pPr>
      <w:r w:rsidRPr="00433B1D">
        <w:rPr>
          <w:rFonts w:ascii="Times New Roman" w:eastAsia="宋体" w:hAnsi="Times New Roman" w:cs="Times New Roman"/>
          <w:szCs w:val="20"/>
          <w:lang w:eastAsia="zh-CN"/>
        </w:rPr>
        <w:t>In B, blue and orange circles are plots of the e</w:t>
      </w:r>
      <w:r w:rsidR="00194E70" w:rsidRPr="00433B1D">
        <w:rPr>
          <w:rFonts w:ascii="Times New Roman" w:eastAsia="宋体" w:hAnsi="Times New Roman" w:cs="Times New Roman"/>
          <w:szCs w:val="20"/>
          <w:lang w:eastAsia="zh-CN"/>
        </w:rPr>
        <w:t>arly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and </w:t>
      </w:r>
      <w:r w:rsidR="00194E70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phases, respectively. Red circles are plots of the </w:t>
      </w:r>
      <w:r w:rsidR="00194E70" w:rsidRPr="00433B1D">
        <w:rPr>
          <w:rFonts w:ascii="Times New Roman" w:eastAsia="宋体" w:hAnsi="Times New Roman" w:cs="Times New Roman"/>
          <w:szCs w:val="20"/>
          <w:lang w:eastAsia="zh-CN"/>
        </w:rPr>
        <w:t>late</w:t>
      </w:r>
      <w:r w:rsidRPr="00433B1D">
        <w:rPr>
          <w:rFonts w:ascii="Times New Roman" w:eastAsia="宋体" w:hAnsi="Times New Roman" w:cs="Times New Roman"/>
          <w:szCs w:val="20"/>
          <w:lang w:eastAsia="zh-CN"/>
        </w:rPr>
        <w:t xml:space="preserve"> phase in the exceptional case (Case 5).</w:t>
      </w:r>
    </w:p>
    <w:p w14:paraId="3C3D2C55" w14:textId="226C9697" w:rsidR="00CD5917" w:rsidRPr="00433B1D" w:rsidRDefault="00CD5917" w:rsidP="00ED20C8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  <w:highlight w:val="yellow"/>
          <w:lang w:eastAsia="zh-CN"/>
        </w:rPr>
      </w:pPr>
      <w:r w:rsidRPr="00433B1D">
        <w:rPr>
          <w:rFonts w:ascii="Times New Roman" w:eastAsia="宋体" w:hAnsi="Times New Roman" w:cs="Times New Roman"/>
          <w:bCs/>
          <w:szCs w:val="20"/>
          <w:lang w:eastAsia="zh-CN"/>
        </w:rPr>
        <w:t>IgM: Immunoglobulin M; IgG: Immunoglobulin G</w:t>
      </w:r>
      <w:r w:rsidR="00C671A7" w:rsidRPr="00433B1D">
        <w:rPr>
          <w:rFonts w:ascii="Times New Roman" w:eastAsia="宋体" w:hAnsi="Times New Roman" w:cs="Times New Roman"/>
          <w:bCs/>
          <w:szCs w:val="20"/>
          <w:lang w:eastAsia="zh-CN"/>
        </w:rPr>
        <w:t>.</w:t>
      </w:r>
    </w:p>
    <w:p w14:paraId="1B1C309E" w14:textId="77777777" w:rsidR="009A66EC" w:rsidRPr="00433B1D" w:rsidRDefault="009A66EC"/>
    <w:sectPr w:rsidR="009A66EC" w:rsidRPr="00433B1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BD48E" w14:textId="77777777" w:rsidR="00B1687E" w:rsidRDefault="00B1687E" w:rsidP="00CD5917">
      <w:r>
        <w:separator/>
      </w:r>
    </w:p>
  </w:endnote>
  <w:endnote w:type="continuationSeparator" w:id="0">
    <w:p w14:paraId="25B20D5A" w14:textId="77777777" w:rsidR="00B1687E" w:rsidRDefault="00B1687E" w:rsidP="00CD5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70E67" w14:textId="77777777" w:rsidR="00B1687E" w:rsidRDefault="00B1687E" w:rsidP="00CD5917">
      <w:r>
        <w:separator/>
      </w:r>
    </w:p>
  </w:footnote>
  <w:footnote w:type="continuationSeparator" w:id="0">
    <w:p w14:paraId="0F14DD8D" w14:textId="77777777" w:rsidR="00B1687E" w:rsidRDefault="00B1687E" w:rsidP="00CD59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9E2"/>
    <w:rsid w:val="0000414F"/>
    <w:rsid w:val="000055F1"/>
    <w:rsid w:val="000114FA"/>
    <w:rsid w:val="00011BD1"/>
    <w:rsid w:val="00017EC7"/>
    <w:rsid w:val="00020D04"/>
    <w:rsid w:val="000225DF"/>
    <w:rsid w:val="000225FA"/>
    <w:rsid w:val="00027CB8"/>
    <w:rsid w:val="00027E8F"/>
    <w:rsid w:val="00030C5C"/>
    <w:rsid w:val="00030D42"/>
    <w:rsid w:val="000379F7"/>
    <w:rsid w:val="00041B2D"/>
    <w:rsid w:val="00045347"/>
    <w:rsid w:val="00045F61"/>
    <w:rsid w:val="000463C2"/>
    <w:rsid w:val="00047217"/>
    <w:rsid w:val="00047C4F"/>
    <w:rsid w:val="00050224"/>
    <w:rsid w:val="000514CA"/>
    <w:rsid w:val="000521BC"/>
    <w:rsid w:val="000521C9"/>
    <w:rsid w:val="00053496"/>
    <w:rsid w:val="00057DA4"/>
    <w:rsid w:val="00063998"/>
    <w:rsid w:val="000647A1"/>
    <w:rsid w:val="00064866"/>
    <w:rsid w:val="00064BDB"/>
    <w:rsid w:val="00064FF8"/>
    <w:rsid w:val="00065206"/>
    <w:rsid w:val="000677FF"/>
    <w:rsid w:val="0007072F"/>
    <w:rsid w:val="000750F0"/>
    <w:rsid w:val="00077E42"/>
    <w:rsid w:val="00077F4D"/>
    <w:rsid w:val="00081B34"/>
    <w:rsid w:val="0008205C"/>
    <w:rsid w:val="0008357E"/>
    <w:rsid w:val="00084C45"/>
    <w:rsid w:val="00085A1F"/>
    <w:rsid w:val="00085F27"/>
    <w:rsid w:val="00086CE9"/>
    <w:rsid w:val="00090A0C"/>
    <w:rsid w:val="000919F9"/>
    <w:rsid w:val="000925E5"/>
    <w:rsid w:val="0009404E"/>
    <w:rsid w:val="000942C5"/>
    <w:rsid w:val="00094964"/>
    <w:rsid w:val="000949E0"/>
    <w:rsid w:val="000A00B9"/>
    <w:rsid w:val="000A0F1C"/>
    <w:rsid w:val="000A5FAF"/>
    <w:rsid w:val="000A6178"/>
    <w:rsid w:val="000B001D"/>
    <w:rsid w:val="000B109A"/>
    <w:rsid w:val="000B6398"/>
    <w:rsid w:val="000B6987"/>
    <w:rsid w:val="000B72ED"/>
    <w:rsid w:val="000C0651"/>
    <w:rsid w:val="000C2160"/>
    <w:rsid w:val="000C3DF6"/>
    <w:rsid w:val="000C5652"/>
    <w:rsid w:val="000C76F2"/>
    <w:rsid w:val="000D2F5E"/>
    <w:rsid w:val="000D41EC"/>
    <w:rsid w:val="000D7942"/>
    <w:rsid w:val="000E1E91"/>
    <w:rsid w:val="000E2E4E"/>
    <w:rsid w:val="000E5C50"/>
    <w:rsid w:val="000F293A"/>
    <w:rsid w:val="000F4605"/>
    <w:rsid w:val="000F49CD"/>
    <w:rsid w:val="000F7237"/>
    <w:rsid w:val="00101233"/>
    <w:rsid w:val="00101D3C"/>
    <w:rsid w:val="0010286B"/>
    <w:rsid w:val="00104FB3"/>
    <w:rsid w:val="00106D7F"/>
    <w:rsid w:val="0010793D"/>
    <w:rsid w:val="001117C8"/>
    <w:rsid w:val="00116EDB"/>
    <w:rsid w:val="00117F7C"/>
    <w:rsid w:val="0012369F"/>
    <w:rsid w:val="0012609E"/>
    <w:rsid w:val="001376D2"/>
    <w:rsid w:val="00141D7C"/>
    <w:rsid w:val="0014590E"/>
    <w:rsid w:val="00147D42"/>
    <w:rsid w:val="00157C94"/>
    <w:rsid w:val="0016041E"/>
    <w:rsid w:val="00161187"/>
    <w:rsid w:val="00163C56"/>
    <w:rsid w:val="00163EBB"/>
    <w:rsid w:val="00164DD7"/>
    <w:rsid w:val="0016667B"/>
    <w:rsid w:val="001679EB"/>
    <w:rsid w:val="00167B23"/>
    <w:rsid w:val="00171E87"/>
    <w:rsid w:val="001755B7"/>
    <w:rsid w:val="00176192"/>
    <w:rsid w:val="0017631A"/>
    <w:rsid w:val="001804CA"/>
    <w:rsid w:val="00181EB4"/>
    <w:rsid w:val="00183848"/>
    <w:rsid w:val="00184584"/>
    <w:rsid w:val="00186920"/>
    <w:rsid w:val="00192DEB"/>
    <w:rsid w:val="00194E70"/>
    <w:rsid w:val="0019531D"/>
    <w:rsid w:val="001A3226"/>
    <w:rsid w:val="001A72C2"/>
    <w:rsid w:val="001B01A2"/>
    <w:rsid w:val="001B230B"/>
    <w:rsid w:val="001B336B"/>
    <w:rsid w:val="001B71D7"/>
    <w:rsid w:val="001B7CC1"/>
    <w:rsid w:val="001C0D07"/>
    <w:rsid w:val="001C3BDD"/>
    <w:rsid w:val="001C467A"/>
    <w:rsid w:val="001C70FC"/>
    <w:rsid w:val="001C71A3"/>
    <w:rsid w:val="001D06F8"/>
    <w:rsid w:val="001D1744"/>
    <w:rsid w:val="001D3D2E"/>
    <w:rsid w:val="001D68CD"/>
    <w:rsid w:val="001E04FB"/>
    <w:rsid w:val="001E0870"/>
    <w:rsid w:val="001E204A"/>
    <w:rsid w:val="001E2A34"/>
    <w:rsid w:val="001E49EE"/>
    <w:rsid w:val="001E4EE3"/>
    <w:rsid w:val="001E52BE"/>
    <w:rsid w:val="001E52DB"/>
    <w:rsid w:val="001E55E9"/>
    <w:rsid w:val="001F04C1"/>
    <w:rsid w:val="001F1EFA"/>
    <w:rsid w:val="001F275A"/>
    <w:rsid w:val="001F2CE3"/>
    <w:rsid w:val="001F47A0"/>
    <w:rsid w:val="001F7204"/>
    <w:rsid w:val="001F722A"/>
    <w:rsid w:val="00200085"/>
    <w:rsid w:val="00202B69"/>
    <w:rsid w:val="00206C37"/>
    <w:rsid w:val="002072C2"/>
    <w:rsid w:val="00210EC7"/>
    <w:rsid w:val="00211815"/>
    <w:rsid w:val="00211C11"/>
    <w:rsid w:val="002128CA"/>
    <w:rsid w:val="00213E13"/>
    <w:rsid w:val="002152C0"/>
    <w:rsid w:val="00216E6C"/>
    <w:rsid w:val="002222B0"/>
    <w:rsid w:val="0022395D"/>
    <w:rsid w:val="00223E96"/>
    <w:rsid w:val="00227976"/>
    <w:rsid w:val="00233016"/>
    <w:rsid w:val="00237E75"/>
    <w:rsid w:val="00237F14"/>
    <w:rsid w:val="00240C68"/>
    <w:rsid w:val="00241BD1"/>
    <w:rsid w:val="00242085"/>
    <w:rsid w:val="00244FC5"/>
    <w:rsid w:val="00245521"/>
    <w:rsid w:val="00246916"/>
    <w:rsid w:val="00250702"/>
    <w:rsid w:val="00254309"/>
    <w:rsid w:val="00256726"/>
    <w:rsid w:val="00257599"/>
    <w:rsid w:val="00260DB9"/>
    <w:rsid w:val="00261C32"/>
    <w:rsid w:val="002624C1"/>
    <w:rsid w:val="0026707C"/>
    <w:rsid w:val="00273D53"/>
    <w:rsid w:val="00282677"/>
    <w:rsid w:val="002826C3"/>
    <w:rsid w:val="00283A7A"/>
    <w:rsid w:val="00283BB6"/>
    <w:rsid w:val="0028538B"/>
    <w:rsid w:val="00295C7D"/>
    <w:rsid w:val="00297913"/>
    <w:rsid w:val="002A080B"/>
    <w:rsid w:val="002A22D6"/>
    <w:rsid w:val="002A29A5"/>
    <w:rsid w:val="002A573D"/>
    <w:rsid w:val="002A5D2D"/>
    <w:rsid w:val="002A70A1"/>
    <w:rsid w:val="002B0B8C"/>
    <w:rsid w:val="002B4508"/>
    <w:rsid w:val="002B6214"/>
    <w:rsid w:val="002B6E11"/>
    <w:rsid w:val="002B7206"/>
    <w:rsid w:val="002B7290"/>
    <w:rsid w:val="002C224F"/>
    <w:rsid w:val="002C4819"/>
    <w:rsid w:val="002D0482"/>
    <w:rsid w:val="002D1E65"/>
    <w:rsid w:val="002D5B14"/>
    <w:rsid w:val="002D5D16"/>
    <w:rsid w:val="002D6BFD"/>
    <w:rsid w:val="002E0333"/>
    <w:rsid w:val="002E3BD6"/>
    <w:rsid w:val="002E495F"/>
    <w:rsid w:val="002E7CF8"/>
    <w:rsid w:val="002F17DC"/>
    <w:rsid w:val="002F3FE2"/>
    <w:rsid w:val="002F40FC"/>
    <w:rsid w:val="002F5186"/>
    <w:rsid w:val="002F78CC"/>
    <w:rsid w:val="003055BE"/>
    <w:rsid w:val="0031382B"/>
    <w:rsid w:val="003142F8"/>
    <w:rsid w:val="00315E05"/>
    <w:rsid w:val="00323932"/>
    <w:rsid w:val="00327405"/>
    <w:rsid w:val="00330ED6"/>
    <w:rsid w:val="003364C0"/>
    <w:rsid w:val="00341E4F"/>
    <w:rsid w:val="00343E5A"/>
    <w:rsid w:val="003472B9"/>
    <w:rsid w:val="00347A5D"/>
    <w:rsid w:val="00351D32"/>
    <w:rsid w:val="003533C0"/>
    <w:rsid w:val="0035427D"/>
    <w:rsid w:val="003546E6"/>
    <w:rsid w:val="00354AAB"/>
    <w:rsid w:val="0035522A"/>
    <w:rsid w:val="003557B4"/>
    <w:rsid w:val="00355940"/>
    <w:rsid w:val="00364ABF"/>
    <w:rsid w:val="003667E7"/>
    <w:rsid w:val="0037044C"/>
    <w:rsid w:val="00372B13"/>
    <w:rsid w:val="00373A05"/>
    <w:rsid w:val="0037575F"/>
    <w:rsid w:val="00375CEA"/>
    <w:rsid w:val="003808F7"/>
    <w:rsid w:val="00380B5E"/>
    <w:rsid w:val="00383979"/>
    <w:rsid w:val="00384FF7"/>
    <w:rsid w:val="00386CDF"/>
    <w:rsid w:val="00392DA3"/>
    <w:rsid w:val="003947C9"/>
    <w:rsid w:val="003975A1"/>
    <w:rsid w:val="003978B8"/>
    <w:rsid w:val="003A1C74"/>
    <w:rsid w:val="003A3C4D"/>
    <w:rsid w:val="003A4237"/>
    <w:rsid w:val="003A6B0B"/>
    <w:rsid w:val="003A6CEE"/>
    <w:rsid w:val="003B17CD"/>
    <w:rsid w:val="003B2F61"/>
    <w:rsid w:val="003B7E1E"/>
    <w:rsid w:val="003C3BA1"/>
    <w:rsid w:val="003C3E37"/>
    <w:rsid w:val="003C415B"/>
    <w:rsid w:val="003C4B76"/>
    <w:rsid w:val="003C6B8F"/>
    <w:rsid w:val="003E59C9"/>
    <w:rsid w:val="003E6E99"/>
    <w:rsid w:val="003F3B46"/>
    <w:rsid w:val="003F5F12"/>
    <w:rsid w:val="0040276B"/>
    <w:rsid w:val="004058FF"/>
    <w:rsid w:val="00412E94"/>
    <w:rsid w:val="004137BF"/>
    <w:rsid w:val="004157B1"/>
    <w:rsid w:val="004175E3"/>
    <w:rsid w:val="004230F2"/>
    <w:rsid w:val="0042344F"/>
    <w:rsid w:val="00425632"/>
    <w:rsid w:val="004304DC"/>
    <w:rsid w:val="00433B1D"/>
    <w:rsid w:val="004365FB"/>
    <w:rsid w:val="00436E17"/>
    <w:rsid w:val="00437240"/>
    <w:rsid w:val="004372F1"/>
    <w:rsid w:val="00442430"/>
    <w:rsid w:val="00445148"/>
    <w:rsid w:val="0044584C"/>
    <w:rsid w:val="004526AF"/>
    <w:rsid w:val="004527F9"/>
    <w:rsid w:val="004528A8"/>
    <w:rsid w:val="00453194"/>
    <w:rsid w:val="004540CF"/>
    <w:rsid w:val="00456D7E"/>
    <w:rsid w:val="004571B1"/>
    <w:rsid w:val="00460F73"/>
    <w:rsid w:val="0046122A"/>
    <w:rsid w:val="00464FB7"/>
    <w:rsid w:val="00465435"/>
    <w:rsid w:val="004657E3"/>
    <w:rsid w:val="004678BE"/>
    <w:rsid w:val="0047067F"/>
    <w:rsid w:val="00471740"/>
    <w:rsid w:val="004724F3"/>
    <w:rsid w:val="00473137"/>
    <w:rsid w:val="00473D3F"/>
    <w:rsid w:val="004767AD"/>
    <w:rsid w:val="00477FD5"/>
    <w:rsid w:val="004814CA"/>
    <w:rsid w:val="00481B3D"/>
    <w:rsid w:val="00482218"/>
    <w:rsid w:val="00487D00"/>
    <w:rsid w:val="00490082"/>
    <w:rsid w:val="00490E3A"/>
    <w:rsid w:val="0049248B"/>
    <w:rsid w:val="0049299B"/>
    <w:rsid w:val="00493F6F"/>
    <w:rsid w:val="0049479A"/>
    <w:rsid w:val="004953E7"/>
    <w:rsid w:val="004A06DE"/>
    <w:rsid w:val="004A1269"/>
    <w:rsid w:val="004A7BD8"/>
    <w:rsid w:val="004B5373"/>
    <w:rsid w:val="004C0468"/>
    <w:rsid w:val="004C1B6B"/>
    <w:rsid w:val="004C2CAC"/>
    <w:rsid w:val="004C3F38"/>
    <w:rsid w:val="004C7146"/>
    <w:rsid w:val="004C7631"/>
    <w:rsid w:val="004D2EBE"/>
    <w:rsid w:val="004D67BC"/>
    <w:rsid w:val="004D7C08"/>
    <w:rsid w:val="004E1D5E"/>
    <w:rsid w:val="004F015B"/>
    <w:rsid w:val="004F0D79"/>
    <w:rsid w:val="004F11AD"/>
    <w:rsid w:val="004F2459"/>
    <w:rsid w:val="004F4876"/>
    <w:rsid w:val="00502208"/>
    <w:rsid w:val="00505513"/>
    <w:rsid w:val="005062AE"/>
    <w:rsid w:val="005150C0"/>
    <w:rsid w:val="0051733B"/>
    <w:rsid w:val="00520EC2"/>
    <w:rsid w:val="00524590"/>
    <w:rsid w:val="00524954"/>
    <w:rsid w:val="00524E74"/>
    <w:rsid w:val="00525DAA"/>
    <w:rsid w:val="00526BCE"/>
    <w:rsid w:val="005309D5"/>
    <w:rsid w:val="0053295B"/>
    <w:rsid w:val="005378C6"/>
    <w:rsid w:val="00543740"/>
    <w:rsid w:val="00543F24"/>
    <w:rsid w:val="005440B0"/>
    <w:rsid w:val="00550434"/>
    <w:rsid w:val="0055072F"/>
    <w:rsid w:val="005516B8"/>
    <w:rsid w:val="00552065"/>
    <w:rsid w:val="00561B88"/>
    <w:rsid w:val="0056278A"/>
    <w:rsid w:val="0058055B"/>
    <w:rsid w:val="00584987"/>
    <w:rsid w:val="005876C5"/>
    <w:rsid w:val="00592340"/>
    <w:rsid w:val="00597F23"/>
    <w:rsid w:val="005A0011"/>
    <w:rsid w:val="005A305A"/>
    <w:rsid w:val="005A4440"/>
    <w:rsid w:val="005A4CB8"/>
    <w:rsid w:val="005A6671"/>
    <w:rsid w:val="005A7297"/>
    <w:rsid w:val="005B0C1F"/>
    <w:rsid w:val="005B5BA0"/>
    <w:rsid w:val="005B67A5"/>
    <w:rsid w:val="005C2764"/>
    <w:rsid w:val="005C2EC9"/>
    <w:rsid w:val="005C7C98"/>
    <w:rsid w:val="005D6B4A"/>
    <w:rsid w:val="005E093A"/>
    <w:rsid w:val="005E305B"/>
    <w:rsid w:val="005F3380"/>
    <w:rsid w:val="005F4E54"/>
    <w:rsid w:val="005F6CCD"/>
    <w:rsid w:val="00607917"/>
    <w:rsid w:val="00607C0E"/>
    <w:rsid w:val="0061005D"/>
    <w:rsid w:val="00615FBA"/>
    <w:rsid w:val="0061710C"/>
    <w:rsid w:val="00620226"/>
    <w:rsid w:val="0062135D"/>
    <w:rsid w:val="006224E5"/>
    <w:rsid w:val="006250F3"/>
    <w:rsid w:val="0062649C"/>
    <w:rsid w:val="00626A12"/>
    <w:rsid w:val="00630B2B"/>
    <w:rsid w:val="006378E0"/>
    <w:rsid w:val="0064090B"/>
    <w:rsid w:val="006414A4"/>
    <w:rsid w:val="00647EBC"/>
    <w:rsid w:val="0065185B"/>
    <w:rsid w:val="0066197D"/>
    <w:rsid w:val="006651EE"/>
    <w:rsid w:val="00670E47"/>
    <w:rsid w:val="00676286"/>
    <w:rsid w:val="006775F6"/>
    <w:rsid w:val="0068032A"/>
    <w:rsid w:val="00683F2E"/>
    <w:rsid w:val="00685892"/>
    <w:rsid w:val="00692798"/>
    <w:rsid w:val="006941FD"/>
    <w:rsid w:val="00694358"/>
    <w:rsid w:val="00695787"/>
    <w:rsid w:val="00696DB3"/>
    <w:rsid w:val="006A1A6F"/>
    <w:rsid w:val="006A342E"/>
    <w:rsid w:val="006B1967"/>
    <w:rsid w:val="006B1C7C"/>
    <w:rsid w:val="006B7804"/>
    <w:rsid w:val="006C0017"/>
    <w:rsid w:val="006C5043"/>
    <w:rsid w:val="006C50B0"/>
    <w:rsid w:val="006C790B"/>
    <w:rsid w:val="006C7D2A"/>
    <w:rsid w:val="006D2F6A"/>
    <w:rsid w:val="006D3F6E"/>
    <w:rsid w:val="006D46EB"/>
    <w:rsid w:val="006D5F9A"/>
    <w:rsid w:val="006D65ED"/>
    <w:rsid w:val="006D7FCC"/>
    <w:rsid w:val="006E07C2"/>
    <w:rsid w:val="006E4D8E"/>
    <w:rsid w:val="006E5925"/>
    <w:rsid w:val="006F0E79"/>
    <w:rsid w:val="006F2629"/>
    <w:rsid w:val="006F26D6"/>
    <w:rsid w:val="006F34C8"/>
    <w:rsid w:val="006F4BBA"/>
    <w:rsid w:val="00703253"/>
    <w:rsid w:val="00706202"/>
    <w:rsid w:val="007076AF"/>
    <w:rsid w:val="0071679C"/>
    <w:rsid w:val="007171F7"/>
    <w:rsid w:val="0071766B"/>
    <w:rsid w:val="0072359A"/>
    <w:rsid w:val="00724278"/>
    <w:rsid w:val="00725D37"/>
    <w:rsid w:val="00727ADA"/>
    <w:rsid w:val="00734449"/>
    <w:rsid w:val="00740B0E"/>
    <w:rsid w:val="00745989"/>
    <w:rsid w:val="00747FD7"/>
    <w:rsid w:val="00753ABD"/>
    <w:rsid w:val="00755277"/>
    <w:rsid w:val="007608A5"/>
    <w:rsid w:val="0076162A"/>
    <w:rsid w:val="00766D60"/>
    <w:rsid w:val="007711C6"/>
    <w:rsid w:val="0078082E"/>
    <w:rsid w:val="007811A1"/>
    <w:rsid w:val="00784017"/>
    <w:rsid w:val="00784E89"/>
    <w:rsid w:val="007860AE"/>
    <w:rsid w:val="00787598"/>
    <w:rsid w:val="00791CDB"/>
    <w:rsid w:val="00792ACA"/>
    <w:rsid w:val="00792DB4"/>
    <w:rsid w:val="00795D27"/>
    <w:rsid w:val="007A1835"/>
    <w:rsid w:val="007A52BF"/>
    <w:rsid w:val="007B0113"/>
    <w:rsid w:val="007B198C"/>
    <w:rsid w:val="007B1F45"/>
    <w:rsid w:val="007B28FB"/>
    <w:rsid w:val="007B47BC"/>
    <w:rsid w:val="007B601B"/>
    <w:rsid w:val="007C1202"/>
    <w:rsid w:val="007C61A6"/>
    <w:rsid w:val="007C74A7"/>
    <w:rsid w:val="007C7A1E"/>
    <w:rsid w:val="007D17E1"/>
    <w:rsid w:val="007E2BB1"/>
    <w:rsid w:val="007E4A25"/>
    <w:rsid w:val="007E5231"/>
    <w:rsid w:val="007E66B2"/>
    <w:rsid w:val="007F2A23"/>
    <w:rsid w:val="007F2A2F"/>
    <w:rsid w:val="007F6ED6"/>
    <w:rsid w:val="007F7A6D"/>
    <w:rsid w:val="00800665"/>
    <w:rsid w:val="0080147C"/>
    <w:rsid w:val="008023DE"/>
    <w:rsid w:val="00807AF7"/>
    <w:rsid w:val="00814148"/>
    <w:rsid w:val="008149E2"/>
    <w:rsid w:val="00814D27"/>
    <w:rsid w:val="008165DA"/>
    <w:rsid w:val="00822BFD"/>
    <w:rsid w:val="00823BFA"/>
    <w:rsid w:val="0082737D"/>
    <w:rsid w:val="00840F40"/>
    <w:rsid w:val="0084113D"/>
    <w:rsid w:val="0084311D"/>
    <w:rsid w:val="00843272"/>
    <w:rsid w:val="00843443"/>
    <w:rsid w:val="00843C8F"/>
    <w:rsid w:val="00846606"/>
    <w:rsid w:val="0084722F"/>
    <w:rsid w:val="008478D4"/>
    <w:rsid w:val="008526C8"/>
    <w:rsid w:val="00852B4C"/>
    <w:rsid w:val="00853D03"/>
    <w:rsid w:val="008576B7"/>
    <w:rsid w:val="00857822"/>
    <w:rsid w:val="008614AC"/>
    <w:rsid w:val="00862C31"/>
    <w:rsid w:val="008678FC"/>
    <w:rsid w:val="00867BF9"/>
    <w:rsid w:val="00873A24"/>
    <w:rsid w:val="00873C42"/>
    <w:rsid w:val="008748AB"/>
    <w:rsid w:val="00885A6F"/>
    <w:rsid w:val="008878C9"/>
    <w:rsid w:val="0089382C"/>
    <w:rsid w:val="00897245"/>
    <w:rsid w:val="008974B0"/>
    <w:rsid w:val="00897BA4"/>
    <w:rsid w:val="008A0D17"/>
    <w:rsid w:val="008A2829"/>
    <w:rsid w:val="008A2D6F"/>
    <w:rsid w:val="008A2DDF"/>
    <w:rsid w:val="008A71CD"/>
    <w:rsid w:val="008B1202"/>
    <w:rsid w:val="008B6939"/>
    <w:rsid w:val="008B6B9E"/>
    <w:rsid w:val="008B6F57"/>
    <w:rsid w:val="008C3802"/>
    <w:rsid w:val="008C3D76"/>
    <w:rsid w:val="008C3E9F"/>
    <w:rsid w:val="008C4C42"/>
    <w:rsid w:val="008C5AB5"/>
    <w:rsid w:val="008C6782"/>
    <w:rsid w:val="008C7A83"/>
    <w:rsid w:val="008C7BE3"/>
    <w:rsid w:val="008D079A"/>
    <w:rsid w:val="008D2BE7"/>
    <w:rsid w:val="008D3957"/>
    <w:rsid w:val="008D40A1"/>
    <w:rsid w:val="008D734F"/>
    <w:rsid w:val="008E0828"/>
    <w:rsid w:val="008E0A25"/>
    <w:rsid w:val="008E0B7A"/>
    <w:rsid w:val="008E3BE5"/>
    <w:rsid w:val="008F1EA8"/>
    <w:rsid w:val="008F31DE"/>
    <w:rsid w:val="0090165E"/>
    <w:rsid w:val="00903819"/>
    <w:rsid w:val="009060F5"/>
    <w:rsid w:val="0090635C"/>
    <w:rsid w:val="009074DD"/>
    <w:rsid w:val="009148C5"/>
    <w:rsid w:val="00915439"/>
    <w:rsid w:val="00917C47"/>
    <w:rsid w:val="0092105C"/>
    <w:rsid w:val="00921BE6"/>
    <w:rsid w:val="009230E5"/>
    <w:rsid w:val="00924DDB"/>
    <w:rsid w:val="009255B7"/>
    <w:rsid w:val="00925B2A"/>
    <w:rsid w:val="009262EB"/>
    <w:rsid w:val="00927DD0"/>
    <w:rsid w:val="00932135"/>
    <w:rsid w:val="00935FBB"/>
    <w:rsid w:val="009376CD"/>
    <w:rsid w:val="00943D7E"/>
    <w:rsid w:val="0094452F"/>
    <w:rsid w:val="009450D4"/>
    <w:rsid w:val="00945398"/>
    <w:rsid w:val="009477AB"/>
    <w:rsid w:val="00951837"/>
    <w:rsid w:val="00951CE4"/>
    <w:rsid w:val="00952E7E"/>
    <w:rsid w:val="009601FC"/>
    <w:rsid w:val="009605A0"/>
    <w:rsid w:val="00960DDC"/>
    <w:rsid w:val="00963F72"/>
    <w:rsid w:val="00964997"/>
    <w:rsid w:val="00965119"/>
    <w:rsid w:val="009753EC"/>
    <w:rsid w:val="009773A1"/>
    <w:rsid w:val="009812C3"/>
    <w:rsid w:val="00981F90"/>
    <w:rsid w:val="00982EA4"/>
    <w:rsid w:val="009937DF"/>
    <w:rsid w:val="00997DDE"/>
    <w:rsid w:val="009A08C4"/>
    <w:rsid w:val="009A128E"/>
    <w:rsid w:val="009A12C9"/>
    <w:rsid w:val="009A1B0D"/>
    <w:rsid w:val="009A2D8B"/>
    <w:rsid w:val="009A5D3F"/>
    <w:rsid w:val="009A66EC"/>
    <w:rsid w:val="009B63F6"/>
    <w:rsid w:val="009B6514"/>
    <w:rsid w:val="009B6C33"/>
    <w:rsid w:val="009B7400"/>
    <w:rsid w:val="009C524F"/>
    <w:rsid w:val="009D1DD2"/>
    <w:rsid w:val="009D34B7"/>
    <w:rsid w:val="009D5B64"/>
    <w:rsid w:val="009E4E42"/>
    <w:rsid w:val="009E4F77"/>
    <w:rsid w:val="009E7A42"/>
    <w:rsid w:val="009F0240"/>
    <w:rsid w:val="009F065B"/>
    <w:rsid w:val="009F3019"/>
    <w:rsid w:val="009F3187"/>
    <w:rsid w:val="00A103D3"/>
    <w:rsid w:val="00A10941"/>
    <w:rsid w:val="00A11620"/>
    <w:rsid w:val="00A13F83"/>
    <w:rsid w:val="00A14EF4"/>
    <w:rsid w:val="00A15057"/>
    <w:rsid w:val="00A1762D"/>
    <w:rsid w:val="00A20B33"/>
    <w:rsid w:val="00A2205F"/>
    <w:rsid w:val="00A222DC"/>
    <w:rsid w:val="00A23ADB"/>
    <w:rsid w:val="00A27662"/>
    <w:rsid w:val="00A3105D"/>
    <w:rsid w:val="00A33881"/>
    <w:rsid w:val="00A40E56"/>
    <w:rsid w:val="00A425F5"/>
    <w:rsid w:val="00A426A5"/>
    <w:rsid w:val="00A42EE4"/>
    <w:rsid w:val="00A43A9A"/>
    <w:rsid w:val="00A44AA2"/>
    <w:rsid w:val="00A468C0"/>
    <w:rsid w:val="00A51A15"/>
    <w:rsid w:val="00A51E4A"/>
    <w:rsid w:val="00A52A8B"/>
    <w:rsid w:val="00A630B5"/>
    <w:rsid w:val="00A63920"/>
    <w:rsid w:val="00A63CAE"/>
    <w:rsid w:val="00A66EFB"/>
    <w:rsid w:val="00A6718B"/>
    <w:rsid w:val="00A71DD8"/>
    <w:rsid w:val="00A72885"/>
    <w:rsid w:val="00A72AA5"/>
    <w:rsid w:val="00A72CD5"/>
    <w:rsid w:val="00A75E06"/>
    <w:rsid w:val="00A77A23"/>
    <w:rsid w:val="00A80201"/>
    <w:rsid w:val="00A80E22"/>
    <w:rsid w:val="00A81330"/>
    <w:rsid w:val="00A84433"/>
    <w:rsid w:val="00A84766"/>
    <w:rsid w:val="00A84CCF"/>
    <w:rsid w:val="00A917BA"/>
    <w:rsid w:val="00A938B9"/>
    <w:rsid w:val="00A978E7"/>
    <w:rsid w:val="00AA0737"/>
    <w:rsid w:val="00AA7F7A"/>
    <w:rsid w:val="00AB2AC8"/>
    <w:rsid w:val="00AB2B48"/>
    <w:rsid w:val="00AB47BA"/>
    <w:rsid w:val="00AB4E0B"/>
    <w:rsid w:val="00AB501A"/>
    <w:rsid w:val="00AC057E"/>
    <w:rsid w:val="00AC1BE7"/>
    <w:rsid w:val="00AC405A"/>
    <w:rsid w:val="00AC4572"/>
    <w:rsid w:val="00AC5BEB"/>
    <w:rsid w:val="00AC6638"/>
    <w:rsid w:val="00AC69A9"/>
    <w:rsid w:val="00AC6DC2"/>
    <w:rsid w:val="00AC6EFC"/>
    <w:rsid w:val="00AD6C4B"/>
    <w:rsid w:val="00AE00BA"/>
    <w:rsid w:val="00AE0118"/>
    <w:rsid w:val="00AE1BCE"/>
    <w:rsid w:val="00AE48F6"/>
    <w:rsid w:val="00AE6C0B"/>
    <w:rsid w:val="00AF0373"/>
    <w:rsid w:val="00AF3361"/>
    <w:rsid w:val="00AF50B3"/>
    <w:rsid w:val="00AF6A5C"/>
    <w:rsid w:val="00B02002"/>
    <w:rsid w:val="00B04502"/>
    <w:rsid w:val="00B107CD"/>
    <w:rsid w:val="00B12584"/>
    <w:rsid w:val="00B1439C"/>
    <w:rsid w:val="00B144F1"/>
    <w:rsid w:val="00B1687E"/>
    <w:rsid w:val="00B16A08"/>
    <w:rsid w:val="00B16D9B"/>
    <w:rsid w:val="00B27F87"/>
    <w:rsid w:val="00B31656"/>
    <w:rsid w:val="00B34391"/>
    <w:rsid w:val="00B34581"/>
    <w:rsid w:val="00B43947"/>
    <w:rsid w:val="00B45AFB"/>
    <w:rsid w:val="00B45B56"/>
    <w:rsid w:val="00B45B72"/>
    <w:rsid w:val="00B47C21"/>
    <w:rsid w:val="00B51134"/>
    <w:rsid w:val="00B529A0"/>
    <w:rsid w:val="00B555B7"/>
    <w:rsid w:val="00B613D2"/>
    <w:rsid w:val="00B6203C"/>
    <w:rsid w:val="00B637DE"/>
    <w:rsid w:val="00B67A8C"/>
    <w:rsid w:val="00B71195"/>
    <w:rsid w:val="00B73B47"/>
    <w:rsid w:val="00B73FA7"/>
    <w:rsid w:val="00B74662"/>
    <w:rsid w:val="00B75188"/>
    <w:rsid w:val="00B77696"/>
    <w:rsid w:val="00B802A8"/>
    <w:rsid w:val="00B806D3"/>
    <w:rsid w:val="00B86061"/>
    <w:rsid w:val="00B90879"/>
    <w:rsid w:val="00B94723"/>
    <w:rsid w:val="00B94A8C"/>
    <w:rsid w:val="00BA1AFF"/>
    <w:rsid w:val="00BA288A"/>
    <w:rsid w:val="00BA2AC2"/>
    <w:rsid w:val="00BB2DC4"/>
    <w:rsid w:val="00BB2FBD"/>
    <w:rsid w:val="00BB3801"/>
    <w:rsid w:val="00BB4699"/>
    <w:rsid w:val="00BB5478"/>
    <w:rsid w:val="00BB5BAE"/>
    <w:rsid w:val="00BC10DF"/>
    <w:rsid w:val="00BC1268"/>
    <w:rsid w:val="00BC4049"/>
    <w:rsid w:val="00BC4A83"/>
    <w:rsid w:val="00BD08F9"/>
    <w:rsid w:val="00BD198C"/>
    <w:rsid w:val="00BD1CD9"/>
    <w:rsid w:val="00BD1F06"/>
    <w:rsid w:val="00BD2BC4"/>
    <w:rsid w:val="00BD3ECF"/>
    <w:rsid w:val="00BD75CC"/>
    <w:rsid w:val="00BE11C0"/>
    <w:rsid w:val="00BE23FA"/>
    <w:rsid w:val="00BE6E96"/>
    <w:rsid w:val="00BF1285"/>
    <w:rsid w:val="00BF13A1"/>
    <w:rsid w:val="00BF4FF0"/>
    <w:rsid w:val="00BF6C0A"/>
    <w:rsid w:val="00C02AE4"/>
    <w:rsid w:val="00C02CB4"/>
    <w:rsid w:val="00C04AC5"/>
    <w:rsid w:val="00C07456"/>
    <w:rsid w:val="00C07B4D"/>
    <w:rsid w:val="00C07CE0"/>
    <w:rsid w:val="00C12794"/>
    <w:rsid w:val="00C15EAC"/>
    <w:rsid w:val="00C16C91"/>
    <w:rsid w:val="00C30086"/>
    <w:rsid w:val="00C3042B"/>
    <w:rsid w:val="00C306E8"/>
    <w:rsid w:val="00C3162D"/>
    <w:rsid w:val="00C32870"/>
    <w:rsid w:val="00C33CD4"/>
    <w:rsid w:val="00C36C63"/>
    <w:rsid w:val="00C377F4"/>
    <w:rsid w:val="00C41CB7"/>
    <w:rsid w:val="00C43988"/>
    <w:rsid w:val="00C541A6"/>
    <w:rsid w:val="00C55D85"/>
    <w:rsid w:val="00C565D6"/>
    <w:rsid w:val="00C56FF6"/>
    <w:rsid w:val="00C60299"/>
    <w:rsid w:val="00C63979"/>
    <w:rsid w:val="00C63D43"/>
    <w:rsid w:val="00C671A7"/>
    <w:rsid w:val="00C80C78"/>
    <w:rsid w:val="00C815E0"/>
    <w:rsid w:val="00C82529"/>
    <w:rsid w:val="00C84022"/>
    <w:rsid w:val="00C84373"/>
    <w:rsid w:val="00C8597A"/>
    <w:rsid w:val="00C8608F"/>
    <w:rsid w:val="00C86726"/>
    <w:rsid w:val="00C86EFE"/>
    <w:rsid w:val="00C8789A"/>
    <w:rsid w:val="00C94B51"/>
    <w:rsid w:val="00C94C44"/>
    <w:rsid w:val="00CA2536"/>
    <w:rsid w:val="00CA4BEA"/>
    <w:rsid w:val="00CA6DE2"/>
    <w:rsid w:val="00CA7E92"/>
    <w:rsid w:val="00CB1F85"/>
    <w:rsid w:val="00CB29FE"/>
    <w:rsid w:val="00CB3C1B"/>
    <w:rsid w:val="00CB4677"/>
    <w:rsid w:val="00CC0E13"/>
    <w:rsid w:val="00CC38D4"/>
    <w:rsid w:val="00CC3FAE"/>
    <w:rsid w:val="00CC4143"/>
    <w:rsid w:val="00CC451C"/>
    <w:rsid w:val="00CC5571"/>
    <w:rsid w:val="00CC5AE5"/>
    <w:rsid w:val="00CC5FEC"/>
    <w:rsid w:val="00CC7279"/>
    <w:rsid w:val="00CD001A"/>
    <w:rsid w:val="00CD33E9"/>
    <w:rsid w:val="00CD4D9C"/>
    <w:rsid w:val="00CD5917"/>
    <w:rsid w:val="00CD7C3B"/>
    <w:rsid w:val="00CE29F2"/>
    <w:rsid w:val="00CE3CD5"/>
    <w:rsid w:val="00CE5F14"/>
    <w:rsid w:val="00CE66B5"/>
    <w:rsid w:val="00CE7A86"/>
    <w:rsid w:val="00CF04B5"/>
    <w:rsid w:val="00CF1CA4"/>
    <w:rsid w:val="00CF21C5"/>
    <w:rsid w:val="00CF3E3A"/>
    <w:rsid w:val="00CF5CDC"/>
    <w:rsid w:val="00D06BC7"/>
    <w:rsid w:val="00D11BC4"/>
    <w:rsid w:val="00D11EA7"/>
    <w:rsid w:val="00D17E77"/>
    <w:rsid w:val="00D24EAF"/>
    <w:rsid w:val="00D277D2"/>
    <w:rsid w:val="00D37379"/>
    <w:rsid w:val="00D4348F"/>
    <w:rsid w:val="00D52C2E"/>
    <w:rsid w:val="00D5500E"/>
    <w:rsid w:val="00D5598E"/>
    <w:rsid w:val="00D602F9"/>
    <w:rsid w:val="00D62354"/>
    <w:rsid w:val="00D62971"/>
    <w:rsid w:val="00D63CC0"/>
    <w:rsid w:val="00D6601F"/>
    <w:rsid w:val="00D727E8"/>
    <w:rsid w:val="00D91690"/>
    <w:rsid w:val="00D93D9A"/>
    <w:rsid w:val="00D93E5B"/>
    <w:rsid w:val="00D95192"/>
    <w:rsid w:val="00D954C0"/>
    <w:rsid w:val="00DA0295"/>
    <w:rsid w:val="00DA09B0"/>
    <w:rsid w:val="00DA3299"/>
    <w:rsid w:val="00DA5745"/>
    <w:rsid w:val="00DA729F"/>
    <w:rsid w:val="00DB31D5"/>
    <w:rsid w:val="00DB400E"/>
    <w:rsid w:val="00DC1668"/>
    <w:rsid w:val="00DC4B10"/>
    <w:rsid w:val="00DD0239"/>
    <w:rsid w:val="00DD087A"/>
    <w:rsid w:val="00DD0F00"/>
    <w:rsid w:val="00DD4F09"/>
    <w:rsid w:val="00DE1EFB"/>
    <w:rsid w:val="00DE41EF"/>
    <w:rsid w:val="00DF1725"/>
    <w:rsid w:val="00DF1D75"/>
    <w:rsid w:val="00DF2700"/>
    <w:rsid w:val="00E03ED2"/>
    <w:rsid w:val="00E0404E"/>
    <w:rsid w:val="00E07430"/>
    <w:rsid w:val="00E20100"/>
    <w:rsid w:val="00E21108"/>
    <w:rsid w:val="00E25DF5"/>
    <w:rsid w:val="00E274D8"/>
    <w:rsid w:val="00E3097E"/>
    <w:rsid w:val="00E30F02"/>
    <w:rsid w:val="00E32377"/>
    <w:rsid w:val="00E32D8C"/>
    <w:rsid w:val="00E34FCC"/>
    <w:rsid w:val="00E3764A"/>
    <w:rsid w:val="00E37CAC"/>
    <w:rsid w:val="00E41424"/>
    <w:rsid w:val="00E4251B"/>
    <w:rsid w:val="00E43557"/>
    <w:rsid w:val="00E467C5"/>
    <w:rsid w:val="00E50FE0"/>
    <w:rsid w:val="00E52159"/>
    <w:rsid w:val="00E54B8E"/>
    <w:rsid w:val="00E571FE"/>
    <w:rsid w:val="00E61675"/>
    <w:rsid w:val="00E63FC5"/>
    <w:rsid w:val="00E679F4"/>
    <w:rsid w:val="00E67FDA"/>
    <w:rsid w:val="00E7643F"/>
    <w:rsid w:val="00E81BF7"/>
    <w:rsid w:val="00E82839"/>
    <w:rsid w:val="00E83346"/>
    <w:rsid w:val="00E84BC2"/>
    <w:rsid w:val="00E87AB2"/>
    <w:rsid w:val="00E925D6"/>
    <w:rsid w:val="00E94CAC"/>
    <w:rsid w:val="00E95690"/>
    <w:rsid w:val="00E95A49"/>
    <w:rsid w:val="00EA0F82"/>
    <w:rsid w:val="00EA218E"/>
    <w:rsid w:val="00EA7099"/>
    <w:rsid w:val="00EA7F3D"/>
    <w:rsid w:val="00EB3364"/>
    <w:rsid w:val="00EB36F2"/>
    <w:rsid w:val="00EB41E5"/>
    <w:rsid w:val="00EB6D39"/>
    <w:rsid w:val="00EB71F3"/>
    <w:rsid w:val="00EC1F2A"/>
    <w:rsid w:val="00EC3E0A"/>
    <w:rsid w:val="00EC4018"/>
    <w:rsid w:val="00EC5684"/>
    <w:rsid w:val="00ED20C8"/>
    <w:rsid w:val="00ED3BC6"/>
    <w:rsid w:val="00ED49D4"/>
    <w:rsid w:val="00ED4EE1"/>
    <w:rsid w:val="00ED5E6A"/>
    <w:rsid w:val="00EE0206"/>
    <w:rsid w:val="00EE1179"/>
    <w:rsid w:val="00EE1D9B"/>
    <w:rsid w:val="00EE3B6C"/>
    <w:rsid w:val="00EE6B54"/>
    <w:rsid w:val="00EE7302"/>
    <w:rsid w:val="00EF1D0B"/>
    <w:rsid w:val="00EF6F98"/>
    <w:rsid w:val="00EF7A74"/>
    <w:rsid w:val="00F03F70"/>
    <w:rsid w:val="00F0413B"/>
    <w:rsid w:val="00F0443A"/>
    <w:rsid w:val="00F07D51"/>
    <w:rsid w:val="00F1077A"/>
    <w:rsid w:val="00F11038"/>
    <w:rsid w:val="00F13726"/>
    <w:rsid w:val="00F142E6"/>
    <w:rsid w:val="00F145AB"/>
    <w:rsid w:val="00F15E7B"/>
    <w:rsid w:val="00F16C3A"/>
    <w:rsid w:val="00F16CE5"/>
    <w:rsid w:val="00F209F9"/>
    <w:rsid w:val="00F2209E"/>
    <w:rsid w:val="00F26C31"/>
    <w:rsid w:val="00F26E85"/>
    <w:rsid w:val="00F2782E"/>
    <w:rsid w:val="00F27AD4"/>
    <w:rsid w:val="00F30B83"/>
    <w:rsid w:val="00F335A7"/>
    <w:rsid w:val="00F37175"/>
    <w:rsid w:val="00F42CB3"/>
    <w:rsid w:val="00F46B30"/>
    <w:rsid w:val="00F4760E"/>
    <w:rsid w:val="00F53FEB"/>
    <w:rsid w:val="00F55618"/>
    <w:rsid w:val="00F56D7D"/>
    <w:rsid w:val="00F57A57"/>
    <w:rsid w:val="00F608F9"/>
    <w:rsid w:val="00F61BEA"/>
    <w:rsid w:val="00F65715"/>
    <w:rsid w:val="00F6573F"/>
    <w:rsid w:val="00F717F6"/>
    <w:rsid w:val="00F73AB6"/>
    <w:rsid w:val="00F7507A"/>
    <w:rsid w:val="00F77E8C"/>
    <w:rsid w:val="00F80048"/>
    <w:rsid w:val="00F82C0A"/>
    <w:rsid w:val="00F83A71"/>
    <w:rsid w:val="00F85FF9"/>
    <w:rsid w:val="00F87EF6"/>
    <w:rsid w:val="00F93B3D"/>
    <w:rsid w:val="00F944D1"/>
    <w:rsid w:val="00FA0E66"/>
    <w:rsid w:val="00FA18FA"/>
    <w:rsid w:val="00FB2B99"/>
    <w:rsid w:val="00FB3B8F"/>
    <w:rsid w:val="00FB4902"/>
    <w:rsid w:val="00FC0EE2"/>
    <w:rsid w:val="00FC1592"/>
    <w:rsid w:val="00FC20A6"/>
    <w:rsid w:val="00FC2A4D"/>
    <w:rsid w:val="00FC7383"/>
    <w:rsid w:val="00FC765E"/>
    <w:rsid w:val="00FD0A7B"/>
    <w:rsid w:val="00FD1AA3"/>
    <w:rsid w:val="00FD44CF"/>
    <w:rsid w:val="00FD5435"/>
    <w:rsid w:val="00FD5C84"/>
    <w:rsid w:val="00FD7262"/>
    <w:rsid w:val="00FD74FB"/>
    <w:rsid w:val="00FE068F"/>
    <w:rsid w:val="00FE3D0D"/>
    <w:rsid w:val="00FF1975"/>
    <w:rsid w:val="00FF24EE"/>
    <w:rsid w:val="00FF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901694"/>
  <w15:chartTrackingRefBased/>
  <w15:docId w15:val="{80D45B04-19BB-46AA-B8CB-38DC5BA24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5917"/>
    <w:pPr>
      <w:tabs>
        <w:tab w:val="center" w:pos="4252"/>
        <w:tab w:val="right" w:pos="8504"/>
      </w:tabs>
      <w:snapToGrid w:val="0"/>
    </w:pPr>
  </w:style>
  <w:style w:type="character" w:customStyle="1" w:styleId="a4">
    <w:name w:val="页眉 字符"/>
    <w:basedOn w:val="a0"/>
    <w:link w:val="a3"/>
    <w:uiPriority w:val="99"/>
    <w:rsid w:val="00CD5917"/>
  </w:style>
  <w:style w:type="paragraph" w:styleId="a5">
    <w:name w:val="footer"/>
    <w:basedOn w:val="a"/>
    <w:link w:val="a6"/>
    <w:uiPriority w:val="99"/>
    <w:unhideWhenUsed/>
    <w:rsid w:val="00CD5917"/>
    <w:pPr>
      <w:tabs>
        <w:tab w:val="center" w:pos="4252"/>
        <w:tab w:val="right" w:pos="8504"/>
      </w:tabs>
      <w:snapToGrid w:val="0"/>
    </w:pPr>
  </w:style>
  <w:style w:type="character" w:customStyle="1" w:styleId="a6">
    <w:name w:val="页脚 字符"/>
    <w:basedOn w:val="a0"/>
    <w:link w:val="a5"/>
    <w:uiPriority w:val="99"/>
    <w:rsid w:val="00CD5917"/>
  </w:style>
  <w:style w:type="paragraph" w:styleId="a7">
    <w:name w:val="annotation text"/>
    <w:basedOn w:val="a"/>
    <w:link w:val="a8"/>
    <w:uiPriority w:val="99"/>
    <w:unhideWhenUsed/>
    <w:qFormat/>
    <w:rsid w:val="00CD5917"/>
    <w:pPr>
      <w:ind w:firstLineChars="200" w:firstLine="200"/>
      <w:jc w:val="left"/>
    </w:pPr>
    <w:rPr>
      <w:rFonts w:ascii="Times New Roman" w:eastAsia="Times New Roman" w:hAnsi="Times New Roman" w:cs="Times New Roman"/>
      <w:szCs w:val="21"/>
      <w:lang w:eastAsia="zh-CN"/>
    </w:rPr>
  </w:style>
  <w:style w:type="character" w:customStyle="1" w:styleId="a8">
    <w:name w:val="批注文字 字符"/>
    <w:basedOn w:val="a0"/>
    <w:link w:val="a7"/>
    <w:uiPriority w:val="99"/>
    <w:qFormat/>
    <w:rsid w:val="00CD5917"/>
    <w:rPr>
      <w:rFonts w:ascii="Times New Roman" w:eastAsia="Times New Roman" w:hAnsi="Times New Roman" w:cs="Times New Roman"/>
      <w:szCs w:val="21"/>
      <w:lang w:eastAsia="zh-CN"/>
    </w:rPr>
  </w:style>
  <w:style w:type="character" w:styleId="a9">
    <w:name w:val="Hyperlink"/>
    <w:uiPriority w:val="99"/>
    <w:unhideWhenUsed/>
    <w:qFormat/>
    <w:rsid w:val="00CD5917"/>
    <w:rPr>
      <w:color w:val="0563C1"/>
      <w:u w:val="single"/>
    </w:rPr>
  </w:style>
  <w:style w:type="character" w:styleId="aa">
    <w:name w:val="annotation reference"/>
    <w:basedOn w:val="a0"/>
    <w:uiPriority w:val="99"/>
    <w:semiHidden/>
    <w:unhideWhenUsed/>
    <w:qFormat/>
    <w:rsid w:val="00CD5917"/>
    <w:rPr>
      <w:sz w:val="21"/>
      <w:szCs w:val="21"/>
    </w:rPr>
  </w:style>
  <w:style w:type="paragraph" w:styleId="ab">
    <w:name w:val="Revision"/>
    <w:hidden/>
    <w:uiPriority w:val="99"/>
    <w:semiHidden/>
    <w:rsid w:val="00C30086"/>
  </w:style>
  <w:style w:type="paragraph" w:styleId="ac">
    <w:name w:val="annotation subject"/>
    <w:basedOn w:val="a7"/>
    <w:next w:val="a7"/>
    <w:link w:val="ad"/>
    <w:uiPriority w:val="99"/>
    <w:semiHidden/>
    <w:unhideWhenUsed/>
    <w:rsid w:val="00C30086"/>
    <w:pPr>
      <w:ind w:firstLineChars="0" w:firstLine="0"/>
    </w:pPr>
    <w:rPr>
      <w:rFonts w:asciiTheme="minorHAnsi" w:eastAsiaTheme="minorEastAsia" w:hAnsiTheme="minorHAnsi" w:cstheme="minorBidi"/>
      <w:b/>
      <w:bCs/>
      <w:szCs w:val="22"/>
      <w:lang w:eastAsia="ja-JP"/>
    </w:rPr>
  </w:style>
  <w:style w:type="character" w:customStyle="1" w:styleId="ad">
    <w:name w:val="批注主题 字符"/>
    <w:basedOn w:val="a8"/>
    <w:link w:val="ac"/>
    <w:uiPriority w:val="99"/>
    <w:semiHidden/>
    <w:rsid w:val="00C30086"/>
    <w:rPr>
      <w:rFonts w:ascii="Times New Roman" w:eastAsia="Times New Roman" w:hAnsi="Times New Roman" w:cs="Times New Roman"/>
      <w:b/>
      <w:bCs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鳥谷部 邦明</dc:creator>
  <cp:keywords/>
  <dc:description/>
  <cp:lastModifiedBy>Sophia</cp:lastModifiedBy>
  <cp:revision>32</cp:revision>
  <dcterms:created xsi:type="dcterms:W3CDTF">2022-07-22T20:18:00Z</dcterms:created>
  <dcterms:modified xsi:type="dcterms:W3CDTF">2022-10-27T01:48:00Z</dcterms:modified>
</cp:coreProperties>
</file>