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C04" w:rsidRPr="00631D11" w:rsidRDefault="00631D11" w:rsidP="00631D11">
      <w:pPr>
        <w:adjustRightInd w:val="0"/>
        <w:snapToGrid w:val="0"/>
        <w:spacing w:beforeLines="100" w:before="240" w:afterLines="100" w:after="24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631D11">
        <w:rPr>
          <w:rFonts w:ascii="Times New Roman" w:hAnsi="Times New Roman" w:cs="Times New Roman"/>
          <w:b/>
          <w:sz w:val="21"/>
          <w:szCs w:val="21"/>
        </w:rPr>
        <w:t xml:space="preserve">Supplementary </w:t>
      </w:r>
      <w:r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B82F6C" w:rsidRPr="00631D11">
        <w:rPr>
          <w:rFonts w:ascii="Times New Roman" w:hAnsi="Times New Roman" w:cs="Times New Roman"/>
          <w:b/>
          <w:sz w:val="21"/>
          <w:szCs w:val="21"/>
        </w:rPr>
        <w:t xml:space="preserve">1. The characteristics of women who answered </w:t>
      </w:r>
      <w:r w:rsidR="00CD6F6A" w:rsidRPr="00631D11">
        <w:rPr>
          <w:rFonts w:ascii="Times New Roman" w:hAnsi="Times New Roman" w:cs="Times New Roman"/>
          <w:b/>
          <w:sz w:val="21"/>
          <w:szCs w:val="21"/>
        </w:rPr>
        <w:t xml:space="preserve">wrong </w:t>
      </w:r>
      <w:r w:rsidR="00B82F6C" w:rsidRPr="00631D11">
        <w:rPr>
          <w:rFonts w:ascii="Times New Roman" w:hAnsi="Times New Roman" w:cs="Times New Roman"/>
          <w:b/>
          <w:sz w:val="21"/>
          <w:szCs w:val="21"/>
        </w:rPr>
        <w:t>for 2 items</w:t>
      </w:r>
      <w:r w:rsidR="00A7529D" w:rsidRPr="00631D1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B82F6C" w:rsidRPr="00631D11">
        <w:rPr>
          <w:rFonts w:ascii="Times New Roman" w:hAnsi="Times New Roman" w:cs="Times New Roman"/>
          <w:b/>
          <w:sz w:val="21"/>
          <w:szCs w:val="21"/>
        </w:rPr>
        <w:t>(</w:t>
      </w:r>
      <w:r w:rsidR="00CD6F6A" w:rsidRPr="00631D11">
        <w:rPr>
          <w:rFonts w:ascii="Times New Roman" w:hAnsi="Times New Roman" w:cs="Times New Roman"/>
          <w:b/>
          <w:sz w:val="21"/>
          <w:szCs w:val="21"/>
        </w:rPr>
        <w:t xml:space="preserve">about </w:t>
      </w:r>
      <w:r w:rsidR="00B82F6C" w:rsidRPr="00631D11">
        <w:rPr>
          <w:rFonts w:ascii="Times New Roman" w:hAnsi="Times New Roman" w:cs="Times New Roman"/>
          <w:b/>
          <w:sz w:val="21"/>
          <w:szCs w:val="21"/>
        </w:rPr>
        <w:t>HPV clearance and HPV vaccination</w:t>
      </w:r>
      <w:r w:rsidR="00562809" w:rsidRPr="00631D11">
        <w:rPr>
          <w:rFonts w:ascii="Times New Roman" w:hAnsi="Times New Roman" w:cs="Times New Roman"/>
          <w:b/>
          <w:sz w:val="21"/>
          <w:szCs w:val="21"/>
        </w:rPr>
        <w:t xml:space="preserve"> and cancer development</w:t>
      </w:r>
      <w:r w:rsidR="00B82F6C" w:rsidRPr="00631D11">
        <w:rPr>
          <w:rFonts w:ascii="Times New Roman" w:hAnsi="Times New Roman" w:cs="Times New Roman"/>
          <w:b/>
          <w:sz w:val="21"/>
          <w:szCs w:val="21"/>
        </w:rPr>
        <w:t>) in the HPV knowledge questionnaire</w:t>
      </w:r>
    </w:p>
    <w:tbl>
      <w:tblPr>
        <w:tblStyle w:val="2"/>
        <w:tblW w:w="902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95"/>
        <w:gridCol w:w="2564"/>
        <w:gridCol w:w="2367"/>
      </w:tblGrid>
      <w:tr w:rsidR="003855D4" w:rsidRPr="00631D11" w:rsidTr="00631D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single" w:sz="4" w:space="0" w:color="auto"/>
              <w:bottom w:val="single" w:sz="4" w:space="0" w:color="auto"/>
            </w:tcBorders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bookmarkStart w:id="0" w:name="_Hlk116673199"/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Variables</w:t>
            </w:r>
          </w:p>
        </w:tc>
        <w:tc>
          <w:tcPr>
            <w:tcW w:w="2564" w:type="dxa"/>
            <w:tcBorders>
              <w:top w:val="single" w:sz="4" w:space="0" w:color="auto"/>
              <w:bottom w:val="single" w:sz="4" w:space="0" w:color="auto"/>
            </w:tcBorders>
          </w:tcPr>
          <w:p w:rsidR="00A7529D" w:rsidRPr="00631D11" w:rsidRDefault="00CD6F6A" w:rsidP="00AD3E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Unknown about</w:t>
            </w:r>
          </w:p>
          <w:p w:rsidR="00B82F6C" w:rsidRPr="00631D11" w:rsidRDefault="00B82F6C" w:rsidP="00AD3E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HPV clearance</w:t>
            </w:r>
          </w:p>
          <w:p w:rsidR="00B82F6C" w:rsidRPr="00631D11" w:rsidRDefault="00B82F6C" w:rsidP="00AD3E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Frequency (percentage)</w:t>
            </w:r>
          </w:p>
          <w:p w:rsidR="00B82F6C" w:rsidRPr="00631D11" w:rsidRDefault="00B82F6C" w:rsidP="00AD3E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N=300</w:t>
            </w:r>
          </w:p>
        </w:tc>
        <w:tc>
          <w:tcPr>
            <w:tcW w:w="2367" w:type="dxa"/>
            <w:tcBorders>
              <w:top w:val="single" w:sz="4" w:space="0" w:color="auto"/>
              <w:bottom w:val="single" w:sz="4" w:space="0" w:color="auto"/>
            </w:tcBorders>
          </w:tcPr>
          <w:p w:rsidR="00A7529D" w:rsidRPr="00631D11" w:rsidRDefault="00CD6F6A" w:rsidP="00AD3E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Unknown about</w:t>
            </w:r>
          </w:p>
          <w:p w:rsidR="00B82F6C" w:rsidRPr="00631D11" w:rsidRDefault="00B82F6C" w:rsidP="00AD3E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HPV vaccination</w:t>
            </w:r>
            <w:r w:rsidR="00562809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and cancer development</w:t>
            </w:r>
          </w:p>
          <w:p w:rsidR="00B82F6C" w:rsidRPr="00631D11" w:rsidRDefault="00B82F6C" w:rsidP="00AD3E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Frequency (percentage)</w:t>
            </w:r>
          </w:p>
          <w:p w:rsidR="00B82F6C" w:rsidRPr="00631D11" w:rsidRDefault="00B82F6C" w:rsidP="00AD3E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N=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256</w:t>
            </w:r>
          </w:p>
        </w:tc>
      </w:tr>
      <w:tr w:rsidR="00B82F6C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single" w:sz="4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Age (years, median)</w:t>
            </w:r>
          </w:p>
        </w:tc>
        <w:tc>
          <w:tcPr>
            <w:tcW w:w="2564" w:type="dxa"/>
            <w:tcBorders>
              <w:top w:val="single" w:sz="4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3</w:t>
            </w:r>
            <w:r w:rsidR="003855D4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9.8</w:t>
            </w:r>
          </w:p>
        </w:tc>
        <w:tc>
          <w:tcPr>
            <w:tcW w:w="2367" w:type="dxa"/>
            <w:tcBorders>
              <w:top w:val="single" w:sz="4" w:space="0" w:color="auto"/>
              <w:bottom w:val="none" w:sz="0" w:space="0" w:color="auto"/>
            </w:tcBorders>
          </w:tcPr>
          <w:p w:rsidR="00B82F6C" w:rsidRPr="00631D11" w:rsidRDefault="00CD6F6A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39.8</w:t>
            </w:r>
          </w:p>
        </w:tc>
      </w:tr>
      <w:tr w:rsidR="00B82F6C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20–29</w:t>
            </w:r>
          </w:p>
        </w:tc>
        <w:tc>
          <w:tcPr>
            <w:tcW w:w="2564" w:type="dxa"/>
          </w:tcPr>
          <w:p w:rsidR="00B82F6C" w:rsidRPr="00631D11" w:rsidRDefault="00AE7CD6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11</w:t>
            </w:r>
            <w:r w:rsidR="00B82F6C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</w:t>
            </w:r>
            <w:r w:rsidR="003855D4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3.7</w:t>
            </w:r>
            <w:r w:rsidR="00B82F6C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%)</w:t>
            </w:r>
          </w:p>
        </w:tc>
        <w:tc>
          <w:tcPr>
            <w:tcW w:w="2367" w:type="dxa"/>
          </w:tcPr>
          <w:p w:rsidR="00B82F6C" w:rsidRPr="00631D11" w:rsidRDefault="00A7529D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15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(5.9%)</w:t>
            </w:r>
          </w:p>
        </w:tc>
      </w:tr>
      <w:tr w:rsidR="00B82F6C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30–39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E7CD6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157</w:t>
            </w:r>
            <w:r w:rsidR="003855D4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(52.3%)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7529D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124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(48.4%)</w:t>
            </w:r>
          </w:p>
        </w:tc>
      </w:tr>
      <w:tr w:rsidR="00B82F6C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40–49</w:t>
            </w:r>
          </w:p>
        </w:tc>
        <w:tc>
          <w:tcPr>
            <w:tcW w:w="2564" w:type="dxa"/>
          </w:tcPr>
          <w:p w:rsidR="00B82F6C" w:rsidRPr="00631D11" w:rsidRDefault="00AE7CD6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85</w:t>
            </w:r>
            <w:r w:rsidR="003855D4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(28.3%)</w:t>
            </w:r>
          </w:p>
        </w:tc>
        <w:tc>
          <w:tcPr>
            <w:tcW w:w="2367" w:type="dxa"/>
          </w:tcPr>
          <w:p w:rsidR="00B82F6C" w:rsidRPr="00631D11" w:rsidRDefault="00A7529D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84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(32.8%)</w:t>
            </w:r>
          </w:p>
        </w:tc>
      </w:tr>
      <w:tr w:rsidR="00B82F6C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50–59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E7CD6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47</w:t>
            </w:r>
            <w:r w:rsidR="003855D4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</w:t>
            </w:r>
            <w:r w:rsidR="00A7529D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15.7%</w:t>
            </w:r>
            <w:r w:rsidR="003855D4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7529D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33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(12.9%)</w:t>
            </w:r>
          </w:p>
        </w:tc>
      </w:tr>
      <w:tr w:rsidR="00B82F6C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Education</w:t>
            </w:r>
          </w:p>
        </w:tc>
        <w:tc>
          <w:tcPr>
            <w:tcW w:w="2564" w:type="dxa"/>
          </w:tcPr>
          <w:p w:rsidR="00B82F6C" w:rsidRPr="00631D11" w:rsidRDefault="00B82F6C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2367" w:type="dxa"/>
          </w:tcPr>
          <w:p w:rsidR="00B82F6C" w:rsidRPr="00631D11" w:rsidRDefault="00B82F6C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</w:tr>
      <w:tr w:rsidR="00B82F6C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Secondary education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E7CD6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186</w:t>
            </w:r>
            <w:r w:rsidR="00A7529D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(62%)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7529D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158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(61.7%)</w:t>
            </w:r>
          </w:p>
        </w:tc>
      </w:tr>
      <w:tr w:rsidR="00B82F6C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University graduation or higher</w:t>
            </w:r>
          </w:p>
        </w:tc>
        <w:tc>
          <w:tcPr>
            <w:tcW w:w="2564" w:type="dxa"/>
          </w:tcPr>
          <w:p w:rsidR="00B82F6C" w:rsidRPr="00631D11" w:rsidRDefault="00AE7CD6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114</w:t>
            </w:r>
            <w:r w:rsidR="00A7529D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(38%)</w:t>
            </w:r>
          </w:p>
        </w:tc>
        <w:tc>
          <w:tcPr>
            <w:tcW w:w="2367" w:type="dxa"/>
          </w:tcPr>
          <w:p w:rsidR="00B82F6C" w:rsidRPr="00631D11" w:rsidRDefault="00A7529D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98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(38.3%)</w:t>
            </w:r>
          </w:p>
        </w:tc>
      </w:tr>
      <w:tr w:rsidR="00B82F6C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Marital status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</w:tr>
      <w:tr w:rsidR="00B82F6C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Married </w:t>
            </w:r>
          </w:p>
        </w:tc>
        <w:tc>
          <w:tcPr>
            <w:tcW w:w="2564" w:type="dxa"/>
          </w:tcPr>
          <w:p w:rsidR="00B82F6C" w:rsidRPr="00631D11" w:rsidRDefault="00AE7CD6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261</w:t>
            </w:r>
            <w:r w:rsidR="00A7529D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(87%)</w:t>
            </w:r>
          </w:p>
        </w:tc>
        <w:tc>
          <w:tcPr>
            <w:tcW w:w="2367" w:type="dxa"/>
          </w:tcPr>
          <w:p w:rsidR="00B82F6C" w:rsidRPr="00631D11" w:rsidRDefault="00A7529D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220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(85.9%)</w:t>
            </w:r>
          </w:p>
        </w:tc>
      </w:tr>
      <w:tr w:rsidR="00B82F6C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Cohabiting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E7CD6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11</w:t>
            </w:r>
            <w:r w:rsidR="00A7529D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(3.7%)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7529D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26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(10.2%)</w:t>
            </w:r>
          </w:p>
        </w:tc>
      </w:tr>
      <w:tr w:rsidR="00B82F6C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Single</w:t>
            </w:r>
          </w:p>
        </w:tc>
        <w:tc>
          <w:tcPr>
            <w:tcW w:w="2564" w:type="dxa"/>
          </w:tcPr>
          <w:p w:rsidR="00B82F6C" w:rsidRPr="00631D11" w:rsidRDefault="00AE7CD6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28</w:t>
            </w:r>
            <w:r w:rsidR="00A7529D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(9.3%)</w:t>
            </w:r>
          </w:p>
        </w:tc>
        <w:tc>
          <w:tcPr>
            <w:tcW w:w="2367" w:type="dxa"/>
          </w:tcPr>
          <w:p w:rsidR="00B82F6C" w:rsidRPr="00631D11" w:rsidRDefault="00A7529D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10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(3.9%)</w:t>
            </w:r>
          </w:p>
        </w:tc>
      </w:tr>
      <w:tr w:rsidR="00B82F6C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Age at sexual debut (years, median)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3855D4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21.2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B82F6C" w:rsidRPr="00631D11" w:rsidRDefault="00A7529D" w:rsidP="00AD3E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21.2</w:t>
            </w:r>
            <w:r w:rsidR="00CD6F6A"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 xml:space="preserve"> </w:t>
            </w:r>
          </w:p>
        </w:tc>
      </w:tr>
      <w:tr w:rsidR="00B82F6C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B82F6C" w:rsidRPr="00631D11" w:rsidRDefault="00B82F6C" w:rsidP="00AD3EF1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Number of lifetime sexual </w:t>
            </w:r>
            <w:proofErr w:type="spellStart"/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partners</w:t>
            </w: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564" w:type="dxa"/>
          </w:tcPr>
          <w:p w:rsidR="00B82F6C" w:rsidRPr="00631D11" w:rsidRDefault="00B82F6C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2367" w:type="dxa"/>
          </w:tcPr>
          <w:p w:rsidR="00B82F6C" w:rsidRPr="00631D11" w:rsidRDefault="00B82F6C" w:rsidP="00AD3E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</w:tr>
      <w:tr w:rsidR="00C96BF5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1–3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291 (97%)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249 (97.3%)</w:t>
            </w:r>
          </w:p>
        </w:tc>
      </w:tr>
      <w:tr w:rsidR="00C96BF5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&gt; 3</w:t>
            </w:r>
          </w:p>
        </w:tc>
        <w:tc>
          <w:tcPr>
            <w:tcW w:w="2564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7 (2.3%)</w:t>
            </w:r>
          </w:p>
        </w:tc>
        <w:tc>
          <w:tcPr>
            <w:tcW w:w="2367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6 (2.3%)</w:t>
            </w:r>
          </w:p>
        </w:tc>
      </w:tr>
      <w:tr w:rsidR="00C96BF5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Parity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</w:p>
        </w:tc>
      </w:tr>
      <w:tr w:rsidR="00C96BF5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Nulliparous</w:t>
            </w:r>
          </w:p>
        </w:tc>
        <w:tc>
          <w:tcPr>
            <w:tcW w:w="2564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21 (7%)</w:t>
            </w:r>
          </w:p>
        </w:tc>
        <w:tc>
          <w:tcPr>
            <w:tcW w:w="2367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15 (5.9%)</w:t>
            </w:r>
          </w:p>
        </w:tc>
      </w:tr>
      <w:tr w:rsidR="00C96BF5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1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54 (18%)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42 (16.4%)</w:t>
            </w:r>
          </w:p>
        </w:tc>
      </w:tr>
      <w:tr w:rsidR="00C96BF5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2</w:t>
            </w:r>
          </w:p>
        </w:tc>
        <w:tc>
          <w:tcPr>
            <w:tcW w:w="2564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101 (33.7%)</w:t>
            </w:r>
          </w:p>
        </w:tc>
        <w:tc>
          <w:tcPr>
            <w:tcW w:w="2367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81 (31.6%)</w:t>
            </w:r>
          </w:p>
        </w:tc>
      </w:tr>
      <w:tr w:rsidR="00C96BF5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 xml:space="preserve"> 3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94 (31.3%)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84 (32.8%)</w:t>
            </w:r>
          </w:p>
        </w:tc>
      </w:tr>
      <w:tr w:rsidR="00C96BF5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≥4</w:t>
            </w:r>
          </w:p>
        </w:tc>
        <w:tc>
          <w:tcPr>
            <w:tcW w:w="2564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30 (10%)</w:t>
            </w:r>
          </w:p>
        </w:tc>
        <w:tc>
          <w:tcPr>
            <w:tcW w:w="2367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34 (13.3%)</w:t>
            </w:r>
          </w:p>
        </w:tc>
      </w:tr>
      <w:tr w:rsidR="00C96BF5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Current smoking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22 (7.3%)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26 (10.2%)</w:t>
            </w:r>
          </w:p>
        </w:tc>
      </w:tr>
      <w:tr w:rsidR="00C96BF5" w:rsidRPr="00631D11" w:rsidTr="00631D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Ever tested for CC</w:t>
            </w:r>
          </w:p>
        </w:tc>
        <w:tc>
          <w:tcPr>
            <w:tcW w:w="2564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186 (62%)</w:t>
            </w:r>
          </w:p>
        </w:tc>
        <w:tc>
          <w:tcPr>
            <w:tcW w:w="2367" w:type="dxa"/>
          </w:tcPr>
          <w:p w:rsidR="00C96BF5" w:rsidRPr="00631D11" w:rsidRDefault="00C96BF5" w:rsidP="00C96BF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163 (63.7%)</w:t>
            </w:r>
          </w:p>
        </w:tc>
      </w:tr>
      <w:tr w:rsidR="00C96BF5" w:rsidRPr="00631D11" w:rsidTr="00631D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95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Ever had STD</w:t>
            </w:r>
          </w:p>
        </w:tc>
        <w:tc>
          <w:tcPr>
            <w:tcW w:w="2564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42 (14%)</w:t>
            </w:r>
          </w:p>
        </w:tc>
        <w:tc>
          <w:tcPr>
            <w:tcW w:w="2367" w:type="dxa"/>
            <w:tcBorders>
              <w:top w:val="none" w:sz="0" w:space="0" w:color="auto"/>
              <w:bottom w:val="none" w:sz="0" w:space="0" w:color="auto"/>
            </w:tcBorders>
          </w:tcPr>
          <w:p w:rsidR="00C96BF5" w:rsidRPr="00631D11" w:rsidRDefault="00C96BF5" w:rsidP="00C96BF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631D11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45 (17.6%)</w:t>
            </w:r>
          </w:p>
        </w:tc>
      </w:tr>
    </w:tbl>
    <w:p w:rsidR="00B82F6C" w:rsidRPr="00631D11" w:rsidRDefault="00B82F6C">
      <w:pPr>
        <w:rPr>
          <w:rFonts w:ascii="Times New Roman" w:hAnsi="Times New Roman" w:cs="Times New Roman"/>
          <w:sz w:val="21"/>
          <w:szCs w:val="21"/>
        </w:rPr>
      </w:pPr>
      <w:bookmarkStart w:id="1" w:name="_GoBack"/>
      <w:bookmarkEnd w:id="0"/>
      <w:bookmarkEnd w:id="1"/>
    </w:p>
    <w:sectPr w:rsidR="00B82F6C" w:rsidRPr="00631D11" w:rsidSect="00631D11">
      <w:headerReference w:type="default" r:id="rId6"/>
      <w:footerReference w:type="default" r:id="rId7"/>
      <w:pgSz w:w="11906" w:h="16838"/>
      <w:pgMar w:top="1701" w:right="1440" w:bottom="1440" w:left="1440" w:header="283" w:footer="113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BC1" w:rsidRDefault="00DB2BC1" w:rsidP="00631D11">
      <w:pPr>
        <w:spacing w:after="0" w:line="240" w:lineRule="auto"/>
      </w:pPr>
      <w:r>
        <w:separator/>
      </w:r>
    </w:p>
  </w:endnote>
  <w:endnote w:type="continuationSeparator" w:id="0">
    <w:p w:rsidR="00DB2BC1" w:rsidRDefault="00DB2BC1" w:rsidP="00631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2139043"/>
      <w:docPartObj>
        <w:docPartGallery w:val="Page Numbers (Bottom of Page)"/>
        <w:docPartUnique/>
      </w:docPartObj>
    </w:sdtPr>
    <w:sdtContent>
      <w:p w:rsidR="00A7284E" w:rsidRDefault="00A7284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7284E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:rsidR="00A7284E" w:rsidRDefault="00A7284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BC1" w:rsidRDefault="00DB2BC1" w:rsidP="00631D11">
      <w:pPr>
        <w:spacing w:after="0" w:line="240" w:lineRule="auto"/>
      </w:pPr>
      <w:r>
        <w:separator/>
      </w:r>
    </w:p>
  </w:footnote>
  <w:footnote w:type="continuationSeparator" w:id="0">
    <w:p w:rsidR="00DB2BC1" w:rsidRDefault="00DB2BC1" w:rsidP="00631D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1D11" w:rsidRDefault="00631D11" w:rsidP="00631D1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F6C"/>
    <w:rsid w:val="003855D4"/>
    <w:rsid w:val="005579A5"/>
    <w:rsid w:val="00562809"/>
    <w:rsid w:val="00631D11"/>
    <w:rsid w:val="00806430"/>
    <w:rsid w:val="00A7284E"/>
    <w:rsid w:val="00A7529D"/>
    <w:rsid w:val="00AD3B2F"/>
    <w:rsid w:val="00AE7CD6"/>
    <w:rsid w:val="00B37C04"/>
    <w:rsid w:val="00B82F6C"/>
    <w:rsid w:val="00C96BF5"/>
    <w:rsid w:val="00CD6F6A"/>
    <w:rsid w:val="00DB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618082-F9E1-44E3-B037-C69CD720A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B82F6C"/>
    <w:pPr>
      <w:spacing w:after="0" w:line="240" w:lineRule="auto"/>
    </w:pPr>
    <w:tblPr>
      <w:tblStyleRowBandSize w:val="1"/>
      <w:tblStyleColBandSize w:val="1"/>
      <w:tblBorders>
        <w:top w:val="single" w:sz="4" w:space="0" w:color="7E7E7E"/>
        <w:bottom w:val="single" w:sz="4" w:space="0" w:color="7E7E7E"/>
      </w:tblBorders>
    </w:tblPr>
    <w:tblStylePr w:type="firstRow">
      <w:rPr>
        <w:b/>
        <w:bCs/>
      </w:rPr>
      <w:tblPr/>
      <w:tcPr>
        <w:tcBorders>
          <w:bottom w:val="single" w:sz="4" w:space="0" w:color="7E7E7E"/>
        </w:tcBorders>
      </w:tcPr>
    </w:tblStylePr>
    <w:tblStylePr w:type="lastRow">
      <w:rPr>
        <w:b/>
        <w:bCs/>
      </w:rPr>
      <w:tblPr/>
      <w:tcPr>
        <w:tcBorders>
          <w:top w:val="single" w:sz="4" w:space="0" w:color="7E7E7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2Vert"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1Horz">
      <w:tblPr/>
      <w:tcPr>
        <w:tcBorders>
          <w:top w:val="single" w:sz="4" w:space="0" w:color="7E7E7E"/>
          <w:bottom w:val="single" w:sz="4" w:space="0" w:color="7E7E7E"/>
        </w:tcBorders>
      </w:tcPr>
    </w:tblStylePr>
  </w:style>
  <w:style w:type="paragraph" w:styleId="a3">
    <w:name w:val="header"/>
    <w:basedOn w:val="a"/>
    <w:link w:val="a4"/>
    <w:uiPriority w:val="99"/>
    <w:unhideWhenUsed/>
    <w:rsid w:val="00631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D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1D1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D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Akira</cp:lastModifiedBy>
  <cp:revision>6</cp:revision>
  <dcterms:created xsi:type="dcterms:W3CDTF">2022-10-17T11:05:00Z</dcterms:created>
  <dcterms:modified xsi:type="dcterms:W3CDTF">2022-11-15T08:21:00Z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67c9f0a8-d4e4-44a8-a44e-03bf3cfbf450</vt:lpwstr>
  </property>
</Properties>
</file>