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CD1" w:rsidRDefault="00FB4A62">
      <w:pPr>
        <w:pStyle w:val="IMR-Tablecaption"/>
        <w:spacing w:before="312" w:after="312"/>
        <w:rPr>
          <w:color w:val="000000" w:themeColor="text1"/>
        </w:rPr>
      </w:pPr>
      <w:r>
        <w:t>Supplementary Table 1.</w:t>
      </w:r>
      <w:r>
        <w:rPr>
          <w:rFonts w:hint="eastAsia"/>
        </w:rPr>
        <w:t xml:space="preserve"> Clinicopathological characteristics of patients with the stages </w:t>
      </w:r>
      <w:proofErr w:type="spellStart"/>
      <w:r>
        <w:rPr>
          <w:rFonts w:hint="eastAsia"/>
        </w:rPr>
        <w:t>IIIC1</w:t>
      </w:r>
      <w:proofErr w:type="spellEnd"/>
      <w:r>
        <w:rPr>
          <w:rFonts w:hint="eastAsia"/>
        </w:rPr>
        <w:t xml:space="preserve"> and </w:t>
      </w:r>
      <w:proofErr w:type="spellStart"/>
      <w:r>
        <w:rPr>
          <w:rFonts w:hint="eastAsia"/>
        </w:rPr>
        <w:t>IIIC2</w:t>
      </w:r>
      <w:proofErr w:type="spellEnd"/>
      <w:r>
        <w:t>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1810"/>
        <w:gridCol w:w="1600"/>
        <w:gridCol w:w="879"/>
        <w:gridCol w:w="1705"/>
        <w:gridCol w:w="1649"/>
        <w:gridCol w:w="761"/>
      </w:tblGrid>
      <w:tr w:rsidR="005D4CD1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</w:p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Before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After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</w:tr>
      <w:tr w:rsidR="005D4CD1">
        <w:trPr>
          <w:trHeight w:val="20"/>
          <w:jc w:val="center"/>
        </w:trPr>
        <w:tc>
          <w:tcPr>
            <w:tcW w:w="0" w:type="auto"/>
            <w:vMerge/>
            <w:tcBorders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szCs w:val="21"/>
              </w:rPr>
              <w:t xml:space="preserve">stage </w:t>
            </w:r>
            <w:proofErr w:type="spellStart"/>
            <w:r>
              <w:rPr>
                <w:b/>
                <w:bCs/>
                <w:color w:val="000000" w:themeColor="text1"/>
                <w:szCs w:val="21"/>
              </w:rPr>
              <w:t>IIIC1</w:t>
            </w:r>
            <w:proofErr w:type="spellEnd"/>
            <w:r>
              <w:rPr>
                <w:b/>
                <w:bCs/>
                <w:color w:val="000000" w:themeColor="text1"/>
                <w:szCs w:val="21"/>
              </w:rPr>
              <w:t xml:space="preserve"> (</w:t>
            </w:r>
            <w:proofErr w:type="gramStart"/>
            <w:r>
              <w:rPr>
                <w:b/>
                <w:bCs/>
                <w:color w:val="000000" w:themeColor="text1"/>
                <w:szCs w:val="21"/>
              </w:rPr>
              <w:t>4029)%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szCs w:val="21"/>
              </w:rPr>
              <w:t xml:space="preserve">stage </w:t>
            </w:r>
            <w:proofErr w:type="spellStart"/>
            <w:r>
              <w:rPr>
                <w:b/>
                <w:bCs/>
                <w:color w:val="000000" w:themeColor="text1"/>
                <w:szCs w:val="21"/>
              </w:rPr>
              <w:t>IIIC2</w:t>
            </w:r>
            <w:proofErr w:type="spellEnd"/>
            <w:r>
              <w:rPr>
                <w:b/>
                <w:bCs/>
                <w:color w:val="000000" w:themeColor="text1"/>
                <w:szCs w:val="21"/>
              </w:rPr>
              <w:t xml:space="preserve"> (</w:t>
            </w:r>
            <w:proofErr w:type="gramStart"/>
            <w:r>
              <w:rPr>
                <w:b/>
                <w:bCs/>
                <w:color w:val="000000" w:themeColor="text1"/>
                <w:szCs w:val="21"/>
              </w:rPr>
              <w:t>57)%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color w:val="000000" w:themeColor="text1"/>
                <w:szCs w:val="21"/>
              </w:rPr>
              <w:t xml:space="preserve"> 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szCs w:val="21"/>
              </w:rPr>
              <w:t xml:space="preserve">stage </w:t>
            </w:r>
            <w:proofErr w:type="spellStart"/>
            <w:r>
              <w:rPr>
                <w:b/>
                <w:bCs/>
                <w:color w:val="000000" w:themeColor="text1"/>
                <w:szCs w:val="21"/>
              </w:rPr>
              <w:t>IIIC1</w:t>
            </w:r>
            <w:proofErr w:type="spellEnd"/>
            <w:r>
              <w:rPr>
                <w:b/>
                <w:bCs/>
                <w:color w:val="000000" w:themeColor="text1"/>
                <w:szCs w:val="21"/>
              </w:rPr>
              <w:t xml:space="preserve"> (</w:t>
            </w:r>
            <w:proofErr w:type="gramStart"/>
            <w:r>
              <w:rPr>
                <w:b/>
                <w:bCs/>
                <w:color w:val="000000" w:themeColor="text1"/>
                <w:szCs w:val="21"/>
              </w:rPr>
              <w:t>388)%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szCs w:val="21"/>
              </w:rPr>
              <w:t xml:space="preserve">stage </w:t>
            </w:r>
            <w:proofErr w:type="spellStart"/>
            <w:r>
              <w:rPr>
                <w:b/>
                <w:bCs/>
                <w:color w:val="000000" w:themeColor="text1"/>
                <w:szCs w:val="21"/>
              </w:rPr>
              <w:t>IIIC2</w:t>
            </w:r>
            <w:proofErr w:type="spellEnd"/>
            <w:r>
              <w:rPr>
                <w:b/>
                <w:bCs/>
                <w:color w:val="000000" w:themeColor="text1"/>
                <w:szCs w:val="21"/>
              </w:rPr>
              <w:t xml:space="preserve"> (</w:t>
            </w:r>
            <w:proofErr w:type="gramStart"/>
            <w:r>
              <w:rPr>
                <w:b/>
                <w:bCs/>
                <w:color w:val="000000" w:themeColor="text1"/>
                <w:szCs w:val="21"/>
              </w:rPr>
              <w:t>55)%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color w:val="000000" w:themeColor="text1"/>
                <w:szCs w:val="21"/>
              </w:rPr>
              <w:t xml:space="preserve"> P</w:t>
            </w: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Age (years)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53.83±12.069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46.78±9.04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&lt;</w:t>
            </w:r>
            <w:r>
              <w:rPr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46.57±8.683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47.42±8.814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0.497</w:t>
            </w: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Histological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0.050</w:t>
            </w: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3716(92.2%)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45(78.9%)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353(91.0%)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45(81.8%)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221(5.5%)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9(15.8%)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32(8.2%)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8(14.5%)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92(2.3%)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3(5.3%)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3(0.8%)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2(3.6%)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initiatreatment</w:t>
            </w:r>
            <w:proofErr w:type="spellEnd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 modality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&lt;</w:t>
            </w:r>
            <w:r>
              <w:rPr>
                <w:color w:val="000000" w:themeColor="text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0.216</w:t>
            </w: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 xml:space="preserve">R-CT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1913(47.5%)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36(63.2%)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20(5.2%)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proofErr w:type="spellStart"/>
            <w:r>
              <w:rPr>
                <w:rFonts w:eastAsia="等线"/>
                <w:color w:val="000000" w:themeColor="text1"/>
                <w:szCs w:val="21"/>
              </w:rPr>
              <w:t>ARH</w:t>
            </w:r>
            <w:proofErr w:type="spellEnd"/>
            <w:r>
              <w:rPr>
                <w:rFonts w:eastAsia="等线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1493(37.1%)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0(0.0%)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242(62.4%)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35(63.6%)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proofErr w:type="spellStart"/>
            <w:r>
              <w:rPr>
                <w:rFonts w:eastAsia="等线"/>
                <w:color w:val="000000" w:themeColor="text1"/>
                <w:szCs w:val="21"/>
              </w:rPr>
              <w:t>NACT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623(15.5%)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21(36.8%)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126(32.5%)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5D4CD1" w:rsidRDefault="00FB4A62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20(36.4%)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</w:tr>
    </w:tbl>
    <w:p w:rsidR="005D4CD1" w:rsidRPr="000C0461" w:rsidRDefault="00FB4A62">
      <w:pPr>
        <w:pStyle w:val="IMR-Tablefooter"/>
        <w:rPr>
          <w:color w:val="auto"/>
        </w:rPr>
      </w:pPr>
      <w:proofErr w:type="spellStart"/>
      <w:r w:rsidRPr="000C0461">
        <w:rPr>
          <w:color w:val="auto"/>
        </w:rPr>
        <w:t>PSM</w:t>
      </w:r>
      <w:proofErr w:type="spellEnd"/>
      <w:r w:rsidRPr="000C0461">
        <w:rPr>
          <w:color w:val="auto"/>
        </w:rPr>
        <w:t>:</w:t>
      </w:r>
      <w:r w:rsidRPr="000C0461">
        <w:rPr>
          <w:rFonts w:hint="eastAsia"/>
          <w:color w:val="auto"/>
        </w:rPr>
        <w:t xml:space="preserve"> </w:t>
      </w:r>
      <w:r w:rsidRPr="000C0461">
        <w:rPr>
          <w:color w:val="auto"/>
        </w:rPr>
        <w:t xml:space="preserve">propensity score matching; </w:t>
      </w:r>
      <w:r w:rsidRPr="000C0461">
        <w:rPr>
          <w:rFonts w:hint="eastAsia"/>
          <w:color w:val="auto"/>
        </w:rPr>
        <w:t>SCC: squamous cell carcinoma; AC</w:t>
      </w:r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rFonts w:eastAsia="宋体" w:hint="eastAsia"/>
          <w:color w:val="auto"/>
          <w:lang w:eastAsia="zh-CN"/>
        </w:rPr>
        <w:t>a</w:t>
      </w:r>
      <w:r w:rsidRPr="000C0461">
        <w:rPr>
          <w:rFonts w:hint="eastAsia"/>
          <w:color w:val="auto"/>
        </w:rPr>
        <w:t>denocarcinoma</w:t>
      </w:r>
      <w:r w:rsidRPr="000C0461">
        <w:rPr>
          <w:rFonts w:eastAsia="宋体" w:hint="eastAsia"/>
          <w:color w:val="auto"/>
          <w:lang w:eastAsia="zh-CN"/>
        </w:rPr>
        <w:t>;</w:t>
      </w:r>
      <w:r w:rsidRPr="000C0461">
        <w:rPr>
          <w:rFonts w:eastAsia="宋体" w:hint="eastAsia"/>
          <w:color w:val="auto"/>
          <w:lang w:eastAsia="zh-CN"/>
        </w:rPr>
        <w:t xml:space="preserve"> </w:t>
      </w:r>
      <w:r w:rsidRPr="000C0461">
        <w:rPr>
          <w:rFonts w:hint="eastAsia"/>
          <w:color w:val="auto"/>
        </w:rPr>
        <w:t xml:space="preserve">ASC: </w:t>
      </w:r>
      <w:proofErr w:type="spellStart"/>
      <w:r w:rsidRPr="000C0461">
        <w:rPr>
          <w:rFonts w:hint="eastAsia"/>
          <w:color w:val="auto"/>
        </w:rPr>
        <w:t>adenosquamous</w:t>
      </w:r>
      <w:proofErr w:type="spellEnd"/>
      <w:r w:rsidRPr="000C0461">
        <w:rPr>
          <w:rFonts w:hint="eastAsia"/>
          <w:color w:val="auto"/>
        </w:rPr>
        <w:t xml:space="preserve"> </w:t>
      </w:r>
      <w:r w:rsidRPr="000C0461">
        <w:rPr>
          <w:rFonts w:hint="eastAsia"/>
          <w:color w:val="auto"/>
        </w:rPr>
        <w:t>cell carcinoma;</w:t>
      </w:r>
      <w:r w:rsidRPr="000C0461">
        <w:rPr>
          <w:color w:val="auto"/>
        </w:rPr>
        <w:t xml:space="preserve"> </w:t>
      </w:r>
      <w:r w:rsidRPr="000C0461">
        <w:rPr>
          <w:rFonts w:hint="eastAsia"/>
          <w:color w:val="auto"/>
        </w:rPr>
        <w:t xml:space="preserve">R-CT: radical chemoradiotherapy; </w:t>
      </w:r>
      <w:proofErr w:type="spellStart"/>
      <w:r w:rsidRPr="000C0461">
        <w:rPr>
          <w:rFonts w:hint="eastAsia"/>
          <w:color w:val="auto"/>
        </w:rPr>
        <w:t>ARH</w:t>
      </w:r>
      <w:proofErr w:type="spellEnd"/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rFonts w:hint="eastAsia"/>
          <w:color w:val="auto"/>
        </w:rPr>
        <w:t xml:space="preserve">abdominal radical hysterectomy; </w:t>
      </w:r>
      <w:proofErr w:type="spellStart"/>
      <w:r w:rsidRPr="000C0461">
        <w:rPr>
          <w:rFonts w:hint="eastAsia"/>
          <w:color w:val="auto"/>
        </w:rPr>
        <w:t>NACT</w:t>
      </w:r>
      <w:proofErr w:type="spellEnd"/>
      <w:r w:rsidRPr="000C0461">
        <w:rPr>
          <w:rFonts w:hint="eastAsia"/>
          <w:color w:val="auto"/>
        </w:rPr>
        <w:t>: neoadjuvant chemotherapy and radical surgery.</w:t>
      </w:r>
    </w:p>
    <w:p w:rsidR="005D4CD1" w:rsidRDefault="005D4CD1">
      <w:pPr>
        <w:rPr>
          <w:lang w:eastAsia="de-DE" w:bidi="en-US"/>
        </w:rPr>
      </w:pPr>
    </w:p>
    <w:p w:rsidR="005D4CD1" w:rsidRDefault="005D4CD1">
      <w:pPr>
        <w:rPr>
          <w:lang w:eastAsia="de-DE" w:bidi="en-US"/>
        </w:rPr>
      </w:pPr>
    </w:p>
    <w:p w:rsidR="005D4CD1" w:rsidRDefault="00FB4A62">
      <w:pPr>
        <w:pStyle w:val="IMR-Tablecaption"/>
        <w:spacing w:before="312" w:after="312"/>
        <w:rPr>
          <w:b w:val="0"/>
          <w:bCs/>
          <w:color w:val="000000" w:themeColor="text1"/>
        </w:rPr>
      </w:pPr>
      <w:r>
        <w:t xml:space="preserve">Supplementary Table 2. Clinicopathological characteristics of patients in the R-CT and </w:t>
      </w:r>
      <w:proofErr w:type="spellStart"/>
      <w:r>
        <w:t>ARH</w:t>
      </w:r>
      <w:proofErr w:type="spellEnd"/>
      <w:r>
        <w:t xml:space="preserve"> groups</w:t>
      </w:r>
      <w:r>
        <w:rPr>
          <w:bCs/>
          <w:color w:val="000000" w:themeColor="text1"/>
        </w:rPr>
        <w:t xml:space="preserve"> (stage </w:t>
      </w:r>
      <w:proofErr w:type="spellStart"/>
      <w:r>
        <w:rPr>
          <w:bCs/>
          <w:color w:val="000000" w:themeColor="text1"/>
        </w:rPr>
        <w:t>IIIC1</w:t>
      </w:r>
      <w:proofErr w:type="spellEnd"/>
      <w:r>
        <w:rPr>
          <w:bCs/>
          <w:color w:val="000000" w:themeColor="text1"/>
        </w:rPr>
        <w:t>).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8"/>
        <w:gridCol w:w="1598"/>
        <w:gridCol w:w="1551"/>
        <w:gridCol w:w="879"/>
        <w:gridCol w:w="1598"/>
        <w:gridCol w:w="1863"/>
        <w:gridCol w:w="761"/>
      </w:tblGrid>
      <w:tr w:rsidR="005D4CD1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</w:p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Va</w:t>
            </w:r>
            <w:r>
              <w:rPr>
                <w:rFonts w:eastAsia="等线"/>
                <w:b/>
                <w:bCs/>
                <w:color w:val="000000"/>
                <w:szCs w:val="21"/>
              </w:rPr>
              <w:t>riables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Before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After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</w:tr>
      <w:tr w:rsidR="005D4CD1">
        <w:trPr>
          <w:trHeight w:val="283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R-CT(n=1913)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ARH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(n=1493)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R-CT(n=1176)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ARH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(n=1176)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P</w:t>
            </w:r>
          </w:p>
        </w:tc>
      </w:tr>
      <w:tr w:rsidR="005D4CD1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54.58±10.8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48.24±9.413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24"/>
                <w:szCs w:val="21"/>
              </w:rPr>
              <w:t>&lt;</w:t>
            </w:r>
            <w:r>
              <w:rPr>
                <w:color w:val="000000" w:themeColor="text1"/>
                <w:kern w:val="24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ind w:firstLineChars="100" w:firstLine="210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50.49±8.947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ind w:firstLineChars="200" w:firstLine="420"/>
              <w:jc w:val="left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50.29±8.883</w:t>
            </w:r>
          </w:p>
          <w:p w:rsidR="005D4CD1" w:rsidRDefault="005D4CD1">
            <w:pPr>
              <w:widowControl/>
              <w:adjustRightInd w:val="0"/>
              <w:ind w:firstLineChars="200" w:firstLine="420"/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0.815</w:t>
            </w:r>
          </w:p>
        </w:tc>
      </w:tr>
      <w:tr w:rsidR="005D4CD1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Histological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24"/>
                <w:szCs w:val="21"/>
              </w:rPr>
              <w:t>&lt;</w:t>
            </w:r>
            <w:r>
              <w:rPr>
                <w:color w:val="000000" w:themeColor="text1"/>
                <w:kern w:val="24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0.745</w:t>
            </w:r>
          </w:p>
        </w:tc>
      </w:tr>
      <w:tr w:rsidR="005D4CD1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1843 (96.4%)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 1326 (88.8%)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1114 (94.7%)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    1122 (95.5%)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50 (2.6%)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  118 (7.9%)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42 (3.6%)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   37 (3.10%)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ASC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20 (1.0%)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   49 (3.3%)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20 (1.7%)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   17 (1.4%)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</w:tbl>
    <w:p w:rsidR="005D4CD1" w:rsidRPr="000C0461" w:rsidRDefault="00FB4A62">
      <w:pPr>
        <w:pStyle w:val="IMR-Tablefooter"/>
        <w:rPr>
          <w:color w:val="auto"/>
        </w:rPr>
      </w:pPr>
      <w:proofErr w:type="spellStart"/>
      <w:r w:rsidRPr="000C0461">
        <w:rPr>
          <w:color w:val="auto"/>
        </w:rPr>
        <w:t>PSM</w:t>
      </w:r>
      <w:proofErr w:type="spellEnd"/>
      <w:r w:rsidRPr="000C0461">
        <w:rPr>
          <w:color w:val="auto"/>
        </w:rPr>
        <w:t>: propensity score matching; SCC: squamous cell carcinoma; AC</w:t>
      </w:r>
      <w:r w:rsidRPr="000C0461">
        <w:rPr>
          <w:rFonts w:ascii="宋体" w:eastAsia="宋体" w:hAnsi="宋体" w:cs="宋体"/>
          <w:color w:val="auto"/>
        </w:rPr>
        <w:t>:</w:t>
      </w:r>
      <w:r w:rsidRPr="000C0461">
        <w:rPr>
          <w:rFonts w:ascii="宋体" w:eastAsia="宋体" w:hAnsi="宋体" w:cs="宋体"/>
          <w:color w:val="auto"/>
        </w:rPr>
        <w:t xml:space="preserve"> </w:t>
      </w:r>
      <w:r w:rsidRPr="000C0461">
        <w:rPr>
          <w:rFonts w:eastAsia="宋体" w:hint="eastAsia"/>
          <w:color w:val="auto"/>
          <w:lang w:eastAsia="zh-CN"/>
        </w:rPr>
        <w:t>a</w:t>
      </w:r>
      <w:r w:rsidRPr="000C0461">
        <w:rPr>
          <w:color w:val="auto"/>
        </w:rPr>
        <w:t>denocarcinoma</w:t>
      </w:r>
      <w:r w:rsidRPr="000C0461">
        <w:rPr>
          <w:rFonts w:eastAsia="宋体" w:hint="eastAsia"/>
          <w:color w:val="auto"/>
          <w:lang w:eastAsia="zh-CN"/>
        </w:rPr>
        <w:t xml:space="preserve">; </w:t>
      </w:r>
      <w:r w:rsidRPr="000C0461">
        <w:rPr>
          <w:color w:val="auto"/>
        </w:rPr>
        <w:t xml:space="preserve">ASC: </w:t>
      </w:r>
      <w:proofErr w:type="spellStart"/>
      <w:r w:rsidRPr="000C0461">
        <w:rPr>
          <w:color w:val="auto"/>
        </w:rPr>
        <w:t>adenosquamous</w:t>
      </w:r>
      <w:proofErr w:type="spellEnd"/>
      <w:r w:rsidRPr="000C0461">
        <w:rPr>
          <w:color w:val="auto"/>
        </w:rPr>
        <w:t xml:space="preserve"> cell carcinoma; R-CT: radical </w:t>
      </w:r>
      <w:r w:rsidRPr="000C0461">
        <w:rPr>
          <w:color w:val="auto"/>
        </w:rPr>
        <w:t xml:space="preserve">chemoradiotherapy; </w:t>
      </w:r>
      <w:proofErr w:type="spellStart"/>
      <w:r w:rsidRPr="000C0461">
        <w:rPr>
          <w:color w:val="auto"/>
        </w:rPr>
        <w:t>ARH</w:t>
      </w:r>
      <w:proofErr w:type="spellEnd"/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color w:val="auto"/>
        </w:rPr>
        <w:t>abdominal radical hysterectomy.</w:t>
      </w:r>
    </w:p>
    <w:p w:rsidR="005D4CD1" w:rsidRDefault="005D4CD1">
      <w:pPr>
        <w:spacing w:line="360" w:lineRule="auto"/>
        <w:rPr>
          <w:sz w:val="24"/>
        </w:rPr>
      </w:pPr>
    </w:p>
    <w:p w:rsidR="005D4CD1" w:rsidRDefault="00FB4A62">
      <w:pPr>
        <w:pStyle w:val="IMR-Tablecaption"/>
        <w:spacing w:before="312" w:after="312"/>
        <w:rPr>
          <w:b w:val="0"/>
          <w:bCs/>
        </w:rPr>
      </w:pPr>
      <w:r>
        <w:lastRenderedPageBreak/>
        <w:t xml:space="preserve">Supplementary Table 3. Clinicopathological characteristics of patients in the R-CT and </w:t>
      </w:r>
      <w:proofErr w:type="spellStart"/>
      <w:r>
        <w:t>NACT</w:t>
      </w:r>
      <w:proofErr w:type="spellEnd"/>
      <w:r>
        <w:t xml:space="preserve"> groups (stage </w:t>
      </w:r>
      <w:proofErr w:type="spellStart"/>
      <w:r>
        <w:t>IIIC1</w:t>
      </w:r>
      <w:proofErr w:type="spellEnd"/>
      <w:r>
        <w:t>).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8"/>
        <w:gridCol w:w="1598"/>
        <w:gridCol w:w="1575"/>
        <w:gridCol w:w="879"/>
        <w:gridCol w:w="1493"/>
        <w:gridCol w:w="1575"/>
        <w:gridCol w:w="761"/>
      </w:tblGrid>
      <w:tr w:rsidR="005D4CD1">
        <w:trPr>
          <w:trHeight w:val="33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</w:p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Before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After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</w:tr>
      <w:tr w:rsidR="005D4CD1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R-CT(n=1913)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NACT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(n=623)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R-CT(n=970)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NACT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(n=552)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P</w:t>
            </w:r>
          </w:p>
        </w:tc>
      </w:tr>
      <w:tr w:rsidR="005D4CD1">
        <w:trPr>
          <w:trHeight w:val="90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ind w:firstLineChars="100" w:firstLine="210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54.58±10.8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ind w:firstLineChars="100" w:firstLine="210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46.63±8.446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48.74±7.569</w:t>
            </w:r>
          </w:p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47.49±7.934</w:t>
            </w:r>
          </w:p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0.106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Histological type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 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&lt;0.001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0.836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SCC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1843 (96.3%)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547 (87.8%)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919 (94.7%)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519 (94.0 %)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50 (2.6%)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53 (8.5%)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36 (3.8%)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23 (4.2%)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ASC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20 (1.0%)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23 (3.7%)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15 (1.5%)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10 </w:t>
            </w:r>
            <w:r>
              <w:rPr>
                <w:color w:val="000000" w:themeColor="text1"/>
                <w:kern w:val="24"/>
                <w:szCs w:val="21"/>
              </w:rPr>
              <w:t>(1.8%)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</w:tbl>
    <w:p w:rsidR="005D4CD1" w:rsidRPr="000C0461" w:rsidRDefault="00FB4A62">
      <w:pPr>
        <w:pStyle w:val="IMR-Tablefooter"/>
        <w:rPr>
          <w:color w:val="auto"/>
        </w:rPr>
      </w:pPr>
      <w:proofErr w:type="spellStart"/>
      <w:r w:rsidRPr="000C0461">
        <w:rPr>
          <w:color w:val="auto"/>
        </w:rPr>
        <w:t>PSM</w:t>
      </w:r>
      <w:proofErr w:type="spellEnd"/>
      <w:r w:rsidRPr="000C0461">
        <w:rPr>
          <w:color w:val="auto"/>
        </w:rPr>
        <w:t>: propensity score matching; R-CT</w:t>
      </w:r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color w:val="auto"/>
        </w:rPr>
        <w:t xml:space="preserve">radical chemoradiotherapy; </w:t>
      </w:r>
      <w:proofErr w:type="spellStart"/>
      <w:r w:rsidRPr="000C0461">
        <w:rPr>
          <w:color w:val="auto"/>
        </w:rPr>
        <w:t>NACT</w:t>
      </w:r>
      <w:proofErr w:type="spellEnd"/>
      <w:r w:rsidRPr="000C0461">
        <w:rPr>
          <w:color w:val="auto"/>
        </w:rPr>
        <w:t>: neoadjuvant chemotherapy and radical surgery</w:t>
      </w:r>
      <w:r w:rsidRPr="000C0461">
        <w:rPr>
          <w:rFonts w:eastAsia="宋体" w:hint="eastAsia"/>
          <w:color w:val="auto"/>
          <w:lang w:eastAsia="zh-CN"/>
        </w:rPr>
        <w:t>;</w:t>
      </w:r>
      <w:r w:rsidRPr="000C0461">
        <w:rPr>
          <w:color w:val="auto"/>
        </w:rPr>
        <w:t xml:space="preserve"> SCC: squamous cell carcinoma; AC</w:t>
      </w:r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rFonts w:eastAsia="宋体" w:hint="eastAsia"/>
          <w:color w:val="auto"/>
          <w:lang w:eastAsia="zh-CN"/>
        </w:rPr>
        <w:t>a</w:t>
      </w:r>
      <w:r w:rsidRPr="000C0461">
        <w:rPr>
          <w:color w:val="auto"/>
        </w:rPr>
        <w:t>denocarcinoma</w:t>
      </w:r>
      <w:r w:rsidRPr="000C0461">
        <w:rPr>
          <w:rFonts w:eastAsia="宋体" w:hint="eastAsia"/>
          <w:color w:val="auto"/>
          <w:lang w:eastAsia="zh-CN"/>
        </w:rPr>
        <w:t xml:space="preserve">; </w:t>
      </w:r>
      <w:r w:rsidRPr="000C0461">
        <w:rPr>
          <w:color w:val="auto"/>
        </w:rPr>
        <w:t xml:space="preserve">ASC: </w:t>
      </w:r>
      <w:proofErr w:type="spellStart"/>
      <w:r w:rsidRPr="000C0461">
        <w:rPr>
          <w:color w:val="auto"/>
        </w:rPr>
        <w:t>adenosquamous</w:t>
      </w:r>
      <w:proofErr w:type="spellEnd"/>
      <w:r w:rsidRPr="000C0461">
        <w:rPr>
          <w:color w:val="auto"/>
        </w:rPr>
        <w:t xml:space="preserve"> cell carcinoma</w:t>
      </w:r>
      <w:r w:rsidR="000C0461">
        <w:rPr>
          <w:color w:val="auto"/>
        </w:rPr>
        <w:t>.</w:t>
      </w:r>
      <w:bookmarkStart w:id="0" w:name="_GoBack"/>
      <w:bookmarkEnd w:id="0"/>
    </w:p>
    <w:p w:rsidR="005D4CD1" w:rsidRDefault="005D4CD1">
      <w:pPr>
        <w:spacing w:line="360" w:lineRule="auto"/>
        <w:rPr>
          <w:sz w:val="24"/>
        </w:rPr>
      </w:pPr>
    </w:p>
    <w:p w:rsidR="005D4CD1" w:rsidRDefault="005D4CD1">
      <w:pPr>
        <w:spacing w:line="360" w:lineRule="auto"/>
        <w:rPr>
          <w:sz w:val="24"/>
        </w:rPr>
      </w:pPr>
    </w:p>
    <w:p w:rsidR="005D4CD1" w:rsidRDefault="00FB4A62">
      <w:pPr>
        <w:pStyle w:val="IMR-Tablecaption"/>
        <w:spacing w:before="312" w:after="312"/>
      </w:pPr>
      <w:r>
        <w:t>Supplementary Table 4. Clinicopathological</w:t>
      </w:r>
      <w:r>
        <w:t xml:space="preserve"> characteristics of patients in the </w:t>
      </w:r>
      <w:proofErr w:type="spellStart"/>
      <w:r>
        <w:t>ARH</w:t>
      </w:r>
      <w:proofErr w:type="spellEnd"/>
      <w:r>
        <w:t xml:space="preserve"> and </w:t>
      </w:r>
      <w:proofErr w:type="spellStart"/>
      <w:r>
        <w:t>NACT</w:t>
      </w:r>
      <w:proofErr w:type="spellEnd"/>
      <w:r>
        <w:t xml:space="preserve"> groups (stage </w:t>
      </w:r>
      <w:proofErr w:type="spellStart"/>
      <w:r>
        <w:t>IIIC1</w:t>
      </w:r>
      <w:proofErr w:type="spellEnd"/>
      <w:r>
        <w:t>).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3"/>
        <w:gridCol w:w="1551"/>
        <w:gridCol w:w="1575"/>
        <w:gridCol w:w="879"/>
        <w:gridCol w:w="1446"/>
        <w:gridCol w:w="1575"/>
        <w:gridCol w:w="761"/>
      </w:tblGrid>
      <w:tr w:rsidR="005D4CD1">
        <w:trPr>
          <w:jc w:val="center"/>
        </w:trPr>
        <w:tc>
          <w:tcPr>
            <w:tcW w:w="0" w:type="auto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</w:p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Before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After </w:t>
            </w: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PSM</w:t>
            </w:r>
            <w:proofErr w:type="spellEnd"/>
          </w:p>
        </w:tc>
      </w:tr>
      <w:tr w:rsidR="005D4CD1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ARH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(n=1493)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NACT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(n=623)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ARH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(n=589)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NACT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(n=392)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b/>
                <w:bCs/>
                <w:color w:val="000000" w:themeColor="text1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P</w:t>
            </w:r>
          </w:p>
        </w:tc>
      </w:tr>
      <w:tr w:rsidR="005D4CD1">
        <w:trPr>
          <w:trHeight w:val="90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48.24±9.413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46.63±8.446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ind w:firstLineChars="100" w:firstLine="210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47.8±8.229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47.17±8.323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0.238</w:t>
            </w:r>
          </w:p>
        </w:tc>
      </w:tr>
      <w:tr w:rsidR="005D4CD1">
        <w:trPr>
          <w:trHeight w:val="153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Histological type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 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0.792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 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0.651</w:t>
            </w:r>
          </w:p>
        </w:tc>
      </w:tr>
      <w:tr w:rsidR="005D4CD1">
        <w:trPr>
          <w:trHeight w:val="183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SCC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1326 (88.8%)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547 (87.8%)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543 (92.2%)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358 (91.3%)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118 (7.9%)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53 (8.5%)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36 (6.1%)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24 (6.1%)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ASC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49 (3.3%)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23 (3.7%)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10 (1.7%)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10 (2.6%)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592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Hysterectomy type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0.497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0.700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Type QM-B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1055 (70.7%)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425 (68.2%)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411 (69.8%)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281 (71.7%)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Type QM-</w:t>
            </w:r>
            <w:proofErr w:type="spellStart"/>
            <w:r>
              <w:rPr>
                <w:rFonts w:eastAsia="等线"/>
                <w:color w:val="000000" w:themeColor="text1"/>
                <w:szCs w:val="21"/>
              </w:rPr>
              <w:t>C1</w:t>
            </w:r>
            <w:proofErr w:type="spellEnd"/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6 (0.4%)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 (0.3%)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175 (29.7%)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110 (28.1%)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Type QM-</w:t>
            </w:r>
            <w:proofErr w:type="spellStart"/>
            <w:r>
              <w:rPr>
                <w:rFonts w:eastAsia="等线"/>
                <w:color w:val="000000" w:themeColor="text1"/>
                <w:szCs w:val="21"/>
              </w:rPr>
              <w:t>C2</w:t>
            </w:r>
            <w:proofErr w:type="spellEnd"/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432 (28.9%)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196 (31.5%)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 (0.5%)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 (0.3%)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457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Tumor diameter (cm)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0.234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≤4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1003 (67.2%)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205 (32.9%)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306 (52.0%)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182 (46.4%)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＞</w:t>
            </w:r>
            <w:r>
              <w:rPr>
                <w:rFonts w:eastAsia="等线"/>
                <w:color w:val="000000" w:themeColor="text1"/>
                <w:szCs w:val="21"/>
              </w:rPr>
              <w:t>4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439 (29.4%)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360 (57.8%)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260 (44.1%)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 xml:space="preserve">192 </w:t>
            </w:r>
            <w:r>
              <w:rPr>
                <w:color w:val="000000" w:themeColor="text1"/>
                <w:kern w:val="24"/>
                <w:sz w:val="21"/>
                <w:szCs w:val="21"/>
              </w:rPr>
              <w:t>(49.0%)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lastRenderedPageBreak/>
              <w:t>Unknown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51 (3.4%)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58 (9.3%)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23 (3.9%)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18 (4.6%)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LVSI</w:t>
            </w:r>
            <w:proofErr w:type="spellEnd"/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&lt;0.001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0.258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Negative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843 (56.5%)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443 (71.1%)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376 (63.8%)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264 (67.3%)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Positive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650 (43.5%)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180 (28.9%)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213 (36.2%)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128 (32.7%)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Cervical stromal invasion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0.004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0.277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≤1/2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 xml:space="preserve">205 </w:t>
            </w:r>
            <w:r>
              <w:rPr>
                <w:color w:val="000000" w:themeColor="text1"/>
                <w:kern w:val="24"/>
                <w:szCs w:val="21"/>
              </w:rPr>
              <w:t>(13.7%)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109 (17.5%)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82 (13.9%)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47 (12.0%)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＞</w:t>
            </w:r>
            <w:r>
              <w:rPr>
                <w:rFonts w:eastAsia="等线"/>
                <w:color w:val="000000" w:themeColor="text1"/>
                <w:szCs w:val="21"/>
              </w:rPr>
              <w:t>1/2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1236 (82.8%)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479 (76.9%)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498 (84.6%)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334 (85.2%)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Unknown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52 (3.5%)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35 (5.6%)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9 (1.5%)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11 (2.8%)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436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Parametrial</w:t>
            </w:r>
            <w:proofErr w:type="spellEnd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 involvement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0.054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0.330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Negative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1419 (95.0%)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579 (92.9%)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573 (97.3%)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377 (96.2%)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Positive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74 (5.0%)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44 (7.1%)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16 (2.7%)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15 (3.8%)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Vaginal margin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0.980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0.647</w:t>
            </w: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Negative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1443 (96.7%)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602 (96.6%)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576 (97.8%)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385 (98.2%)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adjustRightInd w:val="0"/>
              <w:jc w:val="left"/>
              <w:rPr>
                <w:color w:val="000000" w:themeColor="text1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Positive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50 (3.3%)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21 (3.4%)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adjustRightInd w:val="0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13 (2.2%)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adjustRightInd w:val="0"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7 (1.8%)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adjustRightInd w:val="0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</w:tbl>
    <w:p w:rsidR="005D4CD1" w:rsidRPr="000C0461" w:rsidRDefault="00FB4A62">
      <w:pPr>
        <w:pStyle w:val="IMR-Tablefooter"/>
        <w:rPr>
          <w:color w:val="auto"/>
        </w:rPr>
      </w:pPr>
      <w:proofErr w:type="spellStart"/>
      <w:r w:rsidRPr="000C0461">
        <w:rPr>
          <w:color w:val="auto"/>
        </w:rPr>
        <w:t>PSM</w:t>
      </w:r>
      <w:proofErr w:type="spellEnd"/>
      <w:r w:rsidRPr="000C0461">
        <w:rPr>
          <w:color w:val="auto"/>
        </w:rPr>
        <w:t xml:space="preserve">: propensity score matching; </w:t>
      </w:r>
      <w:proofErr w:type="spellStart"/>
      <w:r w:rsidRPr="000C0461">
        <w:rPr>
          <w:color w:val="auto"/>
        </w:rPr>
        <w:t>ARH</w:t>
      </w:r>
      <w:proofErr w:type="spellEnd"/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color w:val="auto"/>
        </w:rPr>
        <w:t xml:space="preserve">abdominal radical </w:t>
      </w:r>
      <w:r w:rsidRPr="000C0461">
        <w:rPr>
          <w:color w:val="auto"/>
        </w:rPr>
        <w:t xml:space="preserve">hysterectomy; </w:t>
      </w:r>
      <w:proofErr w:type="spellStart"/>
      <w:r w:rsidRPr="000C0461">
        <w:rPr>
          <w:color w:val="auto"/>
        </w:rPr>
        <w:t>NACT</w:t>
      </w:r>
      <w:proofErr w:type="spellEnd"/>
      <w:r w:rsidRPr="000C0461">
        <w:rPr>
          <w:color w:val="auto"/>
        </w:rPr>
        <w:t>: neoadjuvant chemotherapy and radical surgery; SCC: squamous cell carcinoma; AC</w:t>
      </w:r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rFonts w:eastAsia="宋体" w:hint="eastAsia"/>
          <w:color w:val="auto"/>
          <w:lang w:eastAsia="zh-CN"/>
        </w:rPr>
        <w:t>a</w:t>
      </w:r>
      <w:r w:rsidRPr="000C0461">
        <w:rPr>
          <w:color w:val="auto"/>
        </w:rPr>
        <w:t>denocarcinoma</w:t>
      </w:r>
      <w:r w:rsidRPr="000C0461">
        <w:rPr>
          <w:color w:val="auto"/>
        </w:rPr>
        <w:t xml:space="preserve">; ASC: </w:t>
      </w:r>
      <w:proofErr w:type="spellStart"/>
      <w:r w:rsidRPr="000C0461">
        <w:rPr>
          <w:color w:val="auto"/>
        </w:rPr>
        <w:t>adenosquamous</w:t>
      </w:r>
      <w:proofErr w:type="spellEnd"/>
      <w:r w:rsidRPr="000C0461">
        <w:rPr>
          <w:color w:val="auto"/>
        </w:rPr>
        <w:t xml:space="preserve"> cell carcinoma; </w:t>
      </w:r>
      <w:proofErr w:type="spellStart"/>
      <w:r w:rsidRPr="000C0461">
        <w:rPr>
          <w:color w:val="auto"/>
        </w:rPr>
        <w:t>LVSI</w:t>
      </w:r>
      <w:proofErr w:type="spellEnd"/>
      <w:r w:rsidRPr="000C0461">
        <w:rPr>
          <w:color w:val="auto"/>
        </w:rPr>
        <w:t xml:space="preserve">: </w:t>
      </w:r>
      <w:proofErr w:type="spellStart"/>
      <w:r w:rsidRPr="000C0461">
        <w:rPr>
          <w:color w:val="auto"/>
        </w:rPr>
        <w:t>lymphovascular</w:t>
      </w:r>
      <w:proofErr w:type="spellEnd"/>
      <w:r w:rsidRPr="000C0461">
        <w:rPr>
          <w:color w:val="auto"/>
        </w:rPr>
        <w:t xml:space="preserve"> space invasion.</w:t>
      </w:r>
    </w:p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5D4CD1"/>
    <w:p w:rsidR="005D4CD1" w:rsidRDefault="00FB4A62">
      <w:pPr>
        <w:pStyle w:val="IMR-Tablecaption"/>
        <w:spacing w:before="312" w:after="312"/>
        <w:rPr>
          <w:i/>
          <w:iCs/>
        </w:rPr>
      </w:pPr>
      <w:r>
        <w:lastRenderedPageBreak/>
        <w:t xml:space="preserve">Supplementary Table 5. Clinicopathological </w:t>
      </w:r>
      <w:r>
        <w:t xml:space="preserve">characteristics of patients in the </w:t>
      </w:r>
      <w:proofErr w:type="spellStart"/>
      <w:r>
        <w:t>ARH</w:t>
      </w:r>
      <w:proofErr w:type="spellEnd"/>
      <w:r>
        <w:t xml:space="preserve"> and </w:t>
      </w:r>
      <w:proofErr w:type="spellStart"/>
      <w:r>
        <w:t>NACT</w:t>
      </w:r>
      <w:proofErr w:type="spellEnd"/>
      <w:r>
        <w:t xml:space="preserve"> groups (stage </w:t>
      </w:r>
      <w:proofErr w:type="spellStart"/>
      <w:r>
        <w:t>ⅢC2</w:t>
      </w:r>
      <w:proofErr w:type="spellEnd"/>
      <w:r>
        <w:t>).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3"/>
        <w:gridCol w:w="1349"/>
        <w:gridCol w:w="1470"/>
        <w:gridCol w:w="761"/>
      </w:tblGrid>
      <w:tr w:rsidR="005D4CD1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ARH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(n=36)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>
              <w:rPr>
                <w:b/>
                <w:bCs/>
                <w:color w:val="000000" w:themeColor="text1"/>
                <w:szCs w:val="21"/>
              </w:rPr>
              <w:t>NACT</w:t>
            </w:r>
            <w:proofErr w:type="spellEnd"/>
            <w:r>
              <w:rPr>
                <w:b/>
                <w:bCs/>
                <w:color w:val="000000" w:themeColor="text1"/>
                <w:kern w:val="24"/>
                <w:szCs w:val="21"/>
              </w:rPr>
              <w:t>(n=21)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b/>
                <w:bCs/>
                <w:color w:val="000000" w:themeColor="text1"/>
                <w:kern w:val="24"/>
                <w:szCs w:val="21"/>
              </w:rPr>
              <w:t>P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Histological type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47.22±9.436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46.52±8.364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0.463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SCC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 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0.873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29 (80.6%)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16 (76.2%)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ASC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5 (13.8%)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 (19.0%)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0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Cs w:val="21"/>
              </w:rPr>
              <w:t>Age (years)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 (5.6%)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 (4.8%)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Hysterectomy type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0.434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Type QM-B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22 (61.1%)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16 (76.2%)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Type QM-</w:t>
            </w:r>
            <w:proofErr w:type="spellStart"/>
            <w:r>
              <w:rPr>
                <w:rFonts w:eastAsia="等线"/>
                <w:color w:val="000000" w:themeColor="text1"/>
                <w:szCs w:val="21"/>
              </w:rPr>
              <w:t>C1</w:t>
            </w:r>
            <w:proofErr w:type="spellEnd"/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 (2.8%)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0 (0%)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Type QM-</w:t>
            </w:r>
            <w:proofErr w:type="spellStart"/>
            <w:r>
              <w:rPr>
                <w:rFonts w:eastAsia="等线"/>
                <w:color w:val="000000" w:themeColor="text1"/>
                <w:szCs w:val="21"/>
              </w:rPr>
              <w:t>C2</w:t>
            </w:r>
            <w:proofErr w:type="spellEnd"/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13 (36.1%)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 (23.8%)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Tumor diameter (cm)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0.006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≤4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24 (66.7%)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7 (33.3%)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＞</w:t>
            </w:r>
            <w:r>
              <w:rPr>
                <w:rFonts w:eastAsia="等线"/>
                <w:color w:val="000000" w:themeColor="text1"/>
                <w:szCs w:val="21"/>
              </w:rPr>
              <w:t>4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12 (33.3%)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10 (47.6%)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Unknown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 (0%)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 (19.1%)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LVSI</w:t>
            </w:r>
            <w:proofErr w:type="spellEnd"/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0.052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Negative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18 (50.0%)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16 (76.2%)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Positive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18 (50.0%)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5 (23.8%)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Cervical stromal invasion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0.738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≤1/2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 (8.3%)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 (9.5%)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＞</w:t>
            </w:r>
            <w:r>
              <w:rPr>
                <w:rFonts w:eastAsia="等线"/>
                <w:color w:val="000000" w:themeColor="text1"/>
                <w:szCs w:val="21"/>
              </w:rPr>
              <w:t>1/2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32 (88.9%)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19 (90.5%)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Unknown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1 (2.8%)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0 (0%)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proofErr w:type="spellStart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parametrial</w:t>
            </w:r>
            <w:proofErr w:type="spellEnd"/>
            <w:r>
              <w:rPr>
                <w:rFonts w:eastAsia="等线"/>
                <w:b/>
                <w:bCs/>
                <w:color w:val="000000" w:themeColor="text1"/>
                <w:szCs w:val="21"/>
              </w:rPr>
              <w:t xml:space="preserve"> involvement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0.777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Negative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28 (77.8%)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17 (81.0%)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jc w:val="left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Positive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8 (22.2%)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before="0" w:beforeAutospacing="0" w:after="0" w:afterAutospacing="0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4 (19.0%)</w:t>
            </w:r>
          </w:p>
        </w:tc>
        <w:tc>
          <w:tcPr>
            <w:tcW w:w="0" w:type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spacing w:line="360" w:lineRule="auto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b/>
                <w:bCs/>
                <w:color w:val="000000" w:themeColor="text1"/>
                <w:szCs w:val="21"/>
              </w:rPr>
              <w:t>Vaginal margin</w:t>
            </w:r>
          </w:p>
        </w:tc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spacing w:line="360" w:lineRule="auto"/>
              <w:jc w:val="center"/>
              <w:rPr>
                <w:color w:val="000000" w:themeColor="text1"/>
                <w:kern w:val="24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5D4CD1">
            <w:pPr>
              <w:pStyle w:val="a8"/>
              <w:widowControl/>
              <w:spacing w:line="360" w:lineRule="auto"/>
              <w:rPr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0.113</w:t>
            </w:r>
          </w:p>
        </w:tc>
      </w:tr>
      <w:tr w:rsidR="005D4CD1">
        <w:trPr>
          <w:trHeight w:val="79"/>
          <w:jc w:val="center"/>
        </w:trPr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spacing w:line="360" w:lineRule="auto"/>
              <w:rPr>
                <w:color w:val="000000" w:themeColor="text1"/>
                <w:kern w:val="24"/>
                <w:szCs w:val="21"/>
                <w:lang w:bidi="ar"/>
              </w:rPr>
            </w:pPr>
            <w:r>
              <w:rPr>
                <w:rFonts w:eastAsia="等线"/>
                <w:color w:val="000000" w:themeColor="text1"/>
                <w:szCs w:val="21"/>
              </w:rPr>
              <w:t>Negative</w:t>
            </w:r>
          </w:p>
        </w:tc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spacing w:line="360" w:lineRule="auto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32 (88.9%)</w:t>
            </w:r>
          </w:p>
        </w:tc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line="360" w:lineRule="auto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21 (100%)</w:t>
            </w:r>
          </w:p>
        </w:tc>
        <w:tc>
          <w:tcPr>
            <w:tcW w:w="0" w:type="auto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5D4CD1">
        <w:trPr>
          <w:trHeight w:val="79"/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widowControl/>
              <w:spacing w:line="360" w:lineRule="auto"/>
              <w:rPr>
                <w:color w:val="000000" w:themeColor="text1"/>
                <w:szCs w:val="21"/>
              </w:rPr>
            </w:pPr>
            <w:r>
              <w:rPr>
                <w:rFonts w:eastAsia="等线"/>
                <w:color w:val="000000" w:themeColor="text1"/>
                <w:szCs w:val="21"/>
              </w:rPr>
              <w:t>Positive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FB4A62">
            <w:pPr>
              <w:widowControl/>
              <w:spacing w:line="360" w:lineRule="auto"/>
              <w:jc w:val="center"/>
              <w:rPr>
                <w:color w:val="000000" w:themeColor="text1"/>
                <w:kern w:val="24"/>
                <w:szCs w:val="21"/>
              </w:rPr>
            </w:pPr>
            <w:r>
              <w:rPr>
                <w:color w:val="000000" w:themeColor="text1"/>
                <w:kern w:val="24"/>
                <w:szCs w:val="21"/>
              </w:rPr>
              <w:t>4 (11.1%)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D4CD1" w:rsidRDefault="00FB4A62">
            <w:pPr>
              <w:pStyle w:val="a8"/>
              <w:widowControl/>
              <w:spacing w:line="360" w:lineRule="auto"/>
              <w:rPr>
                <w:color w:val="000000" w:themeColor="text1"/>
                <w:kern w:val="24"/>
                <w:sz w:val="21"/>
                <w:szCs w:val="21"/>
              </w:rPr>
            </w:pPr>
            <w:r>
              <w:rPr>
                <w:color w:val="000000" w:themeColor="text1"/>
                <w:kern w:val="24"/>
                <w:sz w:val="21"/>
                <w:szCs w:val="21"/>
              </w:rPr>
              <w:t>0 (0%)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D4CD1" w:rsidRDefault="005D4CD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</w:tbl>
    <w:p w:rsidR="005D4CD1" w:rsidRPr="000C0461" w:rsidRDefault="00FB4A62">
      <w:pPr>
        <w:pStyle w:val="IMR-Tablefooter"/>
        <w:rPr>
          <w:color w:val="auto"/>
        </w:rPr>
      </w:pPr>
      <w:proofErr w:type="spellStart"/>
      <w:r w:rsidRPr="000C0461">
        <w:rPr>
          <w:color w:val="auto"/>
        </w:rPr>
        <w:t>ARH</w:t>
      </w:r>
      <w:proofErr w:type="spellEnd"/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color w:val="auto"/>
        </w:rPr>
        <w:t xml:space="preserve">abdominal radical hysterectomy; </w:t>
      </w:r>
      <w:proofErr w:type="spellStart"/>
      <w:r w:rsidRPr="000C0461">
        <w:rPr>
          <w:color w:val="auto"/>
        </w:rPr>
        <w:t>NACT</w:t>
      </w:r>
      <w:proofErr w:type="spellEnd"/>
      <w:r w:rsidRPr="000C0461">
        <w:rPr>
          <w:color w:val="auto"/>
        </w:rPr>
        <w:t>: neoadjuvant chemotherapy and radical surgery; SCC: squamous cell carcinoma; AC</w:t>
      </w:r>
      <w:r w:rsidRPr="000C0461">
        <w:rPr>
          <w:rFonts w:ascii="宋体" w:eastAsia="宋体" w:hAnsi="宋体" w:cs="宋体" w:hint="eastAsia"/>
          <w:color w:val="auto"/>
          <w:lang w:eastAsia="zh-CN"/>
        </w:rPr>
        <w:t>:</w:t>
      </w:r>
      <w:r w:rsidRPr="000C0461">
        <w:rPr>
          <w:rFonts w:ascii="宋体" w:eastAsia="宋体" w:hAnsi="宋体" w:cs="宋体"/>
          <w:color w:val="auto"/>
          <w:lang w:eastAsia="zh-CN"/>
        </w:rPr>
        <w:t xml:space="preserve"> </w:t>
      </w:r>
      <w:r w:rsidRPr="000C0461">
        <w:rPr>
          <w:rFonts w:eastAsia="宋体" w:hint="eastAsia"/>
          <w:color w:val="auto"/>
          <w:lang w:eastAsia="zh-CN"/>
        </w:rPr>
        <w:t>a</w:t>
      </w:r>
      <w:r w:rsidRPr="000C0461">
        <w:rPr>
          <w:color w:val="auto"/>
        </w:rPr>
        <w:t>denocarcinoma</w:t>
      </w:r>
      <w:r w:rsidRPr="000C0461">
        <w:rPr>
          <w:rFonts w:eastAsia="宋体" w:hint="eastAsia"/>
          <w:color w:val="auto"/>
          <w:lang w:eastAsia="zh-CN"/>
        </w:rPr>
        <w:t xml:space="preserve">; </w:t>
      </w:r>
      <w:r w:rsidRPr="000C0461">
        <w:rPr>
          <w:color w:val="auto"/>
        </w:rPr>
        <w:t xml:space="preserve">ASC: </w:t>
      </w:r>
      <w:proofErr w:type="spellStart"/>
      <w:r w:rsidRPr="000C0461">
        <w:rPr>
          <w:color w:val="auto"/>
        </w:rPr>
        <w:t>adenosquamous</w:t>
      </w:r>
      <w:proofErr w:type="spellEnd"/>
      <w:r w:rsidRPr="000C0461">
        <w:rPr>
          <w:color w:val="auto"/>
        </w:rPr>
        <w:t xml:space="preserve"> </w:t>
      </w:r>
      <w:r w:rsidRPr="000C0461">
        <w:rPr>
          <w:color w:val="auto"/>
        </w:rPr>
        <w:t xml:space="preserve">cell carcinoma; </w:t>
      </w:r>
      <w:proofErr w:type="spellStart"/>
      <w:r w:rsidRPr="000C0461">
        <w:rPr>
          <w:color w:val="auto"/>
        </w:rPr>
        <w:t>LVSI</w:t>
      </w:r>
      <w:proofErr w:type="spellEnd"/>
      <w:r w:rsidRPr="000C0461">
        <w:rPr>
          <w:color w:val="auto"/>
        </w:rPr>
        <w:t xml:space="preserve">: </w:t>
      </w:r>
      <w:proofErr w:type="spellStart"/>
      <w:r w:rsidRPr="000C0461">
        <w:rPr>
          <w:color w:val="auto"/>
        </w:rPr>
        <w:t>lymphovascular</w:t>
      </w:r>
      <w:proofErr w:type="spellEnd"/>
      <w:r w:rsidRPr="000C0461">
        <w:rPr>
          <w:color w:val="auto"/>
        </w:rPr>
        <w:t xml:space="preserve"> space invasio</w:t>
      </w:r>
      <w:r w:rsidRPr="000C0461">
        <w:rPr>
          <w:rFonts w:hint="eastAsia"/>
          <w:color w:val="auto"/>
        </w:rPr>
        <w:t>n</w:t>
      </w:r>
      <w:r w:rsidR="000C0461">
        <w:rPr>
          <w:color w:val="auto"/>
        </w:rPr>
        <w:t>.</w:t>
      </w:r>
    </w:p>
    <w:sectPr w:rsidR="005D4CD1" w:rsidRPr="000C0461">
      <w:headerReference w:type="first" r:id="rId8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4A62" w:rsidRDefault="00FB4A62">
      <w:r>
        <w:separator/>
      </w:r>
    </w:p>
  </w:endnote>
  <w:endnote w:type="continuationSeparator" w:id="0">
    <w:p w:rsidR="00FB4A62" w:rsidRDefault="00FB4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4A62" w:rsidRDefault="00FB4A62">
      <w:r>
        <w:separator/>
      </w:r>
    </w:p>
  </w:footnote>
  <w:footnote w:type="continuationSeparator" w:id="0">
    <w:p w:rsidR="00FB4A62" w:rsidRDefault="00FB4A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4CD1" w:rsidRDefault="005D4CD1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multilevel"/>
    <w:tmpl w:val="18B468F5"/>
    <w:lvl w:ilvl="0">
      <w:start w:val="1"/>
      <w:numFmt w:val="bullet"/>
      <w:pStyle w:val="IMR-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794FF0"/>
    <w:rsid w:val="000C0461"/>
    <w:rsid w:val="0014175F"/>
    <w:rsid w:val="00172485"/>
    <w:rsid w:val="003C2F88"/>
    <w:rsid w:val="005D4CD1"/>
    <w:rsid w:val="007657BD"/>
    <w:rsid w:val="00847144"/>
    <w:rsid w:val="00AB5650"/>
    <w:rsid w:val="00B56B6A"/>
    <w:rsid w:val="00FB4A62"/>
    <w:rsid w:val="02941290"/>
    <w:rsid w:val="03514B96"/>
    <w:rsid w:val="04853C39"/>
    <w:rsid w:val="0C836968"/>
    <w:rsid w:val="0CDC57CF"/>
    <w:rsid w:val="0D8505BF"/>
    <w:rsid w:val="18BE3459"/>
    <w:rsid w:val="1A9E2446"/>
    <w:rsid w:val="28820C06"/>
    <w:rsid w:val="30C12AAE"/>
    <w:rsid w:val="324D5A6F"/>
    <w:rsid w:val="36BF4DB8"/>
    <w:rsid w:val="4859375F"/>
    <w:rsid w:val="4AEB5D48"/>
    <w:rsid w:val="50F311F9"/>
    <w:rsid w:val="545F2096"/>
    <w:rsid w:val="5BA7525C"/>
    <w:rsid w:val="6AD064E1"/>
    <w:rsid w:val="6B7F36CB"/>
    <w:rsid w:val="6CF72474"/>
    <w:rsid w:val="6F794FF0"/>
    <w:rsid w:val="72AF37CF"/>
    <w:rsid w:val="736A081A"/>
    <w:rsid w:val="79B0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3A05C6"/>
  <w15:docId w15:val="{66F655DE-CAF6-4292-8CC7-229223132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qFormat="1"/>
    <w:lsdException w:name="Emphasis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djustRightInd w:val="0"/>
      <w:snapToGrid w:val="0"/>
      <w:spacing w:before="360" w:after="360"/>
      <w:outlineLvl w:val="0"/>
    </w:pPr>
    <w:rPr>
      <w:rFonts w:eastAsia="Times New Roman"/>
      <w:b/>
      <w:bCs/>
      <w:color w:val="000000"/>
      <w:kern w:val="44"/>
      <w:sz w:val="24"/>
      <w14:ligatures w14:val="standardContextual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widowControl/>
      <w:adjustRightInd w:val="0"/>
      <w:snapToGrid w:val="0"/>
      <w:spacing w:before="240" w:after="240"/>
      <w:outlineLvl w:val="1"/>
    </w:pPr>
    <w:rPr>
      <w:rFonts w:eastAsia="Times New Roman"/>
      <w:b/>
      <w:bCs/>
      <w:i/>
      <w:color w:val="000000"/>
      <w:kern w:val="0"/>
      <w:szCs w:val="21"/>
      <w14:ligatures w14:val="standardContextual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widowControl/>
      <w:adjustRightInd w:val="0"/>
      <w:snapToGrid w:val="0"/>
      <w:spacing w:before="160" w:after="160"/>
      <w:outlineLvl w:val="2"/>
    </w:pPr>
    <w:rPr>
      <w:rFonts w:eastAsia="Times New Roman"/>
      <w:bCs/>
      <w:i/>
      <w:color w:val="000000"/>
      <w:kern w:val="0"/>
      <w:szCs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qFormat/>
    <w:pPr>
      <w:jc w:val="center"/>
    </w:pPr>
    <w:rPr>
      <w:rFonts w:ascii="Cambria" w:hAnsi="Cambria"/>
      <w:szCs w:val="20"/>
    </w:rPr>
  </w:style>
  <w:style w:type="paragraph" w:styleId="a4">
    <w:name w:val="footer"/>
    <w:basedOn w:val="a"/>
    <w:link w:val="a5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semiHidden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7">
    <w:name w:val="页眉 字符"/>
    <w:basedOn w:val="a0"/>
    <w:link w:val="a6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semiHidden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IMR-Abstract">
    <w:name w:val="IMR-Abstract"/>
    <w:next w:val="a"/>
    <w:uiPriority w:val="5"/>
    <w:qFormat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  <w14:ligatures w14:val="standardContextual"/>
    </w:rPr>
  </w:style>
  <w:style w:type="paragraph" w:customStyle="1" w:styleId="IMR-Academiceditor">
    <w:name w:val="IMR-Academic editor"/>
    <w:uiPriority w:val="4"/>
    <w:qFormat/>
    <w:p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  <w14:ligatures w14:val="standardContextual"/>
    </w:rPr>
  </w:style>
  <w:style w:type="paragraph" w:customStyle="1" w:styleId="IMR-Affiliation">
    <w:name w:val="IMR-Affiliation"/>
    <w:uiPriority w:val="3"/>
    <w:qFormat/>
    <w:p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  <w14:ligatures w14:val="standardContextual"/>
    </w:rPr>
  </w:style>
  <w:style w:type="paragraph" w:customStyle="1" w:styleId="IMR-Articletype">
    <w:name w:val="IMR-Article type"/>
    <w:next w:val="a"/>
    <w:qFormat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szCs w:val="22"/>
      <w:lang w:eastAsia="de-DE" w:bidi="en-US"/>
      <w14:ligatures w14:val="standardContextual"/>
    </w:rPr>
  </w:style>
  <w:style w:type="paragraph" w:customStyle="1" w:styleId="IMR-Authornames">
    <w:name w:val="IMR-Authornames"/>
    <w:next w:val="a"/>
    <w:uiPriority w:val="2"/>
    <w:qFormat/>
    <w:p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  <w14:ligatures w14:val="standardContextual"/>
    </w:rPr>
  </w:style>
  <w:style w:type="paragraph" w:customStyle="1" w:styleId="IMR-Backmatter">
    <w:name w:val="IMR-Back matter"/>
    <w:uiPriority w:val="18"/>
    <w:qFormat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sz w:val="24"/>
      <w:szCs w:val="24"/>
      <w:lang w:eastAsia="en-US" w:bidi="en-US"/>
      <w14:ligatures w14:val="standardContextual"/>
    </w:rPr>
  </w:style>
  <w:style w:type="paragraph" w:customStyle="1" w:styleId="IMR-Bullet">
    <w:name w:val="IMR-Bullet"/>
    <w:uiPriority w:val="16"/>
    <w:qFormat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  <w14:ligatures w14:val="standardContextual"/>
    </w:rPr>
  </w:style>
  <w:style w:type="paragraph" w:customStyle="1" w:styleId="IMR-E-mail">
    <w:name w:val="IMR-E-mail"/>
    <w:link w:val="IMR-E-mail0"/>
    <w:uiPriority w:val="4"/>
    <w:qFormat/>
    <w:pPr>
      <w:adjustRightInd w:val="0"/>
      <w:snapToGrid w:val="0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  <w14:ligatures w14:val="standardContextual"/>
    </w:rPr>
  </w:style>
  <w:style w:type="character" w:customStyle="1" w:styleId="IMR-E-mail0">
    <w:name w:val="IMR-E-mail 字符"/>
    <w:basedOn w:val="a0"/>
    <w:link w:val="IMR-E-mail"/>
    <w:uiPriority w:val="4"/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  <w14:ligatures w14:val="standardContextual"/>
    </w:rPr>
  </w:style>
  <w:style w:type="paragraph" w:customStyle="1" w:styleId="IMR-Equation">
    <w:name w:val="IMR-Equation"/>
    <w:uiPriority w:val="17"/>
    <w:qFormat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  <w14:ligatures w14:val="standardContextual"/>
    </w:rPr>
  </w:style>
  <w:style w:type="paragraph" w:customStyle="1" w:styleId="IMR-Figure">
    <w:name w:val="IMR-Figure"/>
    <w:uiPriority w:val="15"/>
    <w:qFormat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  <w14:ligatures w14:val="standardContextual"/>
    </w:rPr>
  </w:style>
  <w:style w:type="paragraph" w:customStyle="1" w:styleId="IMR-Figurecaption">
    <w:name w:val="IMR-Figure caption"/>
    <w:uiPriority w:val="14"/>
    <w:qFormat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  <w14:ligatures w14:val="standardContextual"/>
    </w:rPr>
  </w:style>
  <w:style w:type="paragraph" w:customStyle="1" w:styleId="IMR-Figuretitle">
    <w:name w:val="IMR-Figure title"/>
    <w:uiPriority w:val="13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color w:val="000000"/>
      <w:sz w:val="21"/>
      <w:szCs w:val="21"/>
      <w:lang w:bidi="en-US"/>
      <w14:ligatures w14:val="standardContextual"/>
    </w:rPr>
  </w:style>
  <w:style w:type="paragraph" w:customStyle="1" w:styleId="IMR-Keywords">
    <w:name w:val="IMR-Keywords"/>
    <w:next w:val="a"/>
    <w:link w:val="IMR-Keywords0"/>
    <w:uiPriority w:val="6"/>
    <w:qFormat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  <w14:ligatures w14:val="standardContextual"/>
    </w:rPr>
  </w:style>
  <w:style w:type="character" w:customStyle="1" w:styleId="IMR-Keywords0">
    <w:name w:val="IMR-Keywords 字符"/>
    <w:basedOn w:val="a0"/>
    <w:link w:val="IMR-Keywords"/>
    <w:uiPriority w:val="6"/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  <w14:ligatures w14:val="standardContextual"/>
    </w:rPr>
  </w:style>
  <w:style w:type="paragraph" w:customStyle="1" w:styleId="IMR-Reference">
    <w:name w:val="IMR-Reference"/>
    <w:link w:val="IMR-Reference0"/>
    <w:uiPriority w:val="19"/>
    <w:qFormat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sz w:val="18"/>
      <w:szCs w:val="21"/>
      <w:lang w:eastAsia="de-DE" w:bidi="en-US"/>
      <w14:ligatures w14:val="standardContextual"/>
    </w:rPr>
  </w:style>
  <w:style w:type="character" w:customStyle="1" w:styleId="IMR-Reference0">
    <w:name w:val="IMR-Reference 字符"/>
    <w:basedOn w:val="IMR-Keywords0"/>
    <w:link w:val="IMR-Reference"/>
    <w:uiPriority w:val="19"/>
    <w:qFormat/>
    <w:rPr>
      <w:rFonts w:ascii="Times New Roman" w:eastAsia="Times New Roman" w:hAnsi="Times New Roman" w:cs="Times New Roman"/>
      <w:snapToGrid w:val="0"/>
      <w:color w:val="000000"/>
      <w:sz w:val="18"/>
      <w:szCs w:val="21"/>
      <w:lang w:eastAsia="de-DE" w:bidi="en-US"/>
      <w14:ligatures w14:val="standardContextual"/>
    </w:rPr>
  </w:style>
  <w:style w:type="paragraph" w:customStyle="1" w:styleId="IMR-Tablebody">
    <w:name w:val="IMR-Table body"/>
    <w:uiPriority w:val="11"/>
    <w:qFormat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eastAsia="de-DE" w:bidi="en-US"/>
      <w14:ligatures w14:val="standardContextual"/>
    </w:rPr>
  </w:style>
  <w:style w:type="paragraph" w:customStyle="1" w:styleId="IMR-Tablecaption">
    <w:name w:val="IMR-Table caption"/>
    <w:uiPriority w:val="11"/>
    <w:qFormat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bidi="en-US"/>
      <w14:ligatures w14:val="standardContextual"/>
    </w:rPr>
  </w:style>
  <w:style w:type="paragraph" w:customStyle="1" w:styleId="IMR-Tablefooter">
    <w:name w:val="IMR-Table footer"/>
    <w:next w:val="a"/>
    <w:uiPriority w:val="12"/>
    <w:qFormat/>
    <w:pPr>
      <w:jc w:val="both"/>
    </w:pPr>
    <w:rPr>
      <w:rFonts w:ascii="Times New Roman" w:eastAsia="Times New Roman" w:hAnsi="Times New Roman" w:cs="Times New Roman"/>
      <w:color w:val="000000"/>
      <w:sz w:val="21"/>
      <w:szCs w:val="21"/>
      <w:lang w:eastAsia="de-DE" w:bidi="en-US"/>
      <w14:ligatures w14:val="standardContextual"/>
    </w:rPr>
  </w:style>
  <w:style w:type="paragraph" w:customStyle="1" w:styleId="IMR-Text">
    <w:name w:val="IMR-Text"/>
    <w:link w:val="IMR-Text0"/>
    <w:uiPriority w:val="10"/>
    <w:qFormat/>
    <w:pPr>
      <w:ind w:firstLineChars="200" w:firstLine="200"/>
      <w:jc w:val="both"/>
    </w:pPr>
    <w:rPr>
      <w:rFonts w:eastAsia="Times New Roman"/>
      <w:snapToGrid w:val="0"/>
      <w:color w:val="000000"/>
      <w:kern w:val="2"/>
      <w:sz w:val="21"/>
      <w:szCs w:val="28"/>
      <w:lang w:eastAsia="de-DE" w:bidi="en-US"/>
      <w14:ligatures w14:val="standardContextual"/>
    </w:rPr>
  </w:style>
  <w:style w:type="character" w:customStyle="1" w:styleId="IMR-Text0">
    <w:name w:val="IMR-Text 字符"/>
    <w:basedOn w:val="a0"/>
    <w:link w:val="IMR-Text"/>
    <w:uiPriority w:val="10"/>
    <w:rPr>
      <w:rFonts w:eastAsia="Times New Roman"/>
      <w:snapToGrid w:val="0"/>
      <w:color w:val="000000"/>
      <w:kern w:val="2"/>
      <w:sz w:val="21"/>
      <w:szCs w:val="28"/>
      <w:lang w:eastAsia="de-DE" w:bidi="en-US"/>
      <w14:ligatures w14:val="standardContextual"/>
    </w:rPr>
  </w:style>
  <w:style w:type="paragraph" w:customStyle="1" w:styleId="IMR-Title">
    <w:name w:val="IMR-Title"/>
    <w:next w:val="a"/>
    <w:uiPriority w:val="1"/>
    <w:qFormat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sz w:val="36"/>
      <w:lang w:eastAsia="de-DE" w:bidi="en-US"/>
      <w14:ligatures w14:val="standardContextual"/>
    </w:rPr>
  </w:style>
  <w:style w:type="character" w:customStyle="1" w:styleId="10">
    <w:name w:val="标题 1 字符"/>
    <w:basedOn w:val="a0"/>
    <w:link w:val="1"/>
    <w:uiPriority w:val="9"/>
    <w:rPr>
      <w:rFonts w:ascii="Times New Roman" w:eastAsia="Times New Roman" w:hAnsi="Times New Roman" w:cs="Times New Roman"/>
      <w:b/>
      <w:bCs/>
      <w:color w:val="000000"/>
      <w:kern w:val="44"/>
      <w:sz w:val="24"/>
      <w:szCs w:val="24"/>
      <w14:ligatures w14:val="standardContextual"/>
    </w:rPr>
  </w:style>
  <w:style w:type="character" w:customStyle="1" w:styleId="20">
    <w:name w:val="标题 2 字符"/>
    <w:basedOn w:val="a0"/>
    <w:link w:val="2"/>
    <w:uiPriority w:val="9"/>
    <w:rPr>
      <w:rFonts w:ascii="Times New Roman" w:eastAsia="Times New Roman" w:hAnsi="Times New Roman" w:cs="Times New Roman"/>
      <w:b/>
      <w:bCs/>
      <w:i/>
      <w:color w:val="000000"/>
      <w:sz w:val="21"/>
      <w:szCs w:val="21"/>
      <w14:ligatures w14:val="standardContextual"/>
    </w:rPr>
  </w:style>
  <w:style w:type="character" w:customStyle="1" w:styleId="30">
    <w:name w:val="标题 3 字符"/>
    <w:basedOn w:val="a0"/>
    <w:link w:val="3"/>
    <w:uiPriority w:val="9"/>
    <w:rPr>
      <w:rFonts w:ascii="Times New Roman" w:eastAsia="Times New Roman" w:hAnsi="Times New Roman" w:cs="Times New Roman"/>
      <w:bCs/>
      <w:i/>
      <w:color w:val="000000"/>
      <w:sz w:val="21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13790338099</dc:creator>
  <cp:lastModifiedBy>Sophia</cp:lastModifiedBy>
  <cp:revision>6</cp:revision>
  <dcterms:created xsi:type="dcterms:W3CDTF">2023-03-22T07:34:00Z</dcterms:created>
  <dcterms:modified xsi:type="dcterms:W3CDTF">2023-06-20T00:45:00Z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