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28F4E3" w14:textId="4799F92A" w:rsidR="00F02567" w:rsidRDefault="00F02567" w:rsidP="00F02567">
      <w:pPr>
        <w:pStyle w:val="Tablecaption"/>
        <w:spacing w:before="312" w:after="312"/>
      </w:pPr>
      <w:r>
        <w:t>Supplementa</w:t>
      </w:r>
      <w:r w:rsidR="00343CE0">
        <w:t>ry</w:t>
      </w:r>
      <w:bookmarkStart w:id="0" w:name="_GoBack"/>
      <w:bookmarkEnd w:id="0"/>
      <w:r>
        <w:rPr>
          <w:rFonts w:eastAsia="宋体" w:hint="eastAsia"/>
        </w:rPr>
        <w:t xml:space="preserve"> </w:t>
      </w:r>
      <w:r>
        <w:rPr>
          <w:rFonts w:hint="eastAsia"/>
        </w:rPr>
        <w:t>Table</w:t>
      </w:r>
      <w:r>
        <w:rPr>
          <w:rFonts w:eastAsiaTheme="minorEastAsia" w:hint="eastAsia"/>
        </w:rPr>
        <w:t xml:space="preserve"> </w:t>
      </w:r>
      <w:r>
        <w:rPr>
          <w:rFonts w:hint="eastAsia"/>
        </w:rPr>
        <w:t>1.</w:t>
      </w:r>
      <w:r>
        <w:t xml:space="preserve"> Four-stage scoring comprehensive evaluation table of chronic cervical inflammatory signs.</w:t>
      </w:r>
    </w:p>
    <w:tbl>
      <w:tblPr>
        <w:tblW w:w="102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3"/>
        <w:gridCol w:w="1618"/>
        <w:gridCol w:w="1412"/>
        <w:gridCol w:w="1385"/>
        <w:gridCol w:w="1385"/>
        <w:gridCol w:w="1463"/>
        <w:gridCol w:w="961"/>
        <w:gridCol w:w="1211"/>
      </w:tblGrid>
      <w:tr w:rsidR="00F02567" w14:paraId="10129051" w14:textId="77777777" w:rsidTr="00C17FBB">
        <w:trPr>
          <w:trHeight w:val="937"/>
          <w:jc w:val="center"/>
        </w:trPr>
        <w:tc>
          <w:tcPr>
            <w:tcW w:w="793" w:type="dxa"/>
            <w:vAlign w:val="center"/>
          </w:tcPr>
          <w:p w14:paraId="08479531" w14:textId="77777777" w:rsidR="00F02567" w:rsidRDefault="00F02567" w:rsidP="00C17FBB">
            <w:pPr>
              <w:pStyle w:val="Tablebody"/>
              <w:jc w:val="left"/>
            </w:pPr>
            <w:r>
              <w:t>Score</w:t>
            </w:r>
          </w:p>
        </w:tc>
        <w:tc>
          <w:tcPr>
            <w:tcW w:w="1618" w:type="dxa"/>
            <w:vAlign w:val="center"/>
          </w:tcPr>
          <w:p w14:paraId="3D331B6B" w14:textId="77777777" w:rsidR="00F02567" w:rsidRDefault="00F02567" w:rsidP="00C17FBB">
            <w:pPr>
              <w:pStyle w:val="Tablebody"/>
              <w:jc w:val="center"/>
            </w:pPr>
            <w:r>
              <w:t>Increased leucorrhea</w:t>
            </w:r>
          </w:p>
        </w:tc>
        <w:tc>
          <w:tcPr>
            <w:tcW w:w="1412" w:type="dxa"/>
            <w:vAlign w:val="center"/>
          </w:tcPr>
          <w:p w14:paraId="6CAFAE90" w14:textId="77777777" w:rsidR="00F02567" w:rsidRDefault="00F02567" w:rsidP="00C17FBB">
            <w:pPr>
              <w:pStyle w:val="Tablebody"/>
              <w:jc w:val="center"/>
            </w:pPr>
            <w:r>
              <w:t>Lumbosacral pain</w:t>
            </w:r>
          </w:p>
        </w:tc>
        <w:tc>
          <w:tcPr>
            <w:tcW w:w="1385" w:type="dxa"/>
            <w:vAlign w:val="center"/>
          </w:tcPr>
          <w:p w14:paraId="2AC8AA39" w14:textId="77777777" w:rsidR="00F02567" w:rsidRDefault="00F02567" w:rsidP="00C17FBB">
            <w:pPr>
              <w:pStyle w:val="Tablebody"/>
              <w:jc w:val="center"/>
            </w:pPr>
            <w:r>
              <w:t>The lower abdomen is distended and painful</w:t>
            </w:r>
          </w:p>
        </w:tc>
        <w:tc>
          <w:tcPr>
            <w:tcW w:w="1385" w:type="dxa"/>
            <w:vAlign w:val="center"/>
          </w:tcPr>
          <w:p w14:paraId="6F37135D" w14:textId="77777777" w:rsidR="00F02567" w:rsidRDefault="00F02567" w:rsidP="00C17FBB">
            <w:pPr>
              <w:pStyle w:val="Tablebody"/>
              <w:jc w:val="center"/>
            </w:pPr>
            <w:r>
              <w:t>Contact bleeding</w:t>
            </w:r>
          </w:p>
        </w:tc>
        <w:tc>
          <w:tcPr>
            <w:tcW w:w="1463" w:type="dxa"/>
            <w:vAlign w:val="center"/>
          </w:tcPr>
          <w:p w14:paraId="2EEEBBA4" w14:textId="77777777" w:rsidR="00F02567" w:rsidRDefault="00F02567" w:rsidP="00C17FBB">
            <w:pPr>
              <w:pStyle w:val="Tablebody"/>
              <w:jc w:val="center"/>
            </w:pPr>
            <w:r>
              <w:t>Cervical hypertrophy</w:t>
            </w:r>
          </w:p>
        </w:tc>
        <w:tc>
          <w:tcPr>
            <w:tcW w:w="961" w:type="dxa"/>
            <w:vAlign w:val="center"/>
          </w:tcPr>
          <w:p w14:paraId="17A148F0" w14:textId="77777777" w:rsidR="00F02567" w:rsidRDefault="00F02567" w:rsidP="00C17FBB">
            <w:pPr>
              <w:pStyle w:val="Tablebody"/>
              <w:jc w:val="center"/>
            </w:pPr>
            <w:r>
              <w:t>Adenocele</w:t>
            </w:r>
          </w:p>
        </w:tc>
        <w:tc>
          <w:tcPr>
            <w:tcW w:w="1211" w:type="dxa"/>
            <w:vAlign w:val="center"/>
          </w:tcPr>
          <w:p w14:paraId="2177E82B" w14:textId="77777777" w:rsidR="00F02567" w:rsidRDefault="00F02567" w:rsidP="00C17FBB">
            <w:pPr>
              <w:pStyle w:val="Tablebody"/>
              <w:jc w:val="center"/>
            </w:pPr>
            <w:r>
              <w:t>Iodine staining</w:t>
            </w:r>
          </w:p>
        </w:tc>
      </w:tr>
      <w:tr w:rsidR="00F02567" w14:paraId="6140D953" w14:textId="77777777" w:rsidTr="00C17FBB">
        <w:trPr>
          <w:trHeight w:val="557"/>
          <w:jc w:val="center"/>
        </w:trPr>
        <w:tc>
          <w:tcPr>
            <w:tcW w:w="793" w:type="dxa"/>
            <w:vAlign w:val="center"/>
          </w:tcPr>
          <w:p w14:paraId="33372CF9" w14:textId="77777777" w:rsidR="00F02567" w:rsidRDefault="00F02567" w:rsidP="00C17FBB">
            <w:pPr>
              <w:pStyle w:val="Tablebody"/>
              <w:jc w:val="left"/>
            </w:pPr>
            <w:r>
              <w:t>0</w:t>
            </w:r>
          </w:p>
        </w:tc>
        <w:tc>
          <w:tcPr>
            <w:tcW w:w="1618" w:type="dxa"/>
            <w:vAlign w:val="center"/>
          </w:tcPr>
          <w:p w14:paraId="66C5131D" w14:textId="77777777" w:rsidR="00F02567" w:rsidRDefault="00F02567" w:rsidP="00C17FBB">
            <w:pPr>
              <w:pStyle w:val="Tablebody"/>
              <w:jc w:val="center"/>
            </w:pPr>
            <w:r>
              <w:t>No</w:t>
            </w:r>
          </w:p>
        </w:tc>
        <w:tc>
          <w:tcPr>
            <w:tcW w:w="1412" w:type="dxa"/>
            <w:vAlign w:val="center"/>
          </w:tcPr>
          <w:p w14:paraId="317B2464" w14:textId="77777777" w:rsidR="00F02567" w:rsidRDefault="00F02567" w:rsidP="00C17FBB">
            <w:pPr>
              <w:pStyle w:val="Tablebody"/>
              <w:jc w:val="center"/>
            </w:pPr>
            <w:r>
              <w:t>No</w:t>
            </w:r>
          </w:p>
        </w:tc>
        <w:tc>
          <w:tcPr>
            <w:tcW w:w="1385" w:type="dxa"/>
            <w:vAlign w:val="center"/>
          </w:tcPr>
          <w:p w14:paraId="5C2FD689" w14:textId="77777777" w:rsidR="00F02567" w:rsidRDefault="00F02567" w:rsidP="00C17FBB">
            <w:pPr>
              <w:pStyle w:val="Tablebody"/>
              <w:jc w:val="center"/>
            </w:pPr>
            <w:r>
              <w:t>No</w:t>
            </w:r>
          </w:p>
        </w:tc>
        <w:tc>
          <w:tcPr>
            <w:tcW w:w="1385" w:type="dxa"/>
            <w:vAlign w:val="center"/>
          </w:tcPr>
          <w:p w14:paraId="3246272D" w14:textId="77777777" w:rsidR="00F02567" w:rsidRDefault="00F02567" w:rsidP="00C17FBB">
            <w:pPr>
              <w:pStyle w:val="Tablebody"/>
              <w:jc w:val="center"/>
            </w:pPr>
            <w:r>
              <w:t>No</w:t>
            </w:r>
          </w:p>
        </w:tc>
        <w:tc>
          <w:tcPr>
            <w:tcW w:w="1463" w:type="dxa"/>
            <w:vAlign w:val="center"/>
          </w:tcPr>
          <w:p w14:paraId="4859C848" w14:textId="77777777" w:rsidR="00F02567" w:rsidRDefault="00F02567" w:rsidP="00C17FBB">
            <w:pPr>
              <w:pStyle w:val="Tablebody"/>
              <w:jc w:val="center"/>
            </w:pPr>
            <w:r>
              <w:t>≤3.0 cm</w:t>
            </w:r>
          </w:p>
        </w:tc>
        <w:tc>
          <w:tcPr>
            <w:tcW w:w="961" w:type="dxa"/>
            <w:vAlign w:val="center"/>
          </w:tcPr>
          <w:p w14:paraId="37655151" w14:textId="77777777" w:rsidR="00F02567" w:rsidRDefault="00F02567" w:rsidP="00C17FBB">
            <w:pPr>
              <w:pStyle w:val="Tablebody"/>
              <w:jc w:val="center"/>
            </w:pPr>
            <w:r>
              <w:t>No</w:t>
            </w:r>
          </w:p>
        </w:tc>
        <w:tc>
          <w:tcPr>
            <w:tcW w:w="1211" w:type="dxa"/>
            <w:vAlign w:val="center"/>
          </w:tcPr>
          <w:p w14:paraId="44ED5E20" w14:textId="77777777" w:rsidR="00F02567" w:rsidRDefault="00F02567" w:rsidP="00C17FBB">
            <w:pPr>
              <w:pStyle w:val="Tablebody"/>
              <w:jc w:val="center"/>
            </w:pPr>
            <w:r>
              <w:t>Total coloring</w:t>
            </w:r>
          </w:p>
        </w:tc>
      </w:tr>
      <w:tr w:rsidR="00F02567" w14:paraId="63C419BB" w14:textId="77777777" w:rsidTr="00C17FBB">
        <w:trPr>
          <w:trHeight w:val="889"/>
          <w:jc w:val="center"/>
        </w:trPr>
        <w:tc>
          <w:tcPr>
            <w:tcW w:w="793" w:type="dxa"/>
            <w:vAlign w:val="center"/>
          </w:tcPr>
          <w:p w14:paraId="0FDE2DFB" w14:textId="77777777" w:rsidR="00F02567" w:rsidRDefault="00F02567" w:rsidP="00C17FBB">
            <w:pPr>
              <w:pStyle w:val="Tablebody"/>
              <w:jc w:val="left"/>
            </w:pPr>
            <w:r>
              <w:t>1</w:t>
            </w:r>
          </w:p>
        </w:tc>
        <w:tc>
          <w:tcPr>
            <w:tcW w:w="1618" w:type="dxa"/>
            <w:vAlign w:val="center"/>
          </w:tcPr>
          <w:p w14:paraId="5996AE14" w14:textId="77777777" w:rsidR="00F02567" w:rsidRDefault="00F02567" w:rsidP="00C17FBB">
            <w:pPr>
              <w:pStyle w:val="Tablebody"/>
              <w:jc w:val="center"/>
            </w:pPr>
            <w:r>
              <w:t>More than usual, less than 1/2</w:t>
            </w:r>
          </w:p>
        </w:tc>
        <w:tc>
          <w:tcPr>
            <w:tcW w:w="1412" w:type="dxa"/>
            <w:vAlign w:val="center"/>
          </w:tcPr>
          <w:p w14:paraId="04A12271" w14:textId="77777777" w:rsidR="00F02567" w:rsidRDefault="00F02567" w:rsidP="00C17FBB">
            <w:pPr>
              <w:pStyle w:val="Tablebody"/>
              <w:jc w:val="center"/>
            </w:pPr>
            <w:r>
              <w:t>Occasional mild pain</w:t>
            </w:r>
          </w:p>
        </w:tc>
        <w:tc>
          <w:tcPr>
            <w:tcW w:w="1385" w:type="dxa"/>
            <w:vAlign w:val="center"/>
          </w:tcPr>
          <w:p w14:paraId="34B2EF1E" w14:textId="77777777" w:rsidR="00F02567" w:rsidRDefault="00F02567" w:rsidP="00C17FBB">
            <w:pPr>
              <w:pStyle w:val="Tablebody"/>
              <w:jc w:val="center"/>
            </w:pPr>
            <w:r>
              <w:t>Occasional mild pain</w:t>
            </w:r>
          </w:p>
        </w:tc>
        <w:tc>
          <w:tcPr>
            <w:tcW w:w="1385" w:type="dxa"/>
            <w:vAlign w:val="center"/>
          </w:tcPr>
          <w:p w14:paraId="4F8C0FDD" w14:textId="77777777" w:rsidR="00F02567" w:rsidRDefault="00F02567" w:rsidP="00C17FBB">
            <w:pPr>
              <w:pStyle w:val="Tablebody"/>
              <w:jc w:val="center"/>
            </w:pPr>
            <w:r>
              <w:t>Sometimes</w:t>
            </w:r>
          </w:p>
        </w:tc>
        <w:tc>
          <w:tcPr>
            <w:tcW w:w="1463" w:type="dxa"/>
            <w:vAlign w:val="center"/>
          </w:tcPr>
          <w:p w14:paraId="4B497371" w14:textId="77777777" w:rsidR="00F02567" w:rsidRDefault="00F02567" w:rsidP="00C17FBB">
            <w:pPr>
              <w:pStyle w:val="Tablebody"/>
              <w:jc w:val="center"/>
            </w:pPr>
            <w:r>
              <w:t>&gt;3.0 cm</w:t>
            </w:r>
          </w:p>
        </w:tc>
        <w:tc>
          <w:tcPr>
            <w:tcW w:w="961" w:type="dxa"/>
            <w:vAlign w:val="center"/>
          </w:tcPr>
          <w:p w14:paraId="5BDE8DF1" w14:textId="77777777" w:rsidR="00F02567" w:rsidRDefault="00F02567" w:rsidP="00C17FBB">
            <w:pPr>
              <w:pStyle w:val="Tablebody"/>
              <w:jc w:val="center"/>
            </w:pPr>
            <w:r>
              <w:t>≤2</w:t>
            </w:r>
          </w:p>
        </w:tc>
        <w:tc>
          <w:tcPr>
            <w:tcW w:w="1211" w:type="dxa"/>
            <w:vAlign w:val="center"/>
          </w:tcPr>
          <w:p w14:paraId="03F832DE" w14:textId="77777777" w:rsidR="00F02567" w:rsidRDefault="00F02567" w:rsidP="00C17FBB">
            <w:pPr>
              <w:pStyle w:val="Tablebody"/>
              <w:jc w:val="center"/>
            </w:pPr>
            <w:r>
              <w:t>2/3 Coloring</w:t>
            </w:r>
          </w:p>
        </w:tc>
      </w:tr>
      <w:tr w:rsidR="00F02567" w14:paraId="56BD997C" w14:textId="77777777" w:rsidTr="00C17FBB">
        <w:trPr>
          <w:trHeight w:val="729"/>
          <w:jc w:val="center"/>
        </w:trPr>
        <w:tc>
          <w:tcPr>
            <w:tcW w:w="793" w:type="dxa"/>
            <w:vAlign w:val="center"/>
          </w:tcPr>
          <w:p w14:paraId="751C05C7" w14:textId="77777777" w:rsidR="00F02567" w:rsidRDefault="00F02567" w:rsidP="00C17FBB">
            <w:pPr>
              <w:pStyle w:val="Tablebody"/>
              <w:jc w:val="left"/>
            </w:pPr>
            <w:r>
              <w:t>2</w:t>
            </w:r>
          </w:p>
        </w:tc>
        <w:tc>
          <w:tcPr>
            <w:tcW w:w="1618" w:type="dxa"/>
            <w:vAlign w:val="center"/>
          </w:tcPr>
          <w:p w14:paraId="4F16A43E" w14:textId="77777777" w:rsidR="00F02567" w:rsidRDefault="00F02567" w:rsidP="00C17FBB">
            <w:pPr>
              <w:pStyle w:val="Tablebody"/>
              <w:jc w:val="center"/>
            </w:pPr>
            <w:r>
              <w:t>More than usual, 1/2–1 time</w:t>
            </w:r>
          </w:p>
        </w:tc>
        <w:tc>
          <w:tcPr>
            <w:tcW w:w="1412" w:type="dxa"/>
            <w:vAlign w:val="center"/>
          </w:tcPr>
          <w:p w14:paraId="32A7CF97" w14:textId="77777777" w:rsidR="00F02567" w:rsidRDefault="00F02567" w:rsidP="00C17FBB">
            <w:pPr>
              <w:pStyle w:val="Tablebody"/>
              <w:jc w:val="center"/>
            </w:pPr>
            <w:r>
              <w:t>Frequently</w:t>
            </w:r>
          </w:p>
        </w:tc>
        <w:tc>
          <w:tcPr>
            <w:tcW w:w="1385" w:type="dxa"/>
            <w:vAlign w:val="center"/>
          </w:tcPr>
          <w:p w14:paraId="6AD3B15D" w14:textId="77777777" w:rsidR="00F02567" w:rsidRDefault="00F02567" w:rsidP="00C17FBB">
            <w:pPr>
              <w:pStyle w:val="Tablebody"/>
              <w:jc w:val="center"/>
            </w:pPr>
            <w:r>
              <w:t>Frequently</w:t>
            </w:r>
          </w:p>
        </w:tc>
        <w:tc>
          <w:tcPr>
            <w:tcW w:w="1385" w:type="dxa"/>
            <w:vAlign w:val="center"/>
          </w:tcPr>
          <w:p w14:paraId="564830FF" w14:textId="77777777" w:rsidR="00F02567" w:rsidRDefault="00F02567" w:rsidP="00C17FBB">
            <w:pPr>
              <w:pStyle w:val="Tablebody"/>
              <w:jc w:val="center"/>
            </w:pPr>
            <w:r>
              <w:t>Sometimes</w:t>
            </w:r>
          </w:p>
        </w:tc>
        <w:tc>
          <w:tcPr>
            <w:tcW w:w="1463" w:type="dxa"/>
            <w:vAlign w:val="center"/>
          </w:tcPr>
          <w:p w14:paraId="2A8C9C5A" w14:textId="77777777" w:rsidR="00F02567" w:rsidRDefault="00F02567" w:rsidP="00C17FBB">
            <w:pPr>
              <w:pStyle w:val="Tablebody"/>
              <w:jc w:val="center"/>
            </w:pPr>
            <w:r>
              <w:t>3.5–4.5 cm</w:t>
            </w:r>
          </w:p>
        </w:tc>
        <w:tc>
          <w:tcPr>
            <w:tcW w:w="961" w:type="dxa"/>
            <w:vAlign w:val="center"/>
          </w:tcPr>
          <w:p w14:paraId="6F56E9E1" w14:textId="77777777" w:rsidR="00F02567" w:rsidRDefault="00F02567" w:rsidP="00C17FBB">
            <w:pPr>
              <w:pStyle w:val="Tablebody"/>
              <w:jc w:val="center"/>
            </w:pPr>
            <w:r>
              <w:t>3–5</w:t>
            </w:r>
          </w:p>
        </w:tc>
        <w:tc>
          <w:tcPr>
            <w:tcW w:w="1211" w:type="dxa"/>
            <w:vAlign w:val="center"/>
          </w:tcPr>
          <w:p w14:paraId="74575DFD" w14:textId="77777777" w:rsidR="00F02567" w:rsidRDefault="00F02567" w:rsidP="00C17FBB">
            <w:pPr>
              <w:pStyle w:val="Tablebody"/>
              <w:jc w:val="center"/>
            </w:pPr>
            <w:r>
              <w:t>1/3 Coloring</w:t>
            </w:r>
          </w:p>
        </w:tc>
      </w:tr>
      <w:tr w:rsidR="00F02567" w14:paraId="58D0BD0B" w14:textId="77777777" w:rsidTr="00C17FBB">
        <w:trPr>
          <w:trHeight w:val="749"/>
          <w:jc w:val="center"/>
        </w:trPr>
        <w:tc>
          <w:tcPr>
            <w:tcW w:w="793" w:type="dxa"/>
            <w:vAlign w:val="center"/>
          </w:tcPr>
          <w:p w14:paraId="42B61D83" w14:textId="77777777" w:rsidR="00F02567" w:rsidRDefault="00F02567" w:rsidP="00C17FBB">
            <w:pPr>
              <w:pStyle w:val="Tablebody"/>
              <w:jc w:val="left"/>
            </w:pPr>
            <w:r>
              <w:t>3</w:t>
            </w:r>
          </w:p>
        </w:tc>
        <w:tc>
          <w:tcPr>
            <w:tcW w:w="1618" w:type="dxa"/>
            <w:vAlign w:val="center"/>
          </w:tcPr>
          <w:p w14:paraId="5F9700E8" w14:textId="77777777" w:rsidR="00F02567" w:rsidRDefault="00F02567" w:rsidP="00C17FBB">
            <w:pPr>
              <w:pStyle w:val="Tablebody"/>
              <w:jc w:val="center"/>
            </w:pPr>
            <w:r>
              <w:t>More than usual, more than 1 time</w:t>
            </w:r>
          </w:p>
        </w:tc>
        <w:tc>
          <w:tcPr>
            <w:tcW w:w="1412" w:type="dxa"/>
            <w:vAlign w:val="center"/>
          </w:tcPr>
          <w:p w14:paraId="3F0AA7B6" w14:textId="77777777" w:rsidR="00F02567" w:rsidRDefault="00F02567" w:rsidP="00C17FBB">
            <w:pPr>
              <w:pStyle w:val="Tablebody"/>
              <w:jc w:val="center"/>
            </w:pPr>
            <w:r>
              <w:t>Constant pain was unbearable</w:t>
            </w:r>
          </w:p>
        </w:tc>
        <w:tc>
          <w:tcPr>
            <w:tcW w:w="1385" w:type="dxa"/>
            <w:vAlign w:val="center"/>
          </w:tcPr>
          <w:p w14:paraId="16D0CC62" w14:textId="77777777" w:rsidR="00F02567" w:rsidRDefault="00F02567" w:rsidP="00C17FBB">
            <w:pPr>
              <w:pStyle w:val="Tablebody"/>
              <w:jc w:val="center"/>
            </w:pPr>
            <w:r>
              <w:t>Constant pain was unbearable</w:t>
            </w:r>
          </w:p>
        </w:tc>
        <w:tc>
          <w:tcPr>
            <w:tcW w:w="1385" w:type="dxa"/>
            <w:vAlign w:val="center"/>
          </w:tcPr>
          <w:p w14:paraId="633D8837" w14:textId="77777777" w:rsidR="00F02567" w:rsidRDefault="00F02567" w:rsidP="00C17FBB">
            <w:pPr>
              <w:pStyle w:val="Tablebody"/>
              <w:jc w:val="center"/>
            </w:pPr>
            <w:r>
              <w:t>Every time</w:t>
            </w:r>
          </w:p>
        </w:tc>
        <w:tc>
          <w:tcPr>
            <w:tcW w:w="1463" w:type="dxa"/>
            <w:vAlign w:val="center"/>
          </w:tcPr>
          <w:p w14:paraId="4A9FA429" w14:textId="77777777" w:rsidR="00F02567" w:rsidRDefault="00F02567" w:rsidP="00C17FBB">
            <w:pPr>
              <w:pStyle w:val="Tablebody"/>
              <w:jc w:val="center"/>
            </w:pPr>
            <w:r>
              <w:t>&gt;4.5 cm</w:t>
            </w:r>
          </w:p>
        </w:tc>
        <w:tc>
          <w:tcPr>
            <w:tcW w:w="961" w:type="dxa"/>
            <w:vAlign w:val="center"/>
          </w:tcPr>
          <w:p w14:paraId="69698E3C" w14:textId="77777777" w:rsidR="00F02567" w:rsidRDefault="00F02567" w:rsidP="00C17FBB">
            <w:pPr>
              <w:pStyle w:val="Tablebody"/>
              <w:jc w:val="center"/>
            </w:pPr>
            <w:r>
              <w:t>&gt;5</w:t>
            </w:r>
          </w:p>
        </w:tc>
        <w:tc>
          <w:tcPr>
            <w:tcW w:w="1211" w:type="dxa"/>
            <w:vAlign w:val="center"/>
          </w:tcPr>
          <w:p w14:paraId="11828FBB" w14:textId="77777777" w:rsidR="00F02567" w:rsidRDefault="00F02567" w:rsidP="00C17FBB">
            <w:pPr>
              <w:pStyle w:val="Tablebody"/>
              <w:jc w:val="center"/>
            </w:pPr>
            <w:r>
              <w:t>Non-staining</w:t>
            </w:r>
          </w:p>
        </w:tc>
      </w:tr>
    </w:tbl>
    <w:p w14:paraId="28D9E392" w14:textId="77777777" w:rsidR="00FB666E" w:rsidRDefault="00FB666E"/>
    <w:sectPr w:rsidR="00FB66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951839" w14:textId="77777777" w:rsidR="004B6700" w:rsidRDefault="004B6700" w:rsidP="00F02567">
      <w:pPr>
        <w:spacing w:after="0"/>
      </w:pPr>
      <w:r>
        <w:separator/>
      </w:r>
    </w:p>
  </w:endnote>
  <w:endnote w:type="continuationSeparator" w:id="0">
    <w:p w14:paraId="4A442D77" w14:textId="77777777" w:rsidR="004B6700" w:rsidRDefault="004B6700" w:rsidP="00F025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A6D69C" w14:textId="77777777" w:rsidR="004B6700" w:rsidRDefault="004B6700" w:rsidP="00F02567">
      <w:pPr>
        <w:spacing w:after="0"/>
      </w:pPr>
      <w:r>
        <w:separator/>
      </w:r>
    </w:p>
  </w:footnote>
  <w:footnote w:type="continuationSeparator" w:id="0">
    <w:p w14:paraId="01E4EDAB" w14:textId="77777777" w:rsidR="004B6700" w:rsidRDefault="004B6700" w:rsidP="00F025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66E"/>
    <w:rsid w:val="00343CE0"/>
    <w:rsid w:val="00393B64"/>
    <w:rsid w:val="004B6700"/>
    <w:rsid w:val="00F02567"/>
    <w:rsid w:val="00FB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D1382"/>
  <w15:chartTrackingRefBased/>
  <w15:docId w15:val="{D9029DE5-2668-45A1-8B67-ACB696D80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567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256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25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2567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2567"/>
    <w:rPr>
      <w:sz w:val="18"/>
      <w:szCs w:val="18"/>
    </w:rPr>
  </w:style>
  <w:style w:type="paragraph" w:customStyle="1" w:styleId="Tablebody">
    <w:name w:val="Table body"/>
    <w:uiPriority w:val="11"/>
    <w:qFormat/>
    <w:rsid w:val="00F02567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F02567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color w:val="000000"/>
      <w:kern w:val="0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</dc:creator>
  <cp:keywords/>
  <dc:description/>
  <cp:lastModifiedBy>Akira</cp:lastModifiedBy>
  <cp:revision>3</cp:revision>
  <dcterms:created xsi:type="dcterms:W3CDTF">2024-05-14T06:28:00Z</dcterms:created>
  <dcterms:modified xsi:type="dcterms:W3CDTF">2024-05-14T07:37:00Z</dcterms:modified>
</cp:coreProperties>
</file>