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3EB" w:rsidRPr="00C673EB" w:rsidRDefault="00C673EB" w:rsidP="00C673EB">
      <w:pPr>
        <w:pStyle w:val="a"/>
        <w:rPr>
          <w:rFonts w:eastAsia="DengXian"/>
          <w:b/>
          <w:bCs/>
          <w:spacing w:val="-8"/>
          <w:sz w:val="32"/>
          <w:szCs w:val="32"/>
        </w:rPr>
      </w:pPr>
      <w:r w:rsidRPr="00C673EB">
        <w:rPr>
          <w:rFonts w:eastAsia="DengXian"/>
          <w:b/>
          <w:bCs/>
          <w:spacing w:val="-8"/>
          <w:sz w:val="32"/>
          <w:szCs w:val="32"/>
        </w:rPr>
        <w:t>SUPPORTING INFORMATION</w:t>
      </w:r>
    </w:p>
    <w:p w:rsidR="00C1299A" w:rsidRPr="00C1299A" w:rsidRDefault="00C1299A" w:rsidP="00C1299A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8"/>
          <w:kern w:val="2"/>
          <w:sz w:val="36"/>
          <w:szCs w:val="36"/>
          <w:lang w:val="en-US" w:eastAsia="zh-CN"/>
        </w:rPr>
      </w:pPr>
      <w:r w:rsidRPr="00C1299A">
        <w:rPr>
          <w:rFonts w:ascii="Times New Roman" w:eastAsia="Times New Roman" w:hAnsi="Times New Roman" w:cs="Times New Roman"/>
          <w:b/>
          <w:bCs/>
          <w:spacing w:val="-8"/>
          <w:kern w:val="2"/>
          <w:sz w:val="36"/>
          <w:szCs w:val="36"/>
          <w:lang w:val="en-US" w:eastAsia="zh-CN"/>
        </w:rPr>
        <w:t>A Combination of Native LC-MS Approaches for the Comprehensive Characterization of the Antibody-Drug Conjugate Trastuzumab Deruxtecan</w:t>
      </w: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1"/>
          <w:lang w:val="en-US" w:eastAsia="zh-CN"/>
        </w:rPr>
      </w:pP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</w:pP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Evolène Deslignière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1,2,3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Hélène Diemer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1,2,3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Stéphane Erb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1,2,3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Pierre Coliat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3,4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Xavier Pivot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3,4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Alexandre Detappe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3,4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Oscar Hernandez-Alba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1,2,3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, Sarah Cianférani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1,2,3,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*</w:t>
      </w: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1"/>
          <w:lang w:eastAsia="zh-CN"/>
        </w:rPr>
      </w:pP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</w:pP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1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Laboratoire de Spectrométrie de Masse BioOrganique, Université de Strasbourg, IPHC, CNRS UMR 7178, 67087 Strasbourg, France</w:t>
      </w: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</w:pP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2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Infrastructure Nationale de Protéomique ProFI – FR2048, 67087 Strasbourg, France</w:t>
      </w: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</w:pP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val="en-US" w:eastAsia="zh-CN"/>
        </w:rPr>
        <w:t>3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  <w:t>Strasbourg Drug Discovery and Development Institute (IMS), University of Strasbourg, 67000 Strasbourg, France</w:t>
      </w: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</w:pP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vertAlign w:val="superscript"/>
          <w:lang w:eastAsia="zh-CN"/>
        </w:rPr>
        <w:t>4</w:t>
      </w: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Institut de Cancérologie Strasbourg Europe, 67000 Strasbourg, France</w:t>
      </w: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DengXian" w:hAnsi="Times New Roman" w:cs="Times New Roman"/>
          <w:kern w:val="2"/>
          <w:sz w:val="21"/>
          <w:szCs w:val="21"/>
          <w:lang w:eastAsia="zh-CN"/>
        </w:rPr>
      </w:pPr>
    </w:p>
    <w:p w:rsidR="00C1299A" w:rsidRPr="00C1299A" w:rsidRDefault="00C1299A" w:rsidP="00C1299A">
      <w:pPr>
        <w:widowControl w:val="0"/>
        <w:adjustRightInd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</w:pPr>
      <w:r w:rsidRPr="00C1299A">
        <w:rPr>
          <w:rFonts w:ascii="Times New Roman" w:eastAsia="Times New Roman" w:hAnsi="Times New Roman" w:cs="Times New Roman"/>
          <w:kern w:val="2"/>
          <w:sz w:val="21"/>
          <w:szCs w:val="21"/>
          <w:lang w:eastAsia="zh-CN"/>
        </w:rPr>
        <w:t>*Correspondence: sarah.cianferani@unistra.fr (Sarah Cianférani)</w:t>
      </w:r>
    </w:p>
    <w:p w:rsidR="00C673EB" w:rsidRPr="00412330" w:rsidRDefault="00C673EB" w:rsidP="00C673EB">
      <w:pPr>
        <w:pStyle w:val="a0"/>
        <w:snapToGrid w:val="0"/>
        <w:rPr>
          <w:i w:val="0"/>
          <w:sz w:val="18"/>
          <w:szCs w:val="18"/>
          <w:vertAlign w:val="superscript"/>
          <w:lang w:val="fr-FR"/>
        </w:rPr>
      </w:pPr>
    </w:p>
    <w:p w:rsidR="00C673EB" w:rsidRDefault="00C673EB" w:rsidP="00C673EB">
      <w:pPr>
        <w:pStyle w:val="a"/>
        <w:rPr>
          <w:lang w:val="fr-FR"/>
        </w:rPr>
      </w:pPr>
    </w:p>
    <w:p w:rsidR="00C673EB" w:rsidRDefault="00C673EB" w:rsidP="00C673EB">
      <w:pPr>
        <w:pStyle w:val="a"/>
        <w:rPr>
          <w:lang w:val="fr-FR"/>
        </w:rPr>
      </w:pPr>
    </w:p>
    <w:p w:rsidR="00C673EB" w:rsidRPr="00C673EB" w:rsidRDefault="00E770A2" w:rsidP="00C673EB">
      <w:pPr>
        <w:pStyle w:val="a"/>
        <w:rPr>
          <w:b/>
          <w:sz w:val="28"/>
          <w:lang w:val="fr-FR"/>
        </w:rPr>
      </w:pPr>
      <w:r>
        <w:rPr>
          <w:b/>
          <w:sz w:val="28"/>
          <w:lang w:val="fr-FR"/>
        </w:rPr>
        <w:t>TABLE OF CONTENTS:</w:t>
      </w:r>
    </w:p>
    <w:p w:rsidR="00E770A2" w:rsidRDefault="00E770A2" w:rsidP="00E770A2">
      <w:pPr>
        <w:pStyle w:val="a"/>
        <w:spacing w:after="0" w:line="360" w:lineRule="auto"/>
        <w:ind w:left="720"/>
        <w:rPr>
          <w:b/>
          <w:sz w:val="24"/>
          <w:szCs w:val="22"/>
        </w:rPr>
      </w:pPr>
      <w:r>
        <w:rPr>
          <w:b/>
          <w:sz w:val="24"/>
          <w:szCs w:val="22"/>
        </w:rPr>
        <w:t>EXPERIMENTAL</w:t>
      </w:r>
    </w:p>
    <w:p w:rsidR="00C673EB" w:rsidRPr="00C673EB" w:rsidRDefault="00C673EB" w:rsidP="00C673EB">
      <w:pPr>
        <w:pStyle w:val="a"/>
        <w:numPr>
          <w:ilvl w:val="0"/>
          <w:numId w:val="1"/>
        </w:numPr>
        <w:spacing w:after="0" w:line="360" w:lineRule="auto"/>
        <w:rPr>
          <w:b/>
          <w:sz w:val="24"/>
          <w:szCs w:val="22"/>
        </w:rPr>
      </w:pPr>
      <w:r w:rsidRPr="00C673EB">
        <w:rPr>
          <w:b/>
          <w:sz w:val="24"/>
          <w:szCs w:val="22"/>
        </w:rPr>
        <w:t xml:space="preserve">Text S1: </w:t>
      </w:r>
      <w:r w:rsidRPr="00C673EB">
        <w:rPr>
          <w:sz w:val="24"/>
          <w:szCs w:val="22"/>
        </w:rPr>
        <w:t>Detailed protocol for peptide mapping experiments.</w:t>
      </w:r>
    </w:p>
    <w:p w:rsidR="00C673EB" w:rsidRPr="00E770A2" w:rsidRDefault="00C673EB" w:rsidP="00C673EB">
      <w:pPr>
        <w:pStyle w:val="a"/>
        <w:numPr>
          <w:ilvl w:val="0"/>
          <w:numId w:val="1"/>
        </w:numPr>
        <w:spacing w:after="0" w:line="360" w:lineRule="auto"/>
        <w:rPr>
          <w:b/>
          <w:sz w:val="24"/>
          <w:szCs w:val="22"/>
        </w:rPr>
      </w:pPr>
      <w:r w:rsidRPr="00C673EB">
        <w:rPr>
          <w:b/>
          <w:sz w:val="24"/>
          <w:szCs w:val="22"/>
        </w:rPr>
        <w:t xml:space="preserve">Text S2: </w:t>
      </w:r>
      <w:r w:rsidRPr="00C673EB">
        <w:rPr>
          <w:sz w:val="24"/>
          <w:szCs w:val="22"/>
        </w:rPr>
        <w:t>Detailed protocol for rpLC-MS experiments.</w:t>
      </w:r>
    </w:p>
    <w:p w:rsidR="00E770A2" w:rsidRDefault="00E770A2" w:rsidP="00E770A2">
      <w:pPr>
        <w:pStyle w:val="a"/>
        <w:spacing w:after="0" w:line="360" w:lineRule="auto"/>
        <w:rPr>
          <w:b/>
          <w:sz w:val="24"/>
          <w:szCs w:val="22"/>
        </w:rPr>
      </w:pPr>
    </w:p>
    <w:p w:rsidR="00E770A2" w:rsidRPr="00C673EB" w:rsidRDefault="00E770A2" w:rsidP="00E770A2">
      <w:pPr>
        <w:pStyle w:val="a"/>
        <w:spacing w:after="0" w:line="360" w:lineRule="auto"/>
        <w:ind w:firstLine="708"/>
        <w:rPr>
          <w:b/>
          <w:sz w:val="24"/>
          <w:szCs w:val="22"/>
        </w:rPr>
      </w:pPr>
      <w:r>
        <w:rPr>
          <w:b/>
          <w:sz w:val="24"/>
          <w:szCs w:val="22"/>
        </w:rPr>
        <w:t>RESULTS</w:t>
      </w:r>
    </w:p>
    <w:p w:rsidR="00C673EB" w:rsidRPr="00C673EB" w:rsidRDefault="00C673EB" w:rsidP="00C673EB">
      <w:pPr>
        <w:pStyle w:val="a"/>
        <w:numPr>
          <w:ilvl w:val="0"/>
          <w:numId w:val="1"/>
        </w:numPr>
        <w:spacing w:after="0" w:line="360" w:lineRule="auto"/>
        <w:rPr>
          <w:b/>
          <w:sz w:val="24"/>
          <w:szCs w:val="22"/>
        </w:rPr>
      </w:pPr>
      <w:r w:rsidRPr="00C673EB">
        <w:rPr>
          <w:b/>
          <w:sz w:val="24"/>
          <w:szCs w:val="22"/>
        </w:rPr>
        <w:t xml:space="preserve">Figure S1: </w:t>
      </w:r>
      <w:r w:rsidRPr="00C673EB">
        <w:rPr>
          <w:sz w:val="24"/>
          <w:szCs w:val="22"/>
        </w:rPr>
        <w:t>Mass deconvolutions of the reference mAb trastuzumab and ADCs (T-DXd, BV, T-DM1) obtained from SEC-nMS experiments.</w:t>
      </w:r>
    </w:p>
    <w:p w:rsidR="00C673EB" w:rsidRPr="00E770A2" w:rsidRDefault="00C673EB" w:rsidP="00C673EB">
      <w:pPr>
        <w:pStyle w:val="a"/>
        <w:numPr>
          <w:ilvl w:val="0"/>
          <w:numId w:val="1"/>
        </w:numPr>
        <w:spacing w:after="0" w:line="360" w:lineRule="auto"/>
        <w:rPr>
          <w:b/>
          <w:sz w:val="24"/>
          <w:szCs w:val="22"/>
        </w:rPr>
      </w:pPr>
      <w:r w:rsidRPr="00E770A2">
        <w:rPr>
          <w:b/>
          <w:sz w:val="24"/>
          <w:szCs w:val="22"/>
        </w:rPr>
        <w:t>Figure S2:</w:t>
      </w:r>
      <w:r w:rsidR="00E770A2" w:rsidRPr="00E770A2">
        <w:rPr>
          <w:b/>
          <w:sz w:val="24"/>
          <w:szCs w:val="22"/>
        </w:rPr>
        <w:t xml:space="preserve"> </w:t>
      </w:r>
      <w:r w:rsidR="00E770A2" w:rsidRPr="00E770A2">
        <w:rPr>
          <w:color w:val="000000" w:themeColor="text1"/>
          <w:sz w:val="24"/>
          <w:szCs w:val="24"/>
        </w:rPr>
        <w:t>HICxSEC-nMS analysis of trastuzumab.</w:t>
      </w:r>
    </w:p>
    <w:p w:rsidR="00E770A2" w:rsidRPr="00E770A2" w:rsidRDefault="00C673EB" w:rsidP="00E770A2">
      <w:pPr>
        <w:pStyle w:val="a"/>
        <w:numPr>
          <w:ilvl w:val="0"/>
          <w:numId w:val="1"/>
        </w:numPr>
        <w:spacing w:after="0" w:line="360" w:lineRule="auto"/>
        <w:rPr>
          <w:b/>
          <w:sz w:val="24"/>
          <w:szCs w:val="22"/>
        </w:rPr>
      </w:pPr>
      <w:r w:rsidRPr="00E770A2">
        <w:rPr>
          <w:b/>
          <w:sz w:val="24"/>
          <w:szCs w:val="22"/>
        </w:rPr>
        <w:t>Figure S3:</w:t>
      </w:r>
      <w:r w:rsidR="00E770A2">
        <w:rPr>
          <w:b/>
          <w:sz w:val="24"/>
          <w:szCs w:val="22"/>
        </w:rPr>
        <w:t xml:space="preserve"> </w:t>
      </w:r>
      <w:r w:rsidR="00E770A2" w:rsidRPr="00E770A2">
        <w:rPr>
          <w:color w:val="000000" w:themeColor="text1"/>
          <w:sz w:val="24"/>
          <w:szCs w:val="24"/>
        </w:rPr>
        <w:t>CEX-nMS analysis of trastuzumab.</w:t>
      </w:r>
    </w:p>
    <w:p w:rsidR="00C673EB" w:rsidRPr="00E770A2" w:rsidRDefault="00C673EB" w:rsidP="00E770A2">
      <w:pPr>
        <w:pStyle w:val="a"/>
        <w:spacing w:after="0" w:line="360" w:lineRule="auto"/>
        <w:ind w:left="360"/>
        <w:rPr>
          <w:b/>
          <w:sz w:val="24"/>
          <w:szCs w:val="22"/>
        </w:rPr>
      </w:pPr>
    </w:p>
    <w:p w:rsidR="00C673EB" w:rsidRPr="00E770A2" w:rsidRDefault="00C673EB">
      <w:pPr>
        <w:rPr>
          <w:rFonts w:ascii="Times New Roman" w:eastAsia="Times New Roman" w:hAnsi="Times New Roman" w:cs="Times New Roman"/>
          <w:kern w:val="2"/>
          <w:sz w:val="21"/>
          <w:szCs w:val="21"/>
          <w:lang w:val="en-US" w:eastAsia="zh-CN"/>
        </w:rPr>
      </w:pPr>
      <w:r w:rsidRPr="00E770A2">
        <w:rPr>
          <w:lang w:val="en-US"/>
        </w:rPr>
        <w:br w:type="page"/>
      </w:r>
    </w:p>
    <w:p w:rsidR="00C673EB" w:rsidRPr="00E770A2" w:rsidRDefault="00C673EB" w:rsidP="00C673EB">
      <w:pPr>
        <w:pStyle w:val="a"/>
        <w:spacing w:after="0"/>
        <w:rPr>
          <w:b/>
          <w:sz w:val="28"/>
        </w:rPr>
      </w:pPr>
      <w:r w:rsidRPr="00E770A2">
        <w:rPr>
          <w:b/>
          <w:sz w:val="28"/>
        </w:rPr>
        <w:lastRenderedPageBreak/>
        <w:t>EXPERIMENTAL</w:t>
      </w:r>
    </w:p>
    <w:p w:rsidR="00C673EB" w:rsidRPr="00C673EB" w:rsidRDefault="00C673EB" w:rsidP="00C673EB">
      <w:pPr>
        <w:pStyle w:val="a"/>
        <w:spacing w:after="0"/>
        <w:rPr>
          <w:b/>
          <w:sz w:val="22"/>
        </w:rPr>
      </w:pPr>
    </w:p>
    <w:p w:rsidR="00C673EB" w:rsidRDefault="00C673EB" w:rsidP="00C673EB">
      <w:pPr>
        <w:pStyle w:val="a"/>
        <w:spacing w:after="0"/>
        <w:rPr>
          <w:b/>
          <w:sz w:val="22"/>
        </w:rPr>
      </w:pPr>
      <w:r w:rsidRPr="00C673EB">
        <w:rPr>
          <w:b/>
          <w:sz w:val="22"/>
        </w:rPr>
        <w:t xml:space="preserve">Supplementary text 1. </w:t>
      </w:r>
      <w:r>
        <w:rPr>
          <w:b/>
          <w:sz w:val="22"/>
        </w:rPr>
        <w:t>Detailed protocol for peptide mapping experiments.</w:t>
      </w:r>
    </w:p>
    <w:p w:rsidR="00C673EB" w:rsidRPr="00C673EB" w:rsidRDefault="00C673EB" w:rsidP="00C673EB">
      <w:pPr>
        <w:pStyle w:val="a"/>
        <w:spacing w:after="0"/>
        <w:rPr>
          <w:b/>
          <w:sz w:val="22"/>
        </w:rPr>
      </w:pPr>
    </w:p>
    <w:p w:rsid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  <w:r w:rsidRPr="00C673EB">
        <w:rPr>
          <w:rFonts w:ascii="Times New Roman" w:eastAsia="SimSun" w:hAnsi="Times New Roman" w:cs="Times New Roman"/>
          <w:b/>
          <w:sz w:val="21"/>
          <w:szCs w:val="21"/>
          <w:lang w:val="en-GB"/>
        </w:rPr>
        <w:t xml:space="preserve">Acid trypsin digestion –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20 µg of ADC were solubilized in 174 </w:t>
      </w:r>
      <w:r w:rsidRPr="00C673EB">
        <w:rPr>
          <w:rFonts w:ascii="Times New Roman" w:eastAsia="SimSun" w:hAnsi="Times New Roman" w:cs="Times New Roman"/>
          <w:sz w:val="21"/>
          <w:szCs w:val="21"/>
        </w:rPr>
        <w:t>μ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L of BisTris 50</w:t>
      </w:r>
      <w:r w:rsidR="00C1299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mM, 0.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1% RapiGest (Waters) at pH 6.5. Disulfide reduction was performed with 5 mM TCEP for 30 min at 57°C. The enzyme was prepared by suspending 20 µg of trypsin (Promega) in 100 µL of H</w:t>
      </w:r>
      <w:r w:rsidRPr="00C673EB">
        <w:rPr>
          <w:rFonts w:ascii="Times New Roman" w:eastAsia="SimSun" w:hAnsi="Times New Roman" w:cs="Times New Roman"/>
          <w:sz w:val="21"/>
          <w:szCs w:val="21"/>
          <w:vertAlign w:val="subscript"/>
          <w:lang w:val="en-GB"/>
        </w:rPr>
        <w:t>2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O. Digestion was performed by adding 2 μL of trypsin, which corresponds to a 1:50 enzyme:substrate ratio, during 5 hours at 37°C. The reaction was stopped by adding 1 μL of TFA. RapiGest was eliminated by incubation at 37°C for 30 min and centrifugation at 10,000 g for 5 min.</w:t>
      </w:r>
    </w:p>
    <w:p w:rsid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</w:p>
    <w:p w:rsidR="0057603A" w:rsidRDefault="0057603A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  <w:r w:rsidRPr="0057603A">
        <w:rPr>
          <w:rFonts w:ascii="Times New Roman" w:eastAsia="SimSun" w:hAnsi="Times New Roman" w:cs="Times New Roman"/>
          <w:b/>
          <w:sz w:val="21"/>
          <w:szCs w:val="21"/>
          <w:lang w:val="en-GB"/>
        </w:rPr>
        <w:t>Pepsin digestion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</w:t>
      </w:r>
      <w:r w:rsidRPr="00C673EB">
        <w:rPr>
          <w:rFonts w:ascii="Times New Roman" w:eastAsia="SimSun" w:hAnsi="Times New Roman" w:cs="Times New Roman"/>
          <w:b/>
          <w:sz w:val="21"/>
          <w:szCs w:val="21"/>
          <w:lang w:val="en-GB"/>
        </w:rPr>
        <w:t>–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2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0 µg of 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>ADC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were solubilized in 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>44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μL of H</w:t>
      </w:r>
      <w:r w:rsidRPr="0057603A">
        <w:rPr>
          <w:rFonts w:ascii="Times New Roman" w:eastAsia="SimSun" w:hAnsi="Times New Roman" w:cs="Times New Roman"/>
          <w:sz w:val="21"/>
          <w:szCs w:val="21"/>
          <w:vertAlign w:val="subscript"/>
          <w:lang w:val="en-GB"/>
        </w:rPr>
        <w:t>2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O. Disulfide reduction was performed with 5 mM TCEP for 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>45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min at 57°C. 1M HCl was added to the 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>ADC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solu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>tion to a final pH of 1-2. P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epsin 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(Promega) 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>was prepared in H</w:t>
      </w:r>
      <w:r w:rsidRPr="0057603A">
        <w:rPr>
          <w:rFonts w:ascii="Times New Roman" w:eastAsia="SimSun" w:hAnsi="Times New Roman" w:cs="Times New Roman"/>
          <w:sz w:val="21"/>
          <w:szCs w:val="21"/>
          <w:vertAlign w:val="subscript"/>
          <w:lang w:val="en-GB"/>
        </w:rPr>
        <w:t>2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>O to obtain a concentration of 0.</w:t>
      </w:r>
      <w:r>
        <w:rPr>
          <w:rFonts w:ascii="Times New Roman" w:eastAsia="SimSun" w:hAnsi="Times New Roman" w:cs="Times New Roman"/>
          <w:sz w:val="21"/>
          <w:szCs w:val="21"/>
          <w:lang w:val="en-GB"/>
        </w:rPr>
        <w:t>2</w:t>
      </w:r>
      <w:r w:rsidRPr="0057603A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µg/µL. Digestion was performed by adding 1 µL of pepsin solution, which corresponds to a 1:100 enzyme:substrate ratio. Samples were incubated at 37°C for 45 min. The reaction was stopped by heating at 95°C for 10 min.</w:t>
      </w:r>
    </w:p>
    <w:p w:rsidR="00C673EB" w:rsidRP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</w:p>
    <w:p w:rsid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US"/>
        </w:rPr>
      </w:pPr>
      <w:r w:rsidRPr="00C673EB">
        <w:rPr>
          <w:rFonts w:ascii="Times New Roman" w:eastAsia="SimSun" w:hAnsi="Times New Roman" w:cs="Times New Roman"/>
          <w:b/>
          <w:sz w:val="21"/>
          <w:szCs w:val="21"/>
          <w:lang w:val="en-GB"/>
        </w:rPr>
        <w:t xml:space="preserve">LC-MS/MS experiments – </w:t>
      </w:r>
      <w:r w:rsidRPr="00C673EB">
        <w:rPr>
          <w:rFonts w:ascii="Times New Roman" w:eastAsia="SimSun" w:hAnsi="Times New Roman" w:cs="Times New Roman"/>
          <w:b/>
          <w:i/>
          <w:sz w:val="21"/>
          <w:szCs w:val="21"/>
          <w:lang w:val="en-GB"/>
        </w:rPr>
        <w:t>Liquid chromatography conditions on nanoAcquity chromatography system</w:t>
      </w:r>
      <w:r w:rsidRPr="00C673EB">
        <w:rPr>
          <w:rFonts w:ascii="Times New Roman" w:eastAsia="SimSun" w:hAnsi="Times New Roman" w:cs="Times New Roman"/>
          <w:i/>
          <w:sz w:val="21"/>
          <w:szCs w:val="21"/>
          <w:lang w:val="en-GB"/>
        </w:rPr>
        <w:t xml:space="preserve">.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The analysis was performed using a nanoACQUITY Ultra-Performance-LC (UPLC, Waters). 150 ng of ADC digest were trapped on a </w:t>
      </w:r>
      <w:r w:rsidRPr="00C673EB">
        <w:rPr>
          <w:rFonts w:ascii="Times New Roman" w:eastAsia="SimSun" w:hAnsi="Times New Roman" w:cs="Times New Roman"/>
          <w:sz w:val="21"/>
          <w:szCs w:val="21"/>
          <w:lang w:val="en-US"/>
        </w:rPr>
        <w:t xml:space="preserve">Symmetry C18 pre-column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(C18, 180 µm x 20 mm, 5 µm particle size, Waters) and the peptides were separated on an </w:t>
      </w:r>
      <w:r w:rsidRPr="00C673EB">
        <w:rPr>
          <w:rFonts w:ascii="Times New Roman" w:eastAsia="SimSun" w:hAnsi="Times New Roman" w:cs="Times New Roman"/>
          <w:sz w:val="21"/>
          <w:szCs w:val="21"/>
          <w:lang w:val="en-US"/>
        </w:rPr>
        <w:t>ACQUITY UPLC® BEH130 C18 separation column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(C18, 75 µm × 250 mm, 1.7 µm particle size, Waters). The solvent system consisted of 0.1% formic acid in water (solvent A) and 0.1% formic acid in acetonitrile (solvent B). </w:t>
      </w:r>
      <w:r w:rsidRPr="00C673EB">
        <w:rPr>
          <w:rFonts w:ascii="Times New Roman" w:eastAsia="SimSun" w:hAnsi="Times New Roman" w:cs="Times New Roman"/>
          <w:sz w:val="21"/>
          <w:szCs w:val="21"/>
          <w:lang w:val="en-US"/>
        </w:rPr>
        <w:t>Peptide trapping was performed during 3 min at a flow rate of 5</w:t>
      </w:r>
      <w:r w:rsidR="00780E74">
        <w:rPr>
          <w:rFonts w:ascii="Times New Roman" w:eastAsia="SimSun" w:hAnsi="Times New Roman" w:cs="Times New Roman"/>
          <w:sz w:val="21"/>
          <w:szCs w:val="21"/>
          <w:lang w:val="en-US"/>
        </w:rPr>
        <w:t xml:space="preserve"> </w:t>
      </w:r>
      <w:r w:rsidRPr="00C673EB">
        <w:rPr>
          <w:rFonts w:ascii="Times New Roman" w:eastAsia="SimSun" w:hAnsi="Times New Roman" w:cs="Times New Roman"/>
          <w:sz w:val="21"/>
          <w:szCs w:val="21"/>
          <w:lang w:val="en-US"/>
        </w:rPr>
        <w:t>µL/min with 99% A and 1% B and elution was performed at 60 °C at a flow rate of 400 nL/min from 8% to 35% of B in 38 minutes.</w:t>
      </w:r>
    </w:p>
    <w:p w:rsidR="00C673EB" w:rsidRP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i/>
          <w:sz w:val="21"/>
          <w:szCs w:val="21"/>
          <w:lang w:val="en-GB"/>
        </w:rPr>
      </w:pPr>
    </w:p>
    <w:p w:rsid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  <w:r w:rsidRPr="00C673EB">
        <w:rPr>
          <w:rFonts w:ascii="Times New Roman" w:eastAsia="SimSun" w:hAnsi="Times New Roman" w:cs="Times New Roman"/>
          <w:b/>
          <w:i/>
          <w:sz w:val="21"/>
          <w:szCs w:val="21"/>
          <w:lang w:val="en-GB"/>
        </w:rPr>
        <w:t>MS/MS conditions on Q Exactive plus mass spectrometer</w:t>
      </w:r>
      <w:r w:rsidRPr="00C673EB">
        <w:rPr>
          <w:rFonts w:ascii="Times New Roman" w:eastAsia="SimSun" w:hAnsi="Times New Roman" w:cs="Times New Roman"/>
          <w:i/>
          <w:sz w:val="21"/>
          <w:szCs w:val="21"/>
          <w:lang w:val="en-GB"/>
        </w:rPr>
        <w:t xml:space="preserve">.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For optimal nanoLC-MS/MS, the mass spectrometer was operated in positive mode, with the following settings: spray voltage 1800 V and capillary temperature 250°C. The MS scan had a resolution of 70000, the AGC target was 3x10</w:t>
      </w:r>
      <w:r w:rsidRPr="00C673EB">
        <w:rPr>
          <w:rFonts w:ascii="Times New Roman" w:eastAsia="SimSun" w:hAnsi="Times New Roman" w:cs="Times New Roman"/>
          <w:sz w:val="21"/>
          <w:szCs w:val="21"/>
          <w:vertAlign w:val="superscript"/>
          <w:lang w:val="en-GB"/>
        </w:rPr>
        <w:t>6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and the maximum IT was 50 ms on m/z [300-1800] range. The MS/MS scans had a resolution of 17500, the AGC target was 1x10</w:t>
      </w:r>
      <w:r w:rsidRPr="00C673EB">
        <w:rPr>
          <w:rFonts w:ascii="Times New Roman" w:eastAsia="SimSun" w:hAnsi="Times New Roman" w:cs="Times New Roman"/>
          <w:sz w:val="21"/>
          <w:szCs w:val="21"/>
          <w:vertAlign w:val="superscript"/>
          <w:lang w:val="en-GB"/>
        </w:rPr>
        <w:t>5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and the maximum IT was 100 ms with fixed first mass of 100 </w:t>
      </w:r>
      <w:r w:rsidRPr="00780E74">
        <w:rPr>
          <w:rFonts w:ascii="Times New Roman" w:eastAsia="SimSun" w:hAnsi="Times New Roman" w:cs="Times New Roman"/>
          <w:i/>
          <w:sz w:val="21"/>
          <w:szCs w:val="21"/>
          <w:lang w:val="en-GB"/>
        </w:rPr>
        <w:t>m/z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and Isolation window of 2 </w:t>
      </w:r>
      <w:r w:rsidRPr="00780E74">
        <w:rPr>
          <w:rFonts w:ascii="Times New Roman" w:eastAsia="SimSun" w:hAnsi="Times New Roman" w:cs="Times New Roman"/>
          <w:i/>
          <w:sz w:val="21"/>
          <w:szCs w:val="21"/>
          <w:lang w:val="en-GB"/>
        </w:rPr>
        <w:t>m/z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. Top 10 HCD was selected with intensity threshold of 5x10</w:t>
      </w:r>
      <w:r w:rsidRPr="00C673EB">
        <w:rPr>
          <w:rFonts w:ascii="Times New Roman" w:eastAsia="SimSun" w:hAnsi="Times New Roman" w:cs="Times New Roman"/>
          <w:sz w:val="21"/>
          <w:szCs w:val="21"/>
          <w:vertAlign w:val="superscript"/>
          <w:lang w:val="en-GB"/>
        </w:rPr>
        <w:t>4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and dynamic exclusion of 3 s. The normalized collision energy (NCE) was fixed at 27 V. The complete system was fully controlled by Thermo Scientific™ Xcalibur™ software.</w:t>
      </w:r>
      <w:r w:rsidR="00780E74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Raw data collected were processed and converted with MSConvert into .mgf peak list format.</w:t>
      </w:r>
    </w:p>
    <w:p w:rsidR="00C673EB" w:rsidRP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US"/>
        </w:rPr>
      </w:pPr>
    </w:p>
    <w:p w:rsid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  <w:r w:rsidRPr="00C673EB">
        <w:rPr>
          <w:rFonts w:ascii="Times New Roman" w:eastAsia="SimSun" w:hAnsi="Times New Roman" w:cs="Times New Roman"/>
          <w:b/>
          <w:sz w:val="21"/>
          <w:szCs w:val="21"/>
          <w:lang w:val="en-GB"/>
        </w:rPr>
        <w:t xml:space="preserve">Data interpretation – </w:t>
      </w:r>
      <w:r w:rsidRPr="00C673EB">
        <w:rPr>
          <w:rFonts w:ascii="Times New Roman" w:eastAsia="SimSun" w:hAnsi="Times New Roman" w:cs="Times New Roman"/>
          <w:b/>
          <w:i/>
          <w:sz w:val="21"/>
          <w:szCs w:val="21"/>
          <w:lang w:val="en-GB"/>
        </w:rPr>
        <w:t xml:space="preserve">Peptide identification.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Search engines MASCOT 2.6.2 algorithm (Matrix Science) was used. T</w:t>
      </w:r>
      <w:r w:rsidRPr="00C673EB">
        <w:rPr>
          <w:rFonts w:ascii="Times New Roman" w:eastAsia="SimSun" w:hAnsi="Times New Roman" w:cs="Times New Roman"/>
          <w:sz w:val="21"/>
          <w:szCs w:val="21"/>
          <w:lang w:val="en-US"/>
        </w:rPr>
        <w:t xml:space="preserve">he search was performed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against the sequence of the light and heavy chains of the ADC. Spectra were searched with a mass tolerance of 10 ppm for MS and 0.05 Da for MS/MS data. The search was made without enzyme specified, in order to allow the identification of any non-specific cleavage peptide. Variable modifications were specified: oxidation of methionine residues, pyro-glutamylation of the N-termini, deamidation of asparagine, isomerization of aspartic acid residues and drug-linker conjugation (C52 F H56 N9 O13 and C26 O8 N6 H34) on cysteine residues. Peptide identifications were validated with a minimal Mascot ion score of 30.</w:t>
      </w:r>
    </w:p>
    <w:p w:rsidR="00C673EB" w:rsidRPr="00C673EB" w:rsidRDefault="00C673EB" w:rsidP="00C673EB">
      <w:pPr>
        <w:adjustRightInd w:val="0"/>
        <w:snapToGrid w:val="0"/>
        <w:spacing w:after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</w:p>
    <w:p w:rsidR="00C673EB" w:rsidRPr="00C673EB" w:rsidRDefault="00C673EB" w:rsidP="00C673EB">
      <w:pPr>
        <w:adjustRightInd w:val="0"/>
        <w:snapToGrid w:val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  <w:r w:rsidRPr="00C673EB">
        <w:rPr>
          <w:rFonts w:ascii="Times New Roman" w:eastAsia="SimSun" w:hAnsi="Times New Roman" w:cs="Times New Roman"/>
          <w:b/>
          <w:i/>
          <w:sz w:val="21"/>
          <w:szCs w:val="21"/>
          <w:lang w:val="en-GB"/>
        </w:rPr>
        <w:t>Quantification of amino acid modifications.</w:t>
      </w:r>
      <w:r w:rsidRPr="00C673EB">
        <w:rPr>
          <w:rFonts w:ascii="Times New Roman" w:eastAsia="SimSun" w:hAnsi="Times New Roman" w:cs="Times New Roman"/>
          <w:i/>
          <w:sz w:val="21"/>
          <w:szCs w:val="21"/>
          <w:lang w:val="en-GB"/>
        </w:rPr>
        <w:t xml:space="preserve"> 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 xml:space="preserve">Quantification was done by extraction of ion current, using BioPharma Finder </w:t>
      </w:r>
      <w:r w:rsidR="00780E74">
        <w:rPr>
          <w:rFonts w:ascii="Times New Roman" w:eastAsia="SimSun" w:hAnsi="Times New Roman" w:cs="Times New Roman"/>
          <w:sz w:val="21"/>
          <w:szCs w:val="21"/>
          <w:lang w:val="en-GB"/>
        </w:rPr>
        <w:t>v</w:t>
      </w:r>
      <w:r w:rsidRPr="00C673EB">
        <w:rPr>
          <w:rFonts w:ascii="Times New Roman" w:eastAsia="SimSun" w:hAnsi="Times New Roman" w:cs="Times New Roman"/>
          <w:sz w:val="21"/>
          <w:szCs w:val="21"/>
          <w:lang w:val="en-GB"/>
        </w:rPr>
        <w:t>3.2 (Thermo Fisher Scientific) or Skyline (www.skyline.ms).</w:t>
      </w:r>
    </w:p>
    <w:p w:rsidR="00C673EB" w:rsidRDefault="00C673EB" w:rsidP="00C673EB">
      <w:pPr>
        <w:adjustRightInd w:val="0"/>
        <w:snapToGrid w:val="0"/>
        <w:jc w:val="both"/>
        <w:rPr>
          <w:rFonts w:ascii="Times New Roman" w:eastAsia="SimSun" w:hAnsi="Times New Roman" w:cs="Times New Roman"/>
          <w:sz w:val="21"/>
          <w:szCs w:val="21"/>
          <w:lang w:val="en-GB"/>
        </w:rPr>
      </w:pPr>
    </w:p>
    <w:p w:rsidR="00C673EB" w:rsidRDefault="00C673EB" w:rsidP="00C673EB">
      <w:pPr>
        <w:pStyle w:val="a"/>
        <w:spacing w:after="0"/>
        <w:rPr>
          <w:b/>
          <w:sz w:val="22"/>
        </w:rPr>
      </w:pPr>
      <w:r>
        <w:rPr>
          <w:b/>
          <w:sz w:val="22"/>
        </w:rPr>
        <w:t>Supplementary text 2</w:t>
      </w:r>
      <w:r w:rsidRPr="00C673EB">
        <w:rPr>
          <w:b/>
          <w:sz w:val="22"/>
        </w:rPr>
        <w:t xml:space="preserve">. </w:t>
      </w:r>
      <w:r>
        <w:rPr>
          <w:b/>
          <w:sz w:val="22"/>
        </w:rPr>
        <w:t>Detailed protocol for rpLC-MS experiments.</w:t>
      </w:r>
    </w:p>
    <w:p w:rsidR="00C673EB" w:rsidRPr="00C673EB" w:rsidRDefault="00C673EB" w:rsidP="00C673EB">
      <w:pPr>
        <w:adjustRightInd w:val="0"/>
        <w:snapToGrid w:val="0"/>
        <w:jc w:val="both"/>
        <w:outlineLvl w:val="1"/>
        <w:rPr>
          <w:rFonts w:ascii="Times New Roman" w:hAnsi="Times New Roman" w:cs="Times New Roman"/>
          <w:sz w:val="21"/>
          <w:szCs w:val="21"/>
          <w:lang w:val="en-US"/>
        </w:rPr>
      </w:pPr>
      <w:r w:rsidRPr="00C673EB">
        <w:rPr>
          <w:rFonts w:ascii="Times New Roman" w:hAnsi="Times New Roman" w:cs="Times New Roman"/>
          <w:b/>
          <w:sz w:val="21"/>
          <w:szCs w:val="21"/>
          <w:lang w:val="en-US"/>
        </w:rPr>
        <w:t>Sample preparation –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For middle-up level experiments, fifty micrograms of mAbs were solubilized in 41 </w:t>
      </w:r>
      <w:r w:rsidRPr="00C673EB">
        <w:rPr>
          <w:rFonts w:ascii="Times New Roman" w:hAnsi="Times New Roman" w:cs="Times New Roman"/>
          <w:sz w:val="21"/>
          <w:szCs w:val="21"/>
        </w:rPr>
        <w:t>μ</w:t>
      </w:r>
      <w:r w:rsidR="00414D01">
        <w:rPr>
          <w:rFonts w:ascii="Times New Roman" w:hAnsi="Times New Roman" w:cs="Times New Roman"/>
          <w:sz w:val="21"/>
          <w:szCs w:val="21"/>
          <w:lang w:val="en-US"/>
        </w:rPr>
        <w:t>L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of 50 mM Na</w:t>
      </w:r>
      <w:r w:rsidRPr="00C673EB">
        <w:rPr>
          <w:rFonts w:ascii="Times New Roman" w:hAnsi="Times New Roman" w:cs="Times New Roman"/>
          <w:sz w:val="21"/>
          <w:szCs w:val="21"/>
          <w:vertAlign w:val="subscript"/>
          <w:lang w:val="en-US"/>
        </w:rPr>
        <w:t>2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>HPO</w:t>
      </w:r>
      <w:r w:rsidRPr="00C673EB">
        <w:rPr>
          <w:rFonts w:ascii="Times New Roman" w:hAnsi="Times New Roman" w:cs="Times New Roman"/>
          <w:sz w:val="21"/>
          <w:szCs w:val="21"/>
          <w:vertAlign w:val="subscript"/>
          <w:lang w:val="en-US"/>
        </w:rPr>
        <w:t>4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and 150 mM NaCl at pH 6.7. For middle-up experiments, 13 </w:t>
      </w:r>
      <w:r w:rsidRPr="00C673EB">
        <w:rPr>
          <w:rFonts w:ascii="Times New Roman" w:hAnsi="Times New Roman" w:cs="Times New Roman"/>
          <w:sz w:val="21"/>
          <w:szCs w:val="21"/>
        </w:rPr>
        <w:t>μ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>L of IdeS protease enzyme at 4 units/</w:t>
      </w:r>
      <w:r w:rsidRPr="00C673EB">
        <w:rPr>
          <w:rFonts w:ascii="Times New Roman" w:hAnsi="Times New Roman" w:cs="Times New Roman"/>
          <w:sz w:val="21"/>
          <w:szCs w:val="21"/>
        </w:rPr>
        <w:t>μ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>L (FabRICATOR® from Genovis, Sweden) were added and the mixture was incubated at 37°C for 30 min.</w:t>
      </w:r>
    </w:p>
    <w:p w:rsidR="00C673EB" w:rsidRDefault="00C673EB" w:rsidP="00C673EB">
      <w:pPr>
        <w:adjustRightInd w:val="0"/>
        <w:snapToGrid w:val="0"/>
        <w:spacing w:after="0"/>
        <w:jc w:val="both"/>
        <w:outlineLvl w:val="1"/>
        <w:rPr>
          <w:rFonts w:ascii="Times New Roman" w:hAnsi="Times New Roman" w:cs="Times New Roman"/>
          <w:sz w:val="21"/>
          <w:szCs w:val="21"/>
          <w:lang w:val="en-US"/>
        </w:rPr>
      </w:pPr>
      <w:r w:rsidRPr="00C673EB">
        <w:rPr>
          <w:rFonts w:ascii="Times New Roman" w:hAnsi="Times New Roman" w:cs="Times New Roman"/>
          <w:b/>
          <w:sz w:val="21"/>
          <w:szCs w:val="21"/>
          <w:lang w:val="en-US"/>
        </w:rPr>
        <w:t>LC-MS conditions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– LC-MS analyses was performed using an Agilent 1200 series cou</w:t>
      </w:r>
      <w:r w:rsidR="00356EC3">
        <w:rPr>
          <w:rFonts w:ascii="Times New Roman" w:hAnsi="Times New Roman" w:cs="Times New Roman"/>
          <w:sz w:val="21"/>
          <w:szCs w:val="21"/>
          <w:lang w:val="en-US"/>
        </w:rPr>
        <w:t>pled to a maXis II (Bruker) Q-To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F based mass spectrometer. A volume equivalent to 5 </w:t>
      </w:r>
      <w:r w:rsidRPr="00C673EB">
        <w:rPr>
          <w:rFonts w:ascii="Times New Roman" w:hAnsi="Times New Roman" w:cs="Times New Roman"/>
          <w:sz w:val="21"/>
          <w:szCs w:val="21"/>
        </w:rPr>
        <w:t>μ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g of sample preparation was injected on a BioResolve™ 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lastRenderedPageBreak/>
        <w:t xml:space="preserve">RP mAb 2.1 mm ID and 150 mm length, pore size 450 Å and particule size 2.7 </w:t>
      </w:r>
      <w:r w:rsidRPr="00C673EB">
        <w:rPr>
          <w:rFonts w:ascii="Times New Roman" w:hAnsi="Times New Roman" w:cs="Times New Roman"/>
          <w:sz w:val="21"/>
          <w:szCs w:val="21"/>
        </w:rPr>
        <w:t>μ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>m, polyphenyl column (Waters) set at 80 °C. The UV chromatograms were acquired with a DAD detector operating from 200 to 400 nm. Ult</w:t>
      </w:r>
      <w:r w:rsidR="00414D01">
        <w:rPr>
          <w:rFonts w:ascii="Times New Roman" w:hAnsi="Times New Roman" w:cs="Times New Roman"/>
          <w:sz w:val="21"/>
          <w:szCs w:val="21"/>
          <w:lang w:val="en-US"/>
        </w:rPr>
        <w:t>ra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pure water for mobile phase A (0.10% TFA) and acetonitrile for mobile phase B (0.08% TFA) were used to perform the chromatographic separation. The gradient was generated at a flow rate of 300 </w:t>
      </w:r>
      <w:r w:rsidRPr="00C673EB">
        <w:rPr>
          <w:rFonts w:ascii="Times New Roman" w:hAnsi="Times New Roman" w:cs="Times New Roman"/>
          <w:sz w:val="21"/>
          <w:szCs w:val="21"/>
        </w:rPr>
        <w:t>μ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>L/min and the elution program started at 25% mobile phase B during 2 minutes to reach 44% in 38 minutes. Then, 5 minutes of washing step at 75% and finally 14 minutes of equilibration at 25% mobile phase B. A blank was injected between each sample in the same conditions.</w:t>
      </w:r>
    </w:p>
    <w:p w:rsidR="00C673EB" w:rsidRDefault="00C673EB" w:rsidP="00C673EB">
      <w:pPr>
        <w:adjustRightInd w:val="0"/>
        <w:snapToGrid w:val="0"/>
        <w:spacing w:after="0"/>
        <w:jc w:val="both"/>
        <w:outlineLvl w:val="1"/>
        <w:rPr>
          <w:rFonts w:ascii="Times New Roman" w:hAnsi="Times New Roman" w:cs="Times New Roman"/>
          <w:sz w:val="21"/>
          <w:szCs w:val="21"/>
          <w:lang w:val="en-US"/>
        </w:rPr>
      </w:pP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The mass spectrometer was operated in positive mode with a capillary voltage of 4.5 kV and CID value was set at 70 eV. Acquisitions were performed on the mass range 500 – 5 000 </w:t>
      </w:r>
      <w:r w:rsidRPr="00C673EB">
        <w:rPr>
          <w:rFonts w:ascii="Times New Roman" w:hAnsi="Times New Roman" w:cs="Times New Roman"/>
          <w:i/>
          <w:sz w:val="21"/>
          <w:szCs w:val="21"/>
          <w:lang w:val="en-US"/>
        </w:rPr>
        <w:t>m/z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. Calibration was performed using the singly charged ions produced by a solution of 2 g/L caesium iodide in 2-propanol/water (50/50 v/v). Data interpretation was performed by using Compass DataAnalysis </w:t>
      </w:r>
      <w:r w:rsidR="00780E74">
        <w:rPr>
          <w:rFonts w:ascii="Times New Roman" w:hAnsi="Times New Roman" w:cs="Times New Roman"/>
          <w:sz w:val="21"/>
          <w:szCs w:val="21"/>
          <w:lang w:val="en-US"/>
        </w:rPr>
        <w:t>v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>4.3 software (Bruker Daltonics). Since the molecular isotopic cluster was not fully resolved, average molecular masses were measured.</w:t>
      </w:r>
      <w:bookmarkStart w:id="0" w:name="_GoBack"/>
      <w:bookmarkEnd w:id="0"/>
    </w:p>
    <w:p w:rsidR="00C673EB" w:rsidRDefault="00C673EB" w:rsidP="00C673EB">
      <w:pPr>
        <w:adjustRightInd w:val="0"/>
        <w:snapToGrid w:val="0"/>
        <w:spacing w:after="0"/>
        <w:jc w:val="both"/>
        <w:outlineLvl w:val="1"/>
        <w:rPr>
          <w:rFonts w:ascii="Times New Roman" w:hAnsi="Times New Roman" w:cs="Times New Roman"/>
          <w:sz w:val="21"/>
          <w:szCs w:val="21"/>
          <w:lang w:val="en-US"/>
        </w:rPr>
      </w:pPr>
    </w:p>
    <w:p w:rsidR="00C673EB" w:rsidRPr="00E770A2" w:rsidRDefault="00C673EB" w:rsidP="00C673EB">
      <w:pPr>
        <w:pStyle w:val="a"/>
        <w:spacing w:after="0"/>
        <w:rPr>
          <w:b/>
          <w:sz w:val="28"/>
        </w:rPr>
      </w:pPr>
      <w:r w:rsidRPr="00E770A2">
        <w:rPr>
          <w:b/>
          <w:sz w:val="28"/>
        </w:rPr>
        <w:t>RESULTS</w:t>
      </w:r>
    </w:p>
    <w:p w:rsidR="00C673EB" w:rsidRDefault="00C673EB" w:rsidP="00C673EB">
      <w:pPr>
        <w:pStyle w:val="a"/>
        <w:spacing w:after="0"/>
        <w:rPr>
          <w:b/>
        </w:rPr>
      </w:pPr>
    </w:p>
    <w:p w:rsidR="00C673EB" w:rsidRDefault="00C673EB" w:rsidP="00C673EB">
      <w:pPr>
        <w:spacing w:line="276" w:lineRule="auto"/>
        <w:jc w:val="center"/>
        <w:rPr>
          <w:b/>
          <w:lang w:val="en-US"/>
        </w:rPr>
      </w:pPr>
      <w:r>
        <w:rPr>
          <w:noProof/>
          <w:lang w:eastAsia="fr-FR"/>
        </w:rPr>
        <w:drawing>
          <wp:inline distT="0" distB="0" distL="0" distR="0" wp14:anchorId="5C4E1495" wp14:editId="3A78853A">
            <wp:extent cx="5760720" cy="4091940"/>
            <wp:effectExtent l="0" t="0" r="0" b="381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 STACKED ATDs vF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60B9" w:rsidRPr="00C673EB" w:rsidRDefault="002460B9" w:rsidP="00C673EB">
      <w:pPr>
        <w:spacing w:line="276" w:lineRule="auto"/>
        <w:jc w:val="both"/>
        <w:rPr>
          <w:rFonts w:ascii="Times New Roman" w:hAnsi="Times New Roman" w:cs="Times New Roman"/>
          <w:sz w:val="21"/>
          <w:szCs w:val="21"/>
          <w:lang w:val="en-US"/>
        </w:rPr>
      </w:pPr>
      <w:r w:rsidRPr="00C673EB">
        <w:rPr>
          <w:rFonts w:ascii="Times New Roman" w:hAnsi="Times New Roman" w:cs="Times New Roman"/>
          <w:b/>
          <w:sz w:val="21"/>
          <w:szCs w:val="21"/>
          <w:lang w:val="en-US"/>
        </w:rPr>
        <w:t>Figure S1.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Mass deconvolutions of the reference mAb trastuzumab and ADCs (T-DXd, BV, T-DM1) obtained from SEC-nMS experiments.</w:t>
      </w:r>
    </w:p>
    <w:p w:rsidR="006766AA" w:rsidRDefault="006766AA" w:rsidP="002460B9">
      <w:pPr>
        <w:spacing w:line="276" w:lineRule="auto"/>
        <w:rPr>
          <w:lang w:val="en-US"/>
        </w:rPr>
      </w:pPr>
    </w:p>
    <w:p w:rsidR="006766AA" w:rsidRDefault="006766AA" w:rsidP="006766AA">
      <w:pPr>
        <w:spacing w:after="0" w:line="276" w:lineRule="auto"/>
        <w:jc w:val="center"/>
        <w:rPr>
          <w:lang w:val="en-US"/>
        </w:rPr>
      </w:pPr>
      <w:r w:rsidRPr="006766AA">
        <w:rPr>
          <w:noProof/>
          <w:lang w:eastAsia="fr-FR"/>
        </w:rPr>
        <w:lastRenderedPageBreak/>
        <w:drawing>
          <wp:inline distT="0" distB="0" distL="0" distR="0">
            <wp:extent cx="3849916" cy="3571114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:\DESLIGNIERE Evolène\Publications\Deruxtecan\HIC\Trastuzumab\figure Supp Intact Middle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9916" cy="357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6AA" w:rsidRDefault="006766AA" w:rsidP="006766AA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</w:pPr>
      <w:r w:rsidRPr="00C673EB">
        <w:rPr>
          <w:rFonts w:ascii="Times New Roman" w:hAnsi="Times New Roman" w:cs="Times New Roman"/>
          <w:b/>
          <w:sz w:val="21"/>
          <w:szCs w:val="21"/>
          <w:lang w:val="en-US"/>
        </w:rPr>
        <w:t>Figure S2.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 xml:space="preserve">HICxSEC-nMS analysis of trastuzumab. HIC-UV chromatograms obtained </w:t>
      </w:r>
      <w:r w:rsidRPr="00C673EB">
        <w:rPr>
          <w:rFonts w:ascii="Times New Roman" w:hAnsi="Times New Roman" w:cs="Times New Roman"/>
          <w:b/>
          <w:color w:val="000000" w:themeColor="text1"/>
          <w:sz w:val="21"/>
          <w:szCs w:val="21"/>
          <w:lang w:val="en-US"/>
        </w:rPr>
        <w:t xml:space="preserve">(A) 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>at the intact level, or</w:t>
      </w:r>
      <w:r w:rsidRPr="00C673EB">
        <w:rPr>
          <w:rFonts w:ascii="Times New Roman" w:hAnsi="Times New Roman" w:cs="Times New Roman"/>
          <w:b/>
          <w:color w:val="000000" w:themeColor="text1"/>
          <w:sz w:val="21"/>
          <w:szCs w:val="21"/>
          <w:lang w:val="en-US"/>
        </w:rPr>
        <w:t xml:space="preserve"> (B) 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>at the middle-up level. mAb cartoons with colored dots were used to represent the modifications corresponding to each charge variant: isomerization of aspartate (isoAsp, iD, brown) and deamidation (+1, green).</w:t>
      </w:r>
    </w:p>
    <w:p w:rsidR="00C673EB" w:rsidRPr="00C673EB" w:rsidRDefault="00C673EB" w:rsidP="006766AA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</w:pPr>
    </w:p>
    <w:p w:rsidR="00775C47" w:rsidRDefault="00775C47" w:rsidP="00C673EB">
      <w:pPr>
        <w:pStyle w:val="paragraph"/>
        <w:spacing w:before="0" w:beforeAutospacing="0" w:after="0" w:afterAutospacing="0" w:line="360" w:lineRule="auto"/>
        <w:jc w:val="center"/>
        <w:textAlignment w:val="baseline"/>
        <w:rPr>
          <w:rStyle w:val="normaltextrun"/>
          <w:rFonts w:ascii="Calibri" w:eastAsiaTheme="majorEastAsia" w:hAnsi="Calibri" w:cs="Calibri"/>
          <w:b/>
          <w:bCs/>
          <w:i/>
          <w:iCs/>
          <w:color w:val="C00000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4F5FDB19" wp14:editId="2B652261">
            <wp:extent cx="4022867" cy="3542047"/>
            <wp:effectExtent l="0" t="0" r="0" b="127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2867" cy="3542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5C47" w:rsidRPr="002460B9" w:rsidRDefault="00C673EB" w:rsidP="006766AA">
      <w:pPr>
        <w:spacing w:line="276" w:lineRule="auto"/>
        <w:jc w:val="both"/>
        <w:rPr>
          <w:lang w:val="en-US"/>
        </w:rPr>
      </w:pPr>
      <w:r>
        <w:rPr>
          <w:rFonts w:ascii="Times New Roman" w:hAnsi="Times New Roman" w:cs="Times New Roman"/>
          <w:b/>
          <w:sz w:val="21"/>
          <w:szCs w:val="21"/>
          <w:lang w:val="en-US"/>
        </w:rPr>
        <w:t>Figure S3</w:t>
      </w:r>
      <w:r w:rsidRPr="00C673EB">
        <w:rPr>
          <w:rFonts w:ascii="Times New Roman" w:hAnsi="Times New Roman" w:cs="Times New Roman"/>
          <w:b/>
          <w:sz w:val="21"/>
          <w:szCs w:val="21"/>
          <w:lang w:val="en-US"/>
        </w:rPr>
        <w:t>.</w:t>
      </w:r>
      <w:r w:rsidRPr="00C673EB">
        <w:rPr>
          <w:rFonts w:ascii="Times New Roman" w:hAnsi="Times New Roman" w:cs="Times New Roman"/>
          <w:sz w:val="21"/>
          <w:szCs w:val="21"/>
          <w:lang w:val="en-US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>CEX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>-nMS analysis of trastuzumab.</w:t>
      </w:r>
      <w:r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 xml:space="preserve"> CEX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 xml:space="preserve">-UV chromatograms obtained </w:t>
      </w:r>
      <w:r w:rsidRPr="00C673EB">
        <w:rPr>
          <w:rFonts w:ascii="Times New Roman" w:hAnsi="Times New Roman" w:cs="Times New Roman"/>
          <w:b/>
          <w:color w:val="000000" w:themeColor="text1"/>
          <w:sz w:val="21"/>
          <w:szCs w:val="21"/>
          <w:lang w:val="en-US"/>
        </w:rPr>
        <w:t xml:space="preserve">(A) 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>at the intact level, or</w:t>
      </w:r>
      <w:r w:rsidRPr="00C673EB">
        <w:rPr>
          <w:rFonts w:ascii="Times New Roman" w:hAnsi="Times New Roman" w:cs="Times New Roman"/>
          <w:b/>
          <w:color w:val="000000" w:themeColor="text1"/>
          <w:sz w:val="21"/>
          <w:szCs w:val="21"/>
          <w:lang w:val="en-US"/>
        </w:rPr>
        <w:t xml:space="preserve"> (B) </w:t>
      </w:r>
      <w:r w:rsidRPr="00C673EB">
        <w:rPr>
          <w:rFonts w:ascii="Times New Roman" w:hAnsi="Times New Roman" w:cs="Times New Roman"/>
          <w:color w:val="000000" w:themeColor="text1"/>
          <w:sz w:val="21"/>
          <w:szCs w:val="21"/>
          <w:lang w:val="en-US"/>
        </w:rPr>
        <w:t>at the middle-up level. mAb cartoons with colored dots were used to represent the modifications corresponding to each charge variant: isomerization of aspartate (isoAsp, iD, brown) and deamidation (+1, green).</w:t>
      </w:r>
    </w:p>
    <w:sectPr w:rsidR="00775C47" w:rsidRPr="002460B9" w:rsidSect="002460B9"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70A2" w:rsidRDefault="00E770A2" w:rsidP="00E770A2">
      <w:pPr>
        <w:spacing w:after="0" w:line="240" w:lineRule="auto"/>
      </w:pPr>
      <w:r>
        <w:separator/>
      </w:r>
    </w:p>
  </w:endnote>
  <w:endnote w:type="continuationSeparator" w:id="0">
    <w:p w:rsidR="00E770A2" w:rsidRDefault="00E770A2" w:rsidP="00E77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yriad Pro">
    <w:altName w:val="Segoe UI"/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7722803"/>
      <w:docPartObj>
        <w:docPartGallery w:val="Page Numbers (Bottom of Page)"/>
        <w:docPartUnique/>
      </w:docPartObj>
    </w:sdtPr>
    <w:sdtEndPr/>
    <w:sdtContent>
      <w:p w:rsidR="00E770A2" w:rsidRDefault="00E770A2">
        <w:pPr>
          <w:pStyle w:val="Pieddepage"/>
          <w:jc w:val="right"/>
        </w:pPr>
        <w:r>
          <w:t>S-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14D01">
          <w:rPr>
            <w:noProof/>
          </w:rPr>
          <w:t>4</w:t>
        </w:r>
        <w:r>
          <w:fldChar w:fldCharType="end"/>
        </w:r>
      </w:p>
    </w:sdtContent>
  </w:sdt>
  <w:p w:rsidR="00E770A2" w:rsidRDefault="00E770A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70A2" w:rsidRDefault="00E770A2" w:rsidP="00E770A2">
      <w:pPr>
        <w:spacing w:after="0" w:line="240" w:lineRule="auto"/>
      </w:pPr>
      <w:r>
        <w:separator/>
      </w:r>
    </w:p>
  </w:footnote>
  <w:footnote w:type="continuationSeparator" w:id="0">
    <w:p w:rsidR="00E770A2" w:rsidRDefault="00E770A2" w:rsidP="00E770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801EA"/>
    <w:multiLevelType w:val="hybridMultilevel"/>
    <w:tmpl w:val="47F276EA"/>
    <w:lvl w:ilvl="0" w:tplc="9EA214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FFFFFF" w:themeColor="background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16F"/>
    <w:rsid w:val="00097442"/>
    <w:rsid w:val="00165053"/>
    <w:rsid w:val="002460B9"/>
    <w:rsid w:val="00356EC3"/>
    <w:rsid w:val="00412330"/>
    <w:rsid w:val="00414D01"/>
    <w:rsid w:val="0057603A"/>
    <w:rsid w:val="006766AA"/>
    <w:rsid w:val="00775C47"/>
    <w:rsid w:val="00780E74"/>
    <w:rsid w:val="007D4A87"/>
    <w:rsid w:val="009F3CED"/>
    <w:rsid w:val="00AD375A"/>
    <w:rsid w:val="00B3316F"/>
    <w:rsid w:val="00C1299A"/>
    <w:rsid w:val="00C673EB"/>
    <w:rsid w:val="00E770A2"/>
    <w:rsid w:val="00F3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041BD"/>
  <w15:chartTrackingRefBased/>
  <w15:docId w15:val="{7F23A8AE-F752-4BA8-9122-52DAEB469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Sansinterligne"/>
    <w:next w:val="Normal"/>
    <w:link w:val="Titre1Car"/>
    <w:uiPriority w:val="9"/>
    <w:qFormat/>
    <w:rsid w:val="00097442"/>
    <w:pPr>
      <w:spacing w:line="276" w:lineRule="auto"/>
      <w:jc w:val="center"/>
      <w:outlineLvl w:val="0"/>
    </w:pPr>
    <w:rPr>
      <w:rFonts w:ascii="Myriad Pro" w:hAnsi="Myriad Pro"/>
      <w:b/>
      <w:color w:val="5B9BD5" w:themeColor="accent1"/>
      <w:sz w:val="32"/>
      <w:lang w:val="en-US"/>
    </w:rPr>
  </w:style>
  <w:style w:type="paragraph" w:styleId="Titre2">
    <w:name w:val="heading 2"/>
    <w:aliases w:val="Titre 2 PhD"/>
    <w:basedOn w:val="Normal"/>
    <w:next w:val="Normal"/>
    <w:link w:val="Titre2Car"/>
    <w:uiPriority w:val="9"/>
    <w:unhideWhenUsed/>
    <w:qFormat/>
    <w:rsid w:val="00F33345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4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33345"/>
    <w:pPr>
      <w:keepNext/>
      <w:keepLines/>
      <w:spacing w:before="40" w:after="0"/>
      <w:outlineLvl w:val="2"/>
    </w:pPr>
    <w:rPr>
      <w:rFonts w:eastAsiaTheme="majorEastAsia" w:cstheme="majorBidi"/>
      <w:b/>
      <w:color w:val="1F4D78" w:themeColor="accent1" w:themeShade="7F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F33345"/>
    <w:pPr>
      <w:keepNext/>
      <w:keepLines/>
      <w:spacing w:before="40" w:after="0"/>
      <w:outlineLvl w:val="4"/>
    </w:pPr>
    <w:rPr>
      <w:rFonts w:eastAsiaTheme="majorEastAsia" w:cstheme="majorBidi"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2 PhD Car"/>
    <w:basedOn w:val="Policepardfaut"/>
    <w:link w:val="Titre2"/>
    <w:uiPriority w:val="9"/>
    <w:rsid w:val="00F33345"/>
    <w:rPr>
      <w:rFonts w:eastAsiaTheme="majorEastAsia" w:cstheme="majorBidi"/>
      <w:b/>
      <w:color w:val="000000" w:themeColor="text1"/>
      <w:sz w:val="24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33345"/>
    <w:rPr>
      <w:rFonts w:eastAsiaTheme="majorEastAsia" w:cstheme="majorBidi"/>
      <w:b/>
      <w:color w:val="1F4D78" w:themeColor="accent1" w:themeShade="7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rsid w:val="00F33345"/>
    <w:rPr>
      <w:rFonts w:eastAsiaTheme="majorEastAsia" w:cstheme="majorBidi"/>
      <w:color w:val="2E74B5" w:themeColor="accent1" w:themeShade="BF"/>
    </w:rPr>
  </w:style>
  <w:style w:type="character" w:customStyle="1" w:styleId="Titre1Car">
    <w:name w:val="Titre 1 Car"/>
    <w:basedOn w:val="Policepardfaut"/>
    <w:link w:val="Titre1"/>
    <w:uiPriority w:val="9"/>
    <w:rsid w:val="00097442"/>
    <w:rPr>
      <w:rFonts w:ascii="Myriad Pro" w:hAnsi="Myriad Pro"/>
      <w:b/>
      <w:color w:val="5B9BD5" w:themeColor="accent1"/>
      <w:sz w:val="32"/>
      <w:lang w:val="en-US"/>
    </w:rPr>
  </w:style>
  <w:style w:type="paragraph" w:styleId="Sansinterligne">
    <w:name w:val="No Spacing"/>
    <w:uiPriority w:val="1"/>
    <w:qFormat/>
    <w:rsid w:val="00097442"/>
    <w:pPr>
      <w:spacing w:after="0" w:line="240" w:lineRule="auto"/>
    </w:pPr>
  </w:style>
  <w:style w:type="paragraph" w:customStyle="1" w:styleId="paragraph">
    <w:name w:val="paragraph"/>
    <w:basedOn w:val="Normal"/>
    <w:rsid w:val="00775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normaltextrun">
    <w:name w:val="normaltextrun"/>
    <w:basedOn w:val="Policepardfaut"/>
    <w:rsid w:val="00775C47"/>
  </w:style>
  <w:style w:type="paragraph" w:styleId="Textedebulles">
    <w:name w:val="Balloon Text"/>
    <w:basedOn w:val="Normal"/>
    <w:link w:val="TextedebullesCar"/>
    <w:uiPriority w:val="99"/>
    <w:semiHidden/>
    <w:unhideWhenUsed/>
    <w:rsid w:val="00775C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75C47"/>
    <w:rPr>
      <w:rFonts w:ascii="Segoe UI" w:hAnsi="Segoe UI" w:cs="Segoe UI"/>
      <w:sz w:val="18"/>
      <w:szCs w:val="18"/>
    </w:rPr>
  </w:style>
  <w:style w:type="paragraph" w:customStyle="1" w:styleId="a">
    <w:name w:val="作者信息"/>
    <w:basedOn w:val="Normal"/>
    <w:qFormat/>
    <w:rsid w:val="00C673EB"/>
    <w:pPr>
      <w:adjustRightInd w:val="0"/>
      <w:snapToGrid w:val="0"/>
      <w:spacing w:after="240" w:line="288" w:lineRule="auto"/>
      <w:jc w:val="both"/>
    </w:pPr>
    <w:rPr>
      <w:rFonts w:ascii="Times New Roman" w:eastAsia="Times New Roman" w:hAnsi="Times New Roman" w:cs="Times New Roman"/>
      <w:kern w:val="2"/>
      <w:sz w:val="21"/>
      <w:szCs w:val="21"/>
      <w:lang w:val="en-US" w:eastAsia="zh-CN"/>
    </w:rPr>
  </w:style>
  <w:style w:type="paragraph" w:customStyle="1" w:styleId="a0">
    <w:name w:val="机构信息"/>
    <w:basedOn w:val="Normal"/>
    <w:link w:val="a1"/>
    <w:qFormat/>
    <w:rsid w:val="00C673EB"/>
    <w:pPr>
      <w:spacing w:after="0" w:line="288" w:lineRule="auto"/>
      <w:jc w:val="both"/>
    </w:pPr>
    <w:rPr>
      <w:rFonts w:ascii="Times New Roman" w:eastAsia="Times New Roman" w:hAnsi="Times New Roman" w:cs="Times New Roman"/>
      <w:i/>
      <w:kern w:val="2"/>
      <w:sz w:val="21"/>
      <w:szCs w:val="21"/>
      <w:lang w:val="en-US" w:eastAsia="zh-CN"/>
    </w:rPr>
  </w:style>
  <w:style w:type="character" w:customStyle="1" w:styleId="a1">
    <w:name w:val="机构信息 字符"/>
    <w:link w:val="a0"/>
    <w:qFormat/>
    <w:rsid w:val="00C673EB"/>
    <w:rPr>
      <w:rFonts w:ascii="Times New Roman" w:eastAsia="Times New Roman" w:hAnsi="Times New Roman" w:cs="Times New Roman"/>
      <w:i/>
      <w:kern w:val="2"/>
      <w:sz w:val="21"/>
      <w:szCs w:val="21"/>
      <w:lang w:val="en-US" w:eastAsia="zh-CN"/>
    </w:rPr>
  </w:style>
  <w:style w:type="paragraph" w:customStyle="1" w:styleId="a2">
    <w:name w:val="通讯作者"/>
    <w:basedOn w:val="Normal"/>
    <w:qFormat/>
    <w:rsid w:val="00C673EB"/>
    <w:pPr>
      <w:adjustRightInd w:val="0"/>
      <w:snapToGrid w:val="0"/>
      <w:spacing w:after="0" w:line="288" w:lineRule="auto"/>
      <w:jc w:val="both"/>
    </w:pPr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styleId="En-tte">
    <w:name w:val="header"/>
    <w:basedOn w:val="Normal"/>
    <w:link w:val="En-tteCar"/>
    <w:uiPriority w:val="99"/>
    <w:unhideWhenUsed/>
    <w:rsid w:val="00E77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70A2"/>
  </w:style>
  <w:style w:type="paragraph" w:styleId="Pieddepage">
    <w:name w:val="footer"/>
    <w:basedOn w:val="Normal"/>
    <w:link w:val="PieddepageCar"/>
    <w:uiPriority w:val="99"/>
    <w:unhideWhenUsed/>
    <w:rsid w:val="00E770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70A2"/>
  </w:style>
  <w:style w:type="paragraph" w:styleId="Commentaire">
    <w:name w:val="annotation text"/>
    <w:basedOn w:val="Normal"/>
    <w:link w:val="CommentaireCar"/>
    <w:uiPriority w:val="99"/>
    <w:semiHidden/>
    <w:unhideWhenUsed/>
    <w:rsid w:val="00C1299A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1299A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C1299A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6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1129</Words>
  <Characters>6210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Evolène Desligniere</dc:creator>
  <cp:keywords/>
  <dc:description/>
  <cp:lastModifiedBy>Evolène Desligniere</cp:lastModifiedBy>
  <cp:revision>5</cp:revision>
  <dcterms:created xsi:type="dcterms:W3CDTF">2022-09-15T09:01:00Z</dcterms:created>
  <dcterms:modified xsi:type="dcterms:W3CDTF">2022-10-11T20:53:00Z</dcterms:modified>
</cp:coreProperties>
</file>