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719C48" w14:textId="5B0BF1DD" w:rsidR="001702C5" w:rsidRDefault="001702C5" w:rsidP="00CA5E95">
      <w:pPr>
        <w:spacing w:line="288" w:lineRule="auto"/>
        <w:rPr>
          <w:rFonts w:ascii="Times New Roman" w:eastAsia="宋体" w:hAnsi="Times New Roman" w:cs="Times New Roman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Cs w:val="21"/>
        </w:rPr>
        <w:drawing>
          <wp:inline distT="0" distB="0" distL="0" distR="0" wp14:anchorId="4A6F7675" wp14:editId="404E7B0E">
            <wp:extent cx="5438633" cy="284405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 figuer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746" cy="2859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B49E3" w14:textId="75E80351" w:rsidR="00CA5E95" w:rsidRPr="00FA42EE" w:rsidRDefault="00910B56" w:rsidP="00CA5E95">
      <w:pPr>
        <w:spacing w:line="288" w:lineRule="auto"/>
        <w:rPr>
          <w:rFonts w:ascii="Times New Roman" w:eastAsia="宋体" w:hAnsi="Times New Roman" w:cs="Times New Roman"/>
          <w:color w:val="231F20"/>
          <w:szCs w:val="21"/>
        </w:rPr>
      </w:pPr>
      <w:r w:rsidRPr="00910B56">
        <w:rPr>
          <w:rFonts w:ascii="Times New Roman" w:eastAsia="宋体" w:hAnsi="Times New Roman" w:cs="Times New Roman"/>
          <w:b/>
          <w:bCs/>
          <w:color w:val="000000"/>
          <w:szCs w:val="21"/>
        </w:rPr>
        <w:t>Supplementary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</w:t>
      </w:r>
      <w:r w:rsidR="00CA5E95" w:rsidRPr="00FA42EE">
        <w:rPr>
          <w:rFonts w:ascii="Times New Roman" w:eastAsia="宋体" w:hAnsi="Times New Roman" w:cs="Times New Roman"/>
          <w:b/>
          <w:bCs/>
          <w:color w:val="000000"/>
          <w:szCs w:val="21"/>
        </w:rPr>
        <w:t>Fig</w:t>
      </w:r>
      <w:r w:rsidR="001702C5"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.</w:t>
      </w:r>
      <w:r w:rsidR="00CA5E95" w:rsidRPr="00FA42EE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1</w:t>
      </w:r>
      <w:r w:rsidR="00CA5E95" w:rsidRPr="00FA42EE">
        <w:rPr>
          <w:rFonts w:ascii="Times New Roman" w:eastAsia="宋体" w:hAnsi="Times New Roman" w:cs="Times New Roman" w:hint="eastAsia"/>
          <w:b/>
          <w:bCs/>
          <w:color w:val="231F20"/>
          <w:szCs w:val="21"/>
        </w:rPr>
        <w:t>.</w:t>
      </w:r>
      <w:r w:rsidR="001702C5">
        <w:rPr>
          <w:rFonts w:ascii="Times New Roman" w:eastAsia="宋体" w:hAnsi="Times New Roman" w:cs="Times New Roman"/>
          <w:b/>
          <w:bCs/>
          <w:color w:val="231F20"/>
          <w:szCs w:val="21"/>
        </w:rPr>
        <w:t xml:space="preserve"> </w:t>
      </w:r>
      <w:r w:rsidR="00CA5E95" w:rsidRPr="00FA42EE">
        <w:rPr>
          <w:rFonts w:ascii="Times New Roman" w:eastAsia="宋体" w:hAnsi="Times New Roman" w:cs="Times New Roman"/>
          <w:b/>
          <w:bCs/>
          <w:color w:val="231F20"/>
          <w:szCs w:val="21"/>
        </w:rPr>
        <w:t xml:space="preserve">Preparation process of supernatant. </w:t>
      </w:r>
      <w:r w:rsidR="00CA5E95" w:rsidRPr="00FA42EE">
        <w:rPr>
          <w:rFonts w:ascii="Times New Roman" w:eastAsia="宋体" w:hAnsi="Times New Roman" w:cs="Times New Roman"/>
          <w:color w:val="231F20"/>
          <w:szCs w:val="21"/>
        </w:rPr>
        <w:t>(A) Platelets (2×108/mL) were exposed to colon cancer cells (1×106/mL) or thrombin (0.5U/ml) for 15 min after intervention with Danshensu or solvent (basal medium) for 30 min at 37°C. The supernatant was filtered using a sterile 0.22-micron filter. Before incubation of the cancer cells, 10% FBS was added to the supernatant.</w:t>
      </w:r>
    </w:p>
    <w:p w14:paraId="2C5C0B8F" w14:textId="77777777" w:rsidR="00CA5E95" w:rsidRPr="00CA5E95" w:rsidRDefault="00CA5E95" w:rsidP="00CA5E95">
      <w:pPr>
        <w:spacing w:line="288" w:lineRule="auto"/>
        <w:rPr>
          <w:rFonts w:ascii="Times New Roman" w:eastAsia="宋体" w:hAnsi="Times New Roman" w:cs="Times New Roman"/>
          <w:b/>
          <w:bCs/>
          <w:color w:val="000000"/>
          <w:szCs w:val="21"/>
        </w:rPr>
      </w:pPr>
    </w:p>
    <w:p w14:paraId="08397FD4" w14:textId="77777777" w:rsidR="00CA5E95" w:rsidRDefault="00CA5E95" w:rsidP="00CA5E95">
      <w:pPr>
        <w:spacing w:line="288" w:lineRule="auto"/>
        <w:rPr>
          <w:rFonts w:ascii="Times New Roman" w:eastAsia="宋体" w:hAnsi="Times New Roman" w:cs="Times New Roman"/>
          <w:b/>
          <w:bCs/>
          <w:color w:val="000000"/>
          <w:szCs w:val="21"/>
        </w:rPr>
      </w:pPr>
    </w:p>
    <w:p w14:paraId="3E499393" w14:textId="0F895352" w:rsidR="00CA5E95" w:rsidRDefault="001702C5" w:rsidP="00CA5E95">
      <w:pPr>
        <w:spacing w:line="288" w:lineRule="auto"/>
        <w:rPr>
          <w:rFonts w:ascii="Times New Roman" w:eastAsia="宋体" w:hAnsi="Times New Roman" w:cs="Times New Roman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Cs w:val="21"/>
        </w:rPr>
        <w:drawing>
          <wp:inline distT="0" distB="0" distL="0" distR="0" wp14:anchorId="224E22D8" wp14:editId="4634260B">
            <wp:extent cx="5370394" cy="3568932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 Figure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188" cy="357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4E95B" w14:textId="2769B56B" w:rsidR="008F15F5" w:rsidRPr="00CA5E95" w:rsidRDefault="00910B56" w:rsidP="00910B56">
      <w:pPr>
        <w:spacing w:line="288" w:lineRule="auto"/>
      </w:pPr>
      <w:r w:rsidRPr="00910B56">
        <w:rPr>
          <w:rFonts w:ascii="Times New Roman" w:eastAsia="宋体" w:hAnsi="Times New Roman" w:cs="Times New Roman"/>
          <w:b/>
          <w:bCs/>
          <w:color w:val="000000"/>
          <w:szCs w:val="21"/>
        </w:rPr>
        <w:t>Supplementary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</w:t>
      </w:r>
      <w:r w:rsidR="00CA5E95" w:rsidRPr="00FA42EE">
        <w:rPr>
          <w:rFonts w:ascii="Times New Roman" w:eastAsia="宋体" w:hAnsi="Times New Roman" w:cs="Times New Roman"/>
          <w:b/>
          <w:bCs/>
          <w:color w:val="000000"/>
          <w:szCs w:val="21"/>
        </w:rPr>
        <w:t>Fig</w:t>
      </w:r>
      <w:r w:rsidR="001702C5">
        <w:rPr>
          <w:rFonts w:ascii="Times New Roman" w:eastAsia="宋体" w:hAnsi="Times New Roman" w:cs="Times New Roman"/>
          <w:b/>
          <w:bCs/>
          <w:color w:val="000000"/>
          <w:szCs w:val="21"/>
        </w:rPr>
        <w:t>.</w:t>
      </w:r>
      <w:r w:rsidR="00CA5E95" w:rsidRPr="00FA42EE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</w:t>
      </w:r>
      <w:r w:rsidR="00CA5E95">
        <w:rPr>
          <w:rFonts w:ascii="Times New Roman" w:eastAsia="宋体" w:hAnsi="Times New Roman" w:cs="Times New Roman"/>
          <w:b/>
          <w:bCs/>
          <w:color w:val="000000"/>
          <w:szCs w:val="21"/>
        </w:rPr>
        <w:t>2</w:t>
      </w:r>
      <w:r w:rsidR="00CA5E95" w:rsidRPr="00FA42EE">
        <w:rPr>
          <w:rFonts w:ascii="Times New Roman" w:eastAsia="宋体" w:hAnsi="Times New Roman" w:cs="Times New Roman" w:hint="eastAsia"/>
          <w:b/>
          <w:bCs/>
          <w:color w:val="231F20"/>
          <w:szCs w:val="21"/>
        </w:rPr>
        <w:t>.</w:t>
      </w:r>
      <w:r w:rsidR="00CA5E95" w:rsidRPr="001F1BFA">
        <w:t xml:space="preserve"> </w:t>
      </w:r>
      <w:r w:rsidR="00CA5E95" w:rsidRPr="00C954FD">
        <w:rPr>
          <w:rFonts w:ascii="Times New Roman" w:eastAsia="宋体" w:hAnsi="Times New Roman" w:cs="Times New Roman"/>
          <w:b/>
          <w:bCs/>
          <w:color w:val="231F20"/>
          <w:szCs w:val="21"/>
        </w:rPr>
        <w:t>Danshensu affects the proliferation of SW620 cancer cells</w:t>
      </w:r>
      <w:r w:rsidR="00CA5E95">
        <w:rPr>
          <w:rFonts w:ascii="Times New Roman" w:eastAsia="宋体" w:hAnsi="Times New Roman" w:cs="Times New Roman"/>
          <w:b/>
          <w:bCs/>
          <w:color w:val="231F20"/>
          <w:szCs w:val="21"/>
        </w:rPr>
        <w:t>.</w:t>
      </w:r>
      <w:r w:rsidR="00CA5E95" w:rsidRPr="00C954FD">
        <w:t xml:space="preserve"> </w:t>
      </w:r>
      <w:r w:rsidR="00CA5E95" w:rsidRPr="00C954FD">
        <w:rPr>
          <w:rFonts w:ascii="Times New Roman" w:eastAsia="宋体" w:hAnsi="Times New Roman" w:cs="Times New Roman"/>
          <w:color w:val="231F20"/>
          <w:szCs w:val="21"/>
        </w:rPr>
        <w:t xml:space="preserve">MTT assay showed the effect of Danshensu on the proliferation of SW620 cells (n = </w:t>
      </w:r>
      <w:r w:rsidR="00CA5E95">
        <w:rPr>
          <w:rFonts w:ascii="Times New Roman" w:eastAsia="宋体" w:hAnsi="Times New Roman" w:cs="Times New Roman"/>
          <w:color w:val="231F20"/>
          <w:szCs w:val="21"/>
        </w:rPr>
        <w:t>6</w:t>
      </w:r>
      <w:r w:rsidR="00CA5E95" w:rsidRPr="00C954FD">
        <w:rPr>
          <w:rFonts w:ascii="Times New Roman" w:eastAsia="宋体" w:hAnsi="Times New Roman" w:cs="Times New Roman"/>
          <w:color w:val="231F20"/>
          <w:szCs w:val="21"/>
        </w:rPr>
        <w:t>).</w:t>
      </w:r>
      <w:bookmarkStart w:id="0" w:name="_GoBack"/>
      <w:bookmarkEnd w:id="0"/>
    </w:p>
    <w:sectPr w:rsidR="008F15F5" w:rsidRPr="00CA5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564DA8" w14:textId="77777777" w:rsidR="00B26EDE" w:rsidRDefault="00B26EDE" w:rsidP="00CA5E95">
      <w:r>
        <w:separator/>
      </w:r>
    </w:p>
  </w:endnote>
  <w:endnote w:type="continuationSeparator" w:id="0">
    <w:p w14:paraId="228F1EE9" w14:textId="77777777" w:rsidR="00B26EDE" w:rsidRDefault="00B26EDE" w:rsidP="00CA5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05F3C3" w14:textId="77777777" w:rsidR="00B26EDE" w:rsidRDefault="00B26EDE" w:rsidP="00CA5E95">
      <w:r>
        <w:separator/>
      </w:r>
    </w:p>
  </w:footnote>
  <w:footnote w:type="continuationSeparator" w:id="0">
    <w:p w14:paraId="2FF875E4" w14:textId="77777777" w:rsidR="00B26EDE" w:rsidRDefault="00B26EDE" w:rsidP="00CA5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134"/>
    <w:rsid w:val="001702C5"/>
    <w:rsid w:val="008F15F5"/>
    <w:rsid w:val="00910B56"/>
    <w:rsid w:val="00B26EDE"/>
    <w:rsid w:val="00BE7E73"/>
    <w:rsid w:val="00C80134"/>
    <w:rsid w:val="00CA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FED3E9"/>
  <w15:chartTrackingRefBased/>
  <w15:docId w15:val="{F005AFD7-BE68-4DBC-801B-FFDC009F6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E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5E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5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5E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 可沁</dc:creator>
  <cp:keywords/>
  <dc:description/>
  <cp:lastModifiedBy>cheryl</cp:lastModifiedBy>
  <cp:revision>4</cp:revision>
  <dcterms:created xsi:type="dcterms:W3CDTF">2022-04-30T02:20:00Z</dcterms:created>
  <dcterms:modified xsi:type="dcterms:W3CDTF">2022-05-17T07:09:00Z</dcterms:modified>
</cp:coreProperties>
</file>