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8F052D" w14:textId="55D3961A" w:rsidR="006406EB" w:rsidRPr="007B0328" w:rsidRDefault="00C05EFA" w:rsidP="007B0328">
      <w:pPr>
        <w:jc w:val="center"/>
      </w:pPr>
      <w:r>
        <w:rPr>
          <w:rFonts w:ascii="Times New Roman" w:eastAsia="Times New Roman" w:hAnsi="Times New Roman" w:cs="Times New Roman"/>
          <w:noProof/>
          <w:kern w:val="0"/>
          <w:sz w:val="20"/>
          <w:szCs w:val="20"/>
        </w:rPr>
        <w:drawing>
          <wp:inline distT="0" distB="0" distL="0" distR="0" wp14:anchorId="31324155" wp14:editId="2D4D610D">
            <wp:extent cx="5270500" cy="307467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-Fig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07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406EB" w:rsidRPr="006406EB">
        <w:rPr>
          <w:rFonts w:ascii="Times New Roman" w:eastAsia="Times New Roman" w:hAnsi="Times New Roman" w:cs="Times New Roman"/>
          <w:kern w:val="0"/>
          <w:sz w:val="20"/>
          <w:szCs w:val="20"/>
        </w:rPr>
        <w:t xml:space="preserve"> </w:t>
      </w:r>
      <w:bookmarkStart w:id="0" w:name="_GoBack"/>
      <w:bookmarkEnd w:id="0"/>
    </w:p>
    <w:p w14:paraId="16A47BD1" w14:textId="20B1512F" w:rsidR="00FC3C12" w:rsidRPr="00FC3C12" w:rsidRDefault="00FC3C12" w:rsidP="005F2F98">
      <w:pPr>
        <w:spacing w:line="288" w:lineRule="auto"/>
        <w:jc w:val="center"/>
        <w:rPr>
          <w:rFonts w:ascii="Times New Roman" w:eastAsia="Times New Roman" w:hAnsi="Times New Roman" w:cs="Times New Roman"/>
          <w:bCs/>
          <w:kern w:val="0"/>
          <w:sz w:val="20"/>
          <w:szCs w:val="20"/>
        </w:rPr>
      </w:pP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Supplement Fig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1.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Consensus clustering to DEGs associated with </w:t>
      </w:r>
      <w:proofErr w:type="spellStart"/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pyroptosis</w:t>
      </w:r>
      <w:proofErr w:type="spellEnd"/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FC3C12">
        <w:rPr>
          <w:rFonts w:ascii="Times New Roman" w:eastAsia="Times New Roman" w:hAnsi="Times New Roman" w:cs="Times New Roman"/>
          <w:bCs/>
          <w:kern w:val="0"/>
          <w:sz w:val="20"/>
          <w:szCs w:val="20"/>
        </w:rPr>
        <w:t xml:space="preserve"> (a) 370 HCC patients were classified into two subgroups based on k=2,. (b-c) Consensus clustering model with CDF by k from 2 to 9. (d) The cluster 1 prognosis was better than that of cluster 2. (e) The clinicopathological parameters of the two patients' clusters were shown in heatmap.</w:t>
      </w:r>
    </w:p>
    <w:p w14:paraId="3BC66FB5" w14:textId="77777777" w:rsidR="00A67A0F" w:rsidRDefault="00A67A0F" w:rsidP="006406EB">
      <w:pPr>
        <w:spacing w:line="288" w:lineRule="auto"/>
        <w:rPr>
          <w:rFonts w:ascii="Times New Roman" w:eastAsia="Times New Roman" w:hAnsi="Times New Roman" w:cs="Times New Roman"/>
          <w:kern w:val="0"/>
          <w:sz w:val="20"/>
          <w:szCs w:val="20"/>
        </w:rPr>
      </w:pPr>
    </w:p>
    <w:p w14:paraId="46B83CDC" w14:textId="5D1490AF" w:rsidR="00A67A0F" w:rsidRDefault="00C05EFA" w:rsidP="004125BF">
      <w:pPr>
        <w:spacing w:line="288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kern w:val="0"/>
          <w:sz w:val="20"/>
          <w:szCs w:val="20"/>
        </w:rPr>
        <w:drawing>
          <wp:inline distT="0" distB="0" distL="0" distR="0" wp14:anchorId="78FF7D69" wp14:editId="7AA97AC3">
            <wp:extent cx="5270500" cy="2246971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-Fig2-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7367"/>
                    <a:stretch/>
                  </pic:blipFill>
                  <pic:spPr bwMode="auto">
                    <a:xfrm>
                      <a:off x="0" y="0"/>
                      <a:ext cx="5270500" cy="2246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11CCAC" w14:textId="669C0645" w:rsidR="002B2A1C" w:rsidRPr="002B2A1C" w:rsidRDefault="00A67A0F" w:rsidP="002B2A1C">
      <w:pPr>
        <w:spacing w:line="36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Supplement </w:t>
      </w:r>
      <w:r w:rsidR="00A05CD4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Fig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="00A05CD4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2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="002B2A1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Validation in TCGA test cohort.</w:t>
      </w:r>
      <w:r w:rsidR="002B2A1C" w:rsidRPr="002B2A1C">
        <w:rPr>
          <w:rFonts w:ascii="Times New Roman" w:eastAsia="Times New Roman" w:hAnsi="Times New Roman" w:cs="Times New Roman"/>
          <w:bCs/>
          <w:kern w:val="0"/>
          <w:sz w:val="20"/>
          <w:szCs w:val="20"/>
        </w:rPr>
        <w:t xml:space="preserve"> (a-c) Patients distribution in the test cohort. (d) The KM analysis of the test cohort’s OS in the two risk groups. (e) Time-dependent ROC scores analysis.</w:t>
      </w:r>
    </w:p>
    <w:p w14:paraId="404BAFFD" w14:textId="12891922" w:rsidR="00A67A0F" w:rsidRDefault="00C05EFA" w:rsidP="00A67A0F">
      <w:pPr>
        <w:spacing w:line="36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noProof/>
          <w:kern w:val="0"/>
          <w:sz w:val="20"/>
          <w:szCs w:val="20"/>
        </w:rPr>
        <w:lastRenderedPageBreak/>
        <w:drawing>
          <wp:inline distT="0" distB="0" distL="0" distR="0" wp14:anchorId="3095F176" wp14:editId="29A93B40">
            <wp:extent cx="4393581" cy="2073780"/>
            <wp:effectExtent l="0" t="0" r="63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-Fig2-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0" t="45489" r="10798" b="15154"/>
                    <a:stretch/>
                  </pic:blipFill>
                  <pic:spPr bwMode="auto">
                    <a:xfrm>
                      <a:off x="0" y="0"/>
                      <a:ext cx="4394695" cy="20743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B78180" w14:textId="0C1EDF3E" w:rsidR="00313788" w:rsidRPr="00313788" w:rsidRDefault="00A67A0F" w:rsidP="00313788">
      <w:pPr>
        <w:spacing w:line="36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Supplement</w:t>
      </w:r>
      <w:r w:rsidR="009C157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Fig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3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="00313788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Validation in the ICGC cohort. </w:t>
      </w:r>
      <w:r w:rsidR="00313788" w:rsidRPr="00313788">
        <w:rPr>
          <w:rFonts w:ascii="Times New Roman" w:eastAsia="Times New Roman" w:hAnsi="Times New Roman" w:cs="Times New Roman"/>
          <w:bCs/>
          <w:kern w:val="0"/>
          <w:sz w:val="20"/>
          <w:szCs w:val="20"/>
        </w:rPr>
        <w:t>(a-c) Patients distribution in the ICGC cohort. (d) The KM analysis of the OS in the two risk groups in the validation cohort. (e) Time-dependent ROC scores analysis.</w:t>
      </w:r>
    </w:p>
    <w:p w14:paraId="460062A7" w14:textId="77777777" w:rsidR="00A67A0F" w:rsidRPr="006406EB" w:rsidRDefault="00A67A0F" w:rsidP="006406EB">
      <w:pPr>
        <w:spacing w:line="288" w:lineRule="auto"/>
        <w:rPr>
          <w:rFonts w:ascii="Times New Roman" w:eastAsia="Times New Roman" w:hAnsi="Times New Roman" w:cs="Times New Roman"/>
          <w:kern w:val="0"/>
          <w:sz w:val="20"/>
          <w:szCs w:val="20"/>
        </w:rPr>
      </w:pPr>
    </w:p>
    <w:p w14:paraId="17D5841A" w14:textId="793AE5FA" w:rsidR="006406EB" w:rsidRDefault="00C05EFA" w:rsidP="00617785">
      <w:pPr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kern w:val="0"/>
          <w:sz w:val="20"/>
          <w:szCs w:val="20"/>
        </w:rPr>
        <w:drawing>
          <wp:inline distT="0" distB="0" distL="0" distR="0" wp14:anchorId="6395A134" wp14:editId="77F19D95">
            <wp:extent cx="5270368" cy="2798956"/>
            <wp:effectExtent l="0" t="0" r="63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-Fig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385" b="22339"/>
                    <a:stretch/>
                  </pic:blipFill>
                  <pic:spPr bwMode="auto">
                    <a:xfrm>
                      <a:off x="0" y="0"/>
                      <a:ext cx="5270500" cy="27990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6A8F3" w14:textId="67F82198" w:rsidR="00F244D5" w:rsidRPr="00F244D5" w:rsidRDefault="00617785" w:rsidP="002E53E8">
      <w:pPr>
        <w:spacing w:line="360" w:lineRule="auto"/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Supplement </w:t>
      </w:r>
      <w:r w:rsidR="009C157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Fig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="009C157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4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="002E53E8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="008E3E0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The DEGs functional analysis of the two-risk groups in TGCA cohort. </w:t>
      </w:r>
      <w:r w:rsidR="008E3E0C" w:rsidRPr="008E3E0C">
        <w:rPr>
          <w:rFonts w:ascii="Times New Roman" w:eastAsia="Times New Roman" w:hAnsi="Times New Roman" w:cs="Times New Roman"/>
          <w:bCs/>
          <w:kern w:val="0"/>
          <w:sz w:val="20"/>
          <w:szCs w:val="20"/>
        </w:rPr>
        <w:t>(a) GSEA of the significantly enriched pathway in the TCGA cohort. (b) The association of immune cells and risk model.</w:t>
      </w:r>
    </w:p>
    <w:p w14:paraId="4C5C4A2B" w14:textId="77777777" w:rsidR="00F244D5" w:rsidRDefault="00F244D5">
      <w:pPr>
        <w:rPr>
          <w:rFonts w:ascii="Times New Roman" w:eastAsia="Times New Roman" w:hAnsi="Times New Roman" w:cs="Times New Roman"/>
          <w:kern w:val="0"/>
          <w:sz w:val="20"/>
          <w:szCs w:val="20"/>
        </w:rPr>
      </w:pPr>
    </w:p>
    <w:p w14:paraId="0B962FF0" w14:textId="4788888B" w:rsidR="00617785" w:rsidRDefault="00C05EFA" w:rsidP="00617785">
      <w:pPr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kern w:val="0"/>
          <w:sz w:val="20"/>
          <w:szCs w:val="20"/>
        </w:rPr>
        <w:lastRenderedPageBreak/>
        <w:drawing>
          <wp:inline distT="0" distB="0" distL="0" distR="0" wp14:anchorId="5BEB2612" wp14:editId="7A224DAF">
            <wp:extent cx="2463800" cy="2803092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-Fig5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131" t="13198" r="27102" b="18397"/>
                    <a:stretch/>
                  </pic:blipFill>
                  <pic:spPr bwMode="auto">
                    <a:xfrm>
                      <a:off x="0" y="0"/>
                      <a:ext cx="2464861" cy="2804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C02EA" w14:textId="68B93EC8" w:rsidR="00617785" w:rsidRPr="00602812" w:rsidRDefault="00617785" w:rsidP="00751546">
      <w:pPr>
        <w:spacing w:line="360" w:lineRule="auto"/>
        <w:outlineLvl w:val="0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</w:pP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Supplement</w:t>
      </w:r>
      <w:r w:rsidR="009C157C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Fig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5</w:t>
      </w:r>
      <w:r w:rsidR="00602812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.</w:t>
      </w:r>
      <w:r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 </w:t>
      </w:r>
      <w:r w:rsidR="002B7E3A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 xml:space="preserve">Expression of the prognostic genes. Immunohistochemistry of the 3 </w:t>
      </w:r>
      <w:proofErr w:type="spellStart"/>
      <w:r w:rsidR="002B7E3A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pyroptosis</w:t>
      </w:r>
      <w:proofErr w:type="spellEnd"/>
      <w:r w:rsidR="002B7E3A" w:rsidRPr="00602812">
        <w:rPr>
          <w:rFonts w:ascii="Times New Roman" w:eastAsia="Times New Roman" w:hAnsi="Times New Roman" w:cs="Times New Roman"/>
          <w:b/>
          <w:bCs/>
          <w:kern w:val="0"/>
          <w:sz w:val="20"/>
          <w:szCs w:val="20"/>
        </w:rPr>
        <w:t>-related prognosis genes in the tumor or normal groups from the HPA database.</w:t>
      </w:r>
    </w:p>
    <w:p w14:paraId="50B8A598" w14:textId="77777777" w:rsidR="00617785" w:rsidRPr="00751546" w:rsidRDefault="00617785" w:rsidP="00617785">
      <w:pPr>
        <w:jc w:val="center"/>
        <w:rPr>
          <w:rFonts w:ascii="Times New Roman" w:eastAsia="Times New Roman" w:hAnsi="Times New Roman" w:cs="Times New Roman"/>
          <w:kern w:val="0"/>
          <w:sz w:val="20"/>
          <w:szCs w:val="20"/>
        </w:rPr>
      </w:pPr>
    </w:p>
    <w:sectPr w:rsidR="00617785" w:rsidRPr="00751546" w:rsidSect="0033674D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42DE75" w14:textId="77777777" w:rsidR="005835C4" w:rsidRDefault="005835C4" w:rsidP="00FA6505">
      <w:r>
        <w:separator/>
      </w:r>
    </w:p>
  </w:endnote>
  <w:endnote w:type="continuationSeparator" w:id="0">
    <w:p w14:paraId="6ACB2D00" w14:textId="77777777" w:rsidR="005835C4" w:rsidRDefault="005835C4" w:rsidP="00FA6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BEC30" w14:textId="77777777" w:rsidR="005835C4" w:rsidRDefault="005835C4" w:rsidP="00FA6505">
      <w:r>
        <w:separator/>
      </w:r>
    </w:p>
  </w:footnote>
  <w:footnote w:type="continuationSeparator" w:id="0">
    <w:p w14:paraId="1E42A68C" w14:textId="77777777" w:rsidR="005835C4" w:rsidRDefault="005835C4" w:rsidP="00FA65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6EB"/>
    <w:rsid w:val="00006B5A"/>
    <w:rsid w:val="000213D0"/>
    <w:rsid w:val="00026A28"/>
    <w:rsid w:val="0002724F"/>
    <w:rsid w:val="00027EDC"/>
    <w:rsid w:val="00043FF1"/>
    <w:rsid w:val="00046728"/>
    <w:rsid w:val="00053CD5"/>
    <w:rsid w:val="00064685"/>
    <w:rsid w:val="00075DAF"/>
    <w:rsid w:val="00084DFC"/>
    <w:rsid w:val="000928B8"/>
    <w:rsid w:val="000A2ACD"/>
    <w:rsid w:val="000A72B6"/>
    <w:rsid w:val="000B1F41"/>
    <w:rsid w:val="000B2C35"/>
    <w:rsid w:val="000C7961"/>
    <w:rsid w:val="000D35A2"/>
    <w:rsid w:val="000E407F"/>
    <w:rsid w:val="000E53A3"/>
    <w:rsid w:val="001024E6"/>
    <w:rsid w:val="00103968"/>
    <w:rsid w:val="001043F5"/>
    <w:rsid w:val="00116038"/>
    <w:rsid w:val="00116EBC"/>
    <w:rsid w:val="001266E0"/>
    <w:rsid w:val="00127424"/>
    <w:rsid w:val="00132553"/>
    <w:rsid w:val="001332C7"/>
    <w:rsid w:val="0014057E"/>
    <w:rsid w:val="00142B0A"/>
    <w:rsid w:val="00160A2C"/>
    <w:rsid w:val="00163B7B"/>
    <w:rsid w:val="001747AD"/>
    <w:rsid w:val="00186089"/>
    <w:rsid w:val="001971EE"/>
    <w:rsid w:val="001976D0"/>
    <w:rsid w:val="001A1512"/>
    <w:rsid w:val="001A35B0"/>
    <w:rsid w:val="001A5055"/>
    <w:rsid w:val="001C4C45"/>
    <w:rsid w:val="001C646D"/>
    <w:rsid w:val="001C64F5"/>
    <w:rsid w:val="001E0DAF"/>
    <w:rsid w:val="001E7DEA"/>
    <w:rsid w:val="002050D6"/>
    <w:rsid w:val="00205D0C"/>
    <w:rsid w:val="00217A32"/>
    <w:rsid w:val="002247C5"/>
    <w:rsid w:val="00225DAD"/>
    <w:rsid w:val="002303F2"/>
    <w:rsid w:val="0024139C"/>
    <w:rsid w:val="00244355"/>
    <w:rsid w:val="00260A30"/>
    <w:rsid w:val="002655D1"/>
    <w:rsid w:val="00274578"/>
    <w:rsid w:val="002762DE"/>
    <w:rsid w:val="00283A38"/>
    <w:rsid w:val="00296B41"/>
    <w:rsid w:val="002B2A1C"/>
    <w:rsid w:val="002B7C70"/>
    <w:rsid w:val="002B7E3A"/>
    <w:rsid w:val="002C2CA1"/>
    <w:rsid w:val="002C6FBE"/>
    <w:rsid w:val="002D1F07"/>
    <w:rsid w:val="002E3B87"/>
    <w:rsid w:val="002E53E8"/>
    <w:rsid w:val="002E66EC"/>
    <w:rsid w:val="002F3E43"/>
    <w:rsid w:val="0030266C"/>
    <w:rsid w:val="0031021F"/>
    <w:rsid w:val="00313788"/>
    <w:rsid w:val="00313C06"/>
    <w:rsid w:val="003224E6"/>
    <w:rsid w:val="00322623"/>
    <w:rsid w:val="00325227"/>
    <w:rsid w:val="003312EC"/>
    <w:rsid w:val="0033473F"/>
    <w:rsid w:val="0033674D"/>
    <w:rsid w:val="00337494"/>
    <w:rsid w:val="00340B40"/>
    <w:rsid w:val="00355FD0"/>
    <w:rsid w:val="00386C5F"/>
    <w:rsid w:val="00392B7E"/>
    <w:rsid w:val="003A08C3"/>
    <w:rsid w:val="003A5940"/>
    <w:rsid w:val="003B1F7B"/>
    <w:rsid w:val="003B3869"/>
    <w:rsid w:val="003C01A0"/>
    <w:rsid w:val="003F4605"/>
    <w:rsid w:val="003F72DD"/>
    <w:rsid w:val="00400CAC"/>
    <w:rsid w:val="004125BF"/>
    <w:rsid w:val="0041525C"/>
    <w:rsid w:val="0041654E"/>
    <w:rsid w:val="00417858"/>
    <w:rsid w:val="004263B6"/>
    <w:rsid w:val="0044109F"/>
    <w:rsid w:val="00445572"/>
    <w:rsid w:val="00450DC6"/>
    <w:rsid w:val="0045417F"/>
    <w:rsid w:val="0046505D"/>
    <w:rsid w:val="00476535"/>
    <w:rsid w:val="00480B64"/>
    <w:rsid w:val="00486004"/>
    <w:rsid w:val="004C1454"/>
    <w:rsid w:val="004C4E3A"/>
    <w:rsid w:val="004D51C9"/>
    <w:rsid w:val="004E25BF"/>
    <w:rsid w:val="004E337F"/>
    <w:rsid w:val="004F379B"/>
    <w:rsid w:val="004F72F5"/>
    <w:rsid w:val="005058AE"/>
    <w:rsid w:val="00510234"/>
    <w:rsid w:val="00512F74"/>
    <w:rsid w:val="00532DBD"/>
    <w:rsid w:val="005349AB"/>
    <w:rsid w:val="00535F97"/>
    <w:rsid w:val="00537698"/>
    <w:rsid w:val="00553586"/>
    <w:rsid w:val="005552BA"/>
    <w:rsid w:val="00560060"/>
    <w:rsid w:val="00560FD7"/>
    <w:rsid w:val="005835C4"/>
    <w:rsid w:val="0058604C"/>
    <w:rsid w:val="005877EB"/>
    <w:rsid w:val="00592BD2"/>
    <w:rsid w:val="005B1E5E"/>
    <w:rsid w:val="005B3ACB"/>
    <w:rsid w:val="005B3FC5"/>
    <w:rsid w:val="005B5800"/>
    <w:rsid w:val="005B7B18"/>
    <w:rsid w:val="005C0459"/>
    <w:rsid w:val="005C43AA"/>
    <w:rsid w:val="005E4C96"/>
    <w:rsid w:val="005F1235"/>
    <w:rsid w:val="005F2F98"/>
    <w:rsid w:val="005F6B6F"/>
    <w:rsid w:val="00602812"/>
    <w:rsid w:val="00603D8C"/>
    <w:rsid w:val="006116BD"/>
    <w:rsid w:val="00617785"/>
    <w:rsid w:val="006263E9"/>
    <w:rsid w:val="00634FA9"/>
    <w:rsid w:val="006406EB"/>
    <w:rsid w:val="00673800"/>
    <w:rsid w:val="00675166"/>
    <w:rsid w:val="00675528"/>
    <w:rsid w:val="0068289E"/>
    <w:rsid w:val="00692F8A"/>
    <w:rsid w:val="006A01E6"/>
    <w:rsid w:val="006A0230"/>
    <w:rsid w:val="006A4E10"/>
    <w:rsid w:val="006B2D0F"/>
    <w:rsid w:val="006D1540"/>
    <w:rsid w:val="006D53D3"/>
    <w:rsid w:val="006F10C4"/>
    <w:rsid w:val="006F38AC"/>
    <w:rsid w:val="00703D67"/>
    <w:rsid w:val="00716B49"/>
    <w:rsid w:val="00725FAA"/>
    <w:rsid w:val="00726546"/>
    <w:rsid w:val="007322BD"/>
    <w:rsid w:val="0073504C"/>
    <w:rsid w:val="00737A63"/>
    <w:rsid w:val="00751546"/>
    <w:rsid w:val="007638F1"/>
    <w:rsid w:val="00765113"/>
    <w:rsid w:val="0076773D"/>
    <w:rsid w:val="007761C0"/>
    <w:rsid w:val="00790E8B"/>
    <w:rsid w:val="007A7FF5"/>
    <w:rsid w:val="007B0328"/>
    <w:rsid w:val="007B7766"/>
    <w:rsid w:val="007D66D1"/>
    <w:rsid w:val="00807F3C"/>
    <w:rsid w:val="008141CB"/>
    <w:rsid w:val="00837BDB"/>
    <w:rsid w:val="00844533"/>
    <w:rsid w:val="00850A6E"/>
    <w:rsid w:val="00862657"/>
    <w:rsid w:val="0086276F"/>
    <w:rsid w:val="00873D19"/>
    <w:rsid w:val="00880B7D"/>
    <w:rsid w:val="00882BFF"/>
    <w:rsid w:val="0088370C"/>
    <w:rsid w:val="00884612"/>
    <w:rsid w:val="00887EE6"/>
    <w:rsid w:val="0089413E"/>
    <w:rsid w:val="00895B17"/>
    <w:rsid w:val="008A0648"/>
    <w:rsid w:val="008D3281"/>
    <w:rsid w:val="008D47DE"/>
    <w:rsid w:val="008D4AB6"/>
    <w:rsid w:val="008D5358"/>
    <w:rsid w:val="008E0D88"/>
    <w:rsid w:val="008E3E0C"/>
    <w:rsid w:val="008F3518"/>
    <w:rsid w:val="008F55F8"/>
    <w:rsid w:val="008F62D6"/>
    <w:rsid w:val="008F6F58"/>
    <w:rsid w:val="00902E02"/>
    <w:rsid w:val="00907067"/>
    <w:rsid w:val="0091256B"/>
    <w:rsid w:val="00914B70"/>
    <w:rsid w:val="00923CEE"/>
    <w:rsid w:val="0092643C"/>
    <w:rsid w:val="00927E09"/>
    <w:rsid w:val="00935277"/>
    <w:rsid w:val="0095418F"/>
    <w:rsid w:val="0095554B"/>
    <w:rsid w:val="009720DF"/>
    <w:rsid w:val="00976433"/>
    <w:rsid w:val="0098461D"/>
    <w:rsid w:val="00987F7A"/>
    <w:rsid w:val="00995118"/>
    <w:rsid w:val="009A1CF4"/>
    <w:rsid w:val="009A6F79"/>
    <w:rsid w:val="009B3E56"/>
    <w:rsid w:val="009B4493"/>
    <w:rsid w:val="009B67F6"/>
    <w:rsid w:val="009C157C"/>
    <w:rsid w:val="009C2043"/>
    <w:rsid w:val="009D39B6"/>
    <w:rsid w:val="009D6FD5"/>
    <w:rsid w:val="009E6174"/>
    <w:rsid w:val="009E79C2"/>
    <w:rsid w:val="009F1F94"/>
    <w:rsid w:val="009F3407"/>
    <w:rsid w:val="009F4C60"/>
    <w:rsid w:val="00A01477"/>
    <w:rsid w:val="00A03D42"/>
    <w:rsid w:val="00A05CD4"/>
    <w:rsid w:val="00A10E04"/>
    <w:rsid w:val="00A1200B"/>
    <w:rsid w:val="00A144B0"/>
    <w:rsid w:val="00A2408F"/>
    <w:rsid w:val="00A3315F"/>
    <w:rsid w:val="00A40FCF"/>
    <w:rsid w:val="00A45365"/>
    <w:rsid w:val="00A50980"/>
    <w:rsid w:val="00A63B13"/>
    <w:rsid w:val="00A67A0F"/>
    <w:rsid w:val="00A85F93"/>
    <w:rsid w:val="00A91923"/>
    <w:rsid w:val="00A96A5D"/>
    <w:rsid w:val="00AA3553"/>
    <w:rsid w:val="00AB022C"/>
    <w:rsid w:val="00AB5298"/>
    <w:rsid w:val="00AB56AF"/>
    <w:rsid w:val="00AC22B5"/>
    <w:rsid w:val="00AE2B1F"/>
    <w:rsid w:val="00AE63EE"/>
    <w:rsid w:val="00AF47E9"/>
    <w:rsid w:val="00AF56E3"/>
    <w:rsid w:val="00AF67F5"/>
    <w:rsid w:val="00B0068F"/>
    <w:rsid w:val="00B04813"/>
    <w:rsid w:val="00B21078"/>
    <w:rsid w:val="00B26322"/>
    <w:rsid w:val="00B30F2F"/>
    <w:rsid w:val="00B3214C"/>
    <w:rsid w:val="00B34D35"/>
    <w:rsid w:val="00B53228"/>
    <w:rsid w:val="00B6277E"/>
    <w:rsid w:val="00B63320"/>
    <w:rsid w:val="00B65D77"/>
    <w:rsid w:val="00B669F6"/>
    <w:rsid w:val="00B8096C"/>
    <w:rsid w:val="00B83EBB"/>
    <w:rsid w:val="00B92552"/>
    <w:rsid w:val="00B92A8C"/>
    <w:rsid w:val="00B949F8"/>
    <w:rsid w:val="00B9757A"/>
    <w:rsid w:val="00B9773A"/>
    <w:rsid w:val="00BA297F"/>
    <w:rsid w:val="00BA4C50"/>
    <w:rsid w:val="00BA71DD"/>
    <w:rsid w:val="00BB24DB"/>
    <w:rsid w:val="00BB4275"/>
    <w:rsid w:val="00BB458A"/>
    <w:rsid w:val="00BD450D"/>
    <w:rsid w:val="00BD5FFE"/>
    <w:rsid w:val="00BD7E8C"/>
    <w:rsid w:val="00C05EFA"/>
    <w:rsid w:val="00C07A42"/>
    <w:rsid w:val="00C10DC8"/>
    <w:rsid w:val="00C21B5E"/>
    <w:rsid w:val="00C23F13"/>
    <w:rsid w:val="00C4082C"/>
    <w:rsid w:val="00C565BB"/>
    <w:rsid w:val="00C63C8D"/>
    <w:rsid w:val="00C67A6C"/>
    <w:rsid w:val="00C822A0"/>
    <w:rsid w:val="00CA23B8"/>
    <w:rsid w:val="00CA4A98"/>
    <w:rsid w:val="00CB2774"/>
    <w:rsid w:val="00CB380F"/>
    <w:rsid w:val="00CB695D"/>
    <w:rsid w:val="00CD617D"/>
    <w:rsid w:val="00CD7F39"/>
    <w:rsid w:val="00CE6214"/>
    <w:rsid w:val="00CF2D80"/>
    <w:rsid w:val="00D11B81"/>
    <w:rsid w:val="00D16C19"/>
    <w:rsid w:val="00D30D50"/>
    <w:rsid w:val="00D35C9E"/>
    <w:rsid w:val="00D44E9F"/>
    <w:rsid w:val="00D462D4"/>
    <w:rsid w:val="00D71C74"/>
    <w:rsid w:val="00D71FF5"/>
    <w:rsid w:val="00D75957"/>
    <w:rsid w:val="00D76ADC"/>
    <w:rsid w:val="00D77EE8"/>
    <w:rsid w:val="00D80E05"/>
    <w:rsid w:val="00D84B48"/>
    <w:rsid w:val="00D85156"/>
    <w:rsid w:val="00D86E89"/>
    <w:rsid w:val="00D87C04"/>
    <w:rsid w:val="00D9632E"/>
    <w:rsid w:val="00DA0B39"/>
    <w:rsid w:val="00DA2406"/>
    <w:rsid w:val="00DA551F"/>
    <w:rsid w:val="00DA5F90"/>
    <w:rsid w:val="00DC1B0D"/>
    <w:rsid w:val="00DD29AC"/>
    <w:rsid w:val="00DD53C6"/>
    <w:rsid w:val="00DD767D"/>
    <w:rsid w:val="00DF41CB"/>
    <w:rsid w:val="00DF7F7D"/>
    <w:rsid w:val="00E05A10"/>
    <w:rsid w:val="00E079E3"/>
    <w:rsid w:val="00E07C85"/>
    <w:rsid w:val="00E4094D"/>
    <w:rsid w:val="00E46900"/>
    <w:rsid w:val="00E46A0D"/>
    <w:rsid w:val="00E53406"/>
    <w:rsid w:val="00E622F9"/>
    <w:rsid w:val="00E641FF"/>
    <w:rsid w:val="00E71AAA"/>
    <w:rsid w:val="00E82DA8"/>
    <w:rsid w:val="00E853CD"/>
    <w:rsid w:val="00E87AF4"/>
    <w:rsid w:val="00E977B4"/>
    <w:rsid w:val="00EA17BC"/>
    <w:rsid w:val="00EA2EB6"/>
    <w:rsid w:val="00EA495A"/>
    <w:rsid w:val="00EB1FE6"/>
    <w:rsid w:val="00EB7F83"/>
    <w:rsid w:val="00EC5497"/>
    <w:rsid w:val="00ED189B"/>
    <w:rsid w:val="00EE6F36"/>
    <w:rsid w:val="00EF46DC"/>
    <w:rsid w:val="00EF4F9F"/>
    <w:rsid w:val="00EF7CAA"/>
    <w:rsid w:val="00F16883"/>
    <w:rsid w:val="00F1790A"/>
    <w:rsid w:val="00F2370A"/>
    <w:rsid w:val="00F244D5"/>
    <w:rsid w:val="00F24D96"/>
    <w:rsid w:val="00F33CE1"/>
    <w:rsid w:val="00F34E1F"/>
    <w:rsid w:val="00F3552C"/>
    <w:rsid w:val="00F4478E"/>
    <w:rsid w:val="00F562A0"/>
    <w:rsid w:val="00F61CDF"/>
    <w:rsid w:val="00F635DA"/>
    <w:rsid w:val="00F6518A"/>
    <w:rsid w:val="00F73793"/>
    <w:rsid w:val="00F83114"/>
    <w:rsid w:val="00F83446"/>
    <w:rsid w:val="00F962EB"/>
    <w:rsid w:val="00FA6505"/>
    <w:rsid w:val="00FB05B0"/>
    <w:rsid w:val="00FB0A8D"/>
    <w:rsid w:val="00FB0D0A"/>
    <w:rsid w:val="00FB2932"/>
    <w:rsid w:val="00FB3355"/>
    <w:rsid w:val="00FB484F"/>
    <w:rsid w:val="00FB4FDC"/>
    <w:rsid w:val="00FC32A0"/>
    <w:rsid w:val="00FC3C12"/>
    <w:rsid w:val="00FC64E3"/>
    <w:rsid w:val="00FC69F2"/>
    <w:rsid w:val="00FD1781"/>
    <w:rsid w:val="00FD5D8E"/>
    <w:rsid w:val="00FE04CC"/>
    <w:rsid w:val="00FF2CB6"/>
    <w:rsid w:val="00FF7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65587E"/>
  <w15:chartTrackingRefBased/>
  <w15:docId w15:val="{E61BB5C5-46F5-684C-90EA-B7E566C3A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7A0F"/>
    <w:pPr>
      <w:ind w:firstLineChars="200" w:firstLine="420"/>
    </w:pPr>
  </w:style>
  <w:style w:type="paragraph" w:styleId="a4">
    <w:name w:val="Revision"/>
    <w:hidden/>
    <w:uiPriority w:val="99"/>
    <w:semiHidden/>
    <w:rsid w:val="00FA6505"/>
  </w:style>
  <w:style w:type="paragraph" w:styleId="a5">
    <w:name w:val="header"/>
    <w:basedOn w:val="a"/>
    <w:link w:val="a6"/>
    <w:uiPriority w:val="99"/>
    <w:unhideWhenUsed/>
    <w:rsid w:val="00FA6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A650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A6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A650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2E53E8"/>
    <w:rPr>
      <w:rFonts w:ascii="宋体" w:eastAsia="宋体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E53E8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15</cp:revision>
  <dcterms:created xsi:type="dcterms:W3CDTF">2022-09-29T15:15:00Z</dcterms:created>
  <dcterms:modified xsi:type="dcterms:W3CDTF">2023-02-05T08:07:00Z</dcterms:modified>
</cp:coreProperties>
</file>