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E69802" w14:textId="77777777" w:rsidR="00A3268A" w:rsidRPr="001D213B" w:rsidRDefault="00A3268A" w:rsidP="00A3268A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Supplementary Figure L</w:t>
      </w:r>
      <w:r w:rsidRPr="001D213B">
        <w:rPr>
          <w:rFonts w:ascii="Times New Roman" w:hAnsi="Times New Roman" w:cs="Times New Roman"/>
          <w:b/>
          <w:sz w:val="20"/>
          <w:szCs w:val="20"/>
        </w:rPr>
        <w:t>egends</w:t>
      </w:r>
      <w:r>
        <w:rPr>
          <w:rFonts w:ascii="Times New Roman" w:hAnsi="Times New Roman" w:cs="Times New Roman"/>
          <w:b/>
          <w:sz w:val="20"/>
          <w:szCs w:val="20"/>
        </w:rPr>
        <w:t>:</w:t>
      </w:r>
    </w:p>
    <w:p w14:paraId="3810FD10" w14:textId="04A4F5CA" w:rsidR="00FF288E" w:rsidRDefault="00FF288E" w:rsidP="00A3268A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zh-CN"/>
        </w:rPr>
        <w:drawing>
          <wp:inline distT="0" distB="0" distL="0" distR="0" wp14:anchorId="47760AA4" wp14:editId="09C92A52">
            <wp:extent cx="5943600" cy="7429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42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2696F" w14:textId="056941F7" w:rsidR="00A3268A" w:rsidRDefault="00A3268A" w:rsidP="00A3268A">
      <w:pPr>
        <w:spacing w:after="0" w:line="48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Supplementary </w:t>
      </w:r>
      <w:r w:rsidRPr="001D213B">
        <w:rPr>
          <w:rFonts w:ascii="Times New Roman" w:hAnsi="Times New Roman" w:cs="Times New Roman"/>
          <w:b/>
          <w:sz w:val="20"/>
          <w:szCs w:val="20"/>
        </w:rPr>
        <w:t>Fig 1.</w:t>
      </w:r>
      <w:r w:rsidRPr="001D213B">
        <w:rPr>
          <w:rFonts w:ascii="Times New Roman" w:hAnsi="Times New Roman" w:cs="Times New Roman"/>
          <w:sz w:val="20"/>
          <w:szCs w:val="20"/>
        </w:rPr>
        <w:t xml:space="preserve">  </w:t>
      </w:r>
      <w:r w:rsidR="006018E5">
        <w:rPr>
          <w:rFonts w:ascii="Times New Roman" w:hAnsi="Times New Roman" w:cs="Times New Roman"/>
          <w:sz w:val="20"/>
          <w:szCs w:val="20"/>
        </w:rPr>
        <w:t xml:space="preserve">A non-cytotoxic concentration of </w:t>
      </w:r>
      <w:r>
        <w:rPr>
          <w:rFonts w:ascii="Times New Roman" w:hAnsi="Times New Roman" w:cs="Times New Roman"/>
          <w:bCs/>
          <w:sz w:val="20"/>
          <w:szCs w:val="20"/>
        </w:rPr>
        <w:t>olaparib</w:t>
      </w:r>
      <w:r w:rsidR="006018E5">
        <w:rPr>
          <w:rFonts w:ascii="Times New Roman" w:hAnsi="Times New Roman" w:cs="Times New Roman"/>
          <w:bCs/>
          <w:sz w:val="20"/>
          <w:szCs w:val="20"/>
        </w:rPr>
        <w:t xml:space="preserve"> enhances </w:t>
      </w:r>
      <w:r w:rsidR="00692D23">
        <w:rPr>
          <w:rFonts w:ascii="Times New Roman" w:hAnsi="Times New Roman" w:cs="Times New Roman"/>
          <w:bCs/>
          <w:sz w:val="20"/>
          <w:szCs w:val="20"/>
        </w:rPr>
        <w:t>eribulin</w:t>
      </w:r>
      <w:r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6018E5">
        <w:rPr>
          <w:rFonts w:ascii="Times New Roman" w:hAnsi="Times New Roman" w:cs="Times New Roman"/>
          <w:bCs/>
          <w:sz w:val="20"/>
          <w:szCs w:val="20"/>
        </w:rPr>
        <w:t>cytotoxicity</w:t>
      </w:r>
      <w:r w:rsidR="00692D23">
        <w:rPr>
          <w:rFonts w:ascii="Times New Roman" w:hAnsi="Times New Roman" w:cs="Times New Roman"/>
          <w:bCs/>
          <w:sz w:val="20"/>
          <w:szCs w:val="20"/>
        </w:rPr>
        <w:t>.</w:t>
      </w:r>
      <w:r w:rsidRPr="001D213B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692D23">
        <w:rPr>
          <w:rFonts w:ascii="Times New Roman" w:hAnsi="Times New Roman" w:cs="Times New Roman"/>
          <w:bCs/>
          <w:sz w:val="20"/>
          <w:szCs w:val="20"/>
        </w:rPr>
        <w:t xml:space="preserve">The </w:t>
      </w:r>
      <w:r w:rsidRPr="001D213B">
        <w:rPr>
          <w:rFonts w:ascii="Times New Roman" w:hAnsi="Times New Roman" w:cs="Times New Roman"/>
          <w:sz w:val="20"/>
          <w:szCs w:val="20"/>
        </w:rPr>
        <w:t>IC</w:t>
      </w:r>
      <w:r w:rsidRPr="001D213B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1D213B">
        <w:rPr>
          <w:rFonts w:ascii="Times New Roman" w:hAnsi="Times New Roman" w:cs="Times New Roman"/>
          <w:sz w:val="20"/>
          <w:szCs w:val="20"/>
        </w:rPr>
        <w:t xml:space="preserve"> values of </w:t>
      </w:r>
      <w:r w:rsidR="006018E5">
        <w:rPr>
          <w:rFonts w:ascii="Times New Roman" w:hAnsi="Times New Roman" w:cs="Times New Roman"/>
          <w:sz w:val="20"/>
          <w:szCs w:val="20"/>
        </w:rPr>
        <w:t xml:space="preserve">olaparib, </w:t>
      </w:r>
      <w:r w:rsidRPr="001D213B">
        <w:rPr>
          <w:rFonts w:ascii="Times New Roman" w:hAnsi="Times New Roman" w:cs="Times New Roman"/>
          <w:sz w:val="20"/>
          <w:szCs w:val="20"/>
        </w:rPr>
        <w:t xml:space="preserve">eribulin </w:t>
      </w:r>
      <w:r w:rsidR="008B0182">
        <w:rPr>
          <w:rFonts w:ascii="Times New Roman" w:hAnsi="Times New Roman" w:cs="Times New Roman"/>
          <w:sz w:val="20"/>
          <w:szCs w:val="20"/>
        </w:rPr>
        <w:t xml:space="preserve"> </w:t>
      </w:r>
      <w:r w:rsidR="006018E5">
        <w:rPr>
          <w:rFonts w:ascii="Times New Roman" w:hAnsi="Times New Roman" w:cs="Times New Roman"/>
          <w:sz w:val="20"/>
          <w:szCs w:val="20"/>
        </w:rPr>
        <w:t xml:space="preserve">and the combination of eribulin plus </w:t>
      </w:r>
      <w:r w:rsidR="00692D23">
        <w:rPr>
          <w:rFonts w:ascii="Times New Roman" w:hAnsi="Times New Roman" w:cs="Times New Roman"/>
          <w:sz w:val="20"/>
          <w:szCs w:val="20"/>
        </w:rPr>
        <w:t xml:space="preserve">a non-cytotoxic concentration </w:t>
      </w:r>
      <w:r w:rsidRPr="001D213B">
        <w:rPr>
          <w:rFonts w:ascii="Times New Roman" w:hAnsi="Times New Roman" w:cs="Times New Roman"/>
          <w:sz w:val="20"/>
          <w:szCs w:val="20"/>
        </w:rPr>
        <w:t xml:space="preserve">of olaparib </w:t>
      </w:r>
      <w:r w:rsidR="00692D23">
        <w:rPr>
          <w:rFonts w:ascii="Times New Roman" w:hAnsi="Times New Roman" w:cs="Times New Roman"/>
          <w:sz w:val="20"/>
          <w:szCs w:val="20"/>
        </w:rPr>
        <w:t>(</w:t>
      </w:r>
      <w:r w:rsidR="00692D23" w:rsidRPr="001D213B">
        <w:rPr>
          <w:rFonts w:ascii="Times New Roman" w:hAnsi="Times New Roman" w:cs="Times New Roman"/>
          <w:sz w:val="20"/>
          <w:szCs w:val="20"/>
        </w:rPr>
        <w:t>2 µM</w:t>
      </w:r>
      <w:r w:rsidR="00692D23">
        <w:rPr>
          <w:rFonts w:ascii="Times New Roman" w:hAnsi="Times New Roman" w:cs="Times New Roman"/>
          <w:sz w:val="20"/>
          <w:szCs w:val="20"/>
        </w:rPr>
        <w:t>)</w:t>
      </w:r>
      <w:r w:rsidR="006018E5">
        <w:rPr>
          <w:rFonts w:ascii="Times New Roman" w:hAnsi="Times New Roman" w:cs="Times New Roman"/>
          <w:sz w:val="20"/>
          <w:szCs w:val="20"/>
        </w:rPr>
        <w:t xml:space="preserve"> were obtained using the SRB assay as described in material and methods</w:t>
      </w:r>
      <w:r w:rsidR="00692D23">
        <w:rPr>
          <w:rFonts w:ascii="Times New Roman" w:hAnsi="Times New Roman" w:cs="Times New Roman"/>
          <w:sz w:val="20"/>
          <w:szCs w:val="20"/>
        </w:rPr>
        <w:t xml:space="preserve"> </w:t>
      </w:r>
      <w:r w:rsidRPr="001D213B">
        <w:rPr>
          <w:rFonts w:ascii="Times New Roman" w:hAnsi="Times New Roman" w:cs="Times New Roman"/>
          <w:sz w:val="20"/>
          <w:szCs w:val="20"/>
        </w:rPr>
        <w:t xml:space="preserve">in </w:t>
      </w:r>
      <w:r w:rsidR="00122E31">
        <w:rPr>
          <w:rFonts w:ascii="Times New Roman" w:hAnsi="Times New Roman" w:cs="Times New Roman"/>
          <w:sz w:val="20"/>
          <w:szCs w:val="20"/>
        </w:rPr>
        <w:t>an</w:t>
      </w:r>
      <w:r w:rsidRPr="001D213B">
        <w:rPr>
          <w:rFonts w:ascii="Times New Roman" w:hAnsi="Times New Roman" w:cs="Times New Roman"/>
          <w:sz w:val="20"/>
          <w:szCs w:val="20"/>
        </w:rPr>
        <w:t xml:space="preserve"> ER+/</w:t>
      </w:r>
      <w:r>
        <w:rPr>
          <w:rFonts w:ascii="Times New Roman" w:hAnsi="Times New Roman" w:cs="Times New Roman"/>
          <w:sz w:val="20"/>
          <w:szCs w:val="20"/>
        </w:rPr>
        <w:t>HER2- breast cancer cell line (A</w:t>
      </w:r>
      <w:r w:rsidRPr="001D213B">
        <w:rPr>
          <w:rFonts w:ascii="Times New Roman" w:hAnsi="Times New Roman" w:cs="Times New Roman"/>
          <w:sz w:val="20"/>
          <w:szCs w:val="20"/>
        </w:rPr>
        <w:t xml:space="preserve">) MCF-7 </w:t>
      </w:r>
      <w:r>
        <w:rPr>
          <w:rFonts w:ascii="Times New Roman" w:hAnsi="Times New Roman" w:cs="Times New Roman"/>
          <w:sz w:val="20"/>
          <w:szCs w:val="20"/>
        </w:rPr>
        <w:t xml:space="preserve">and two </w:t>
      </w:r>
      <w:r w:rsidRPr="001D213B">
        <w:rPr>
          <w:rFonts w:ascii="Times New Roman" w:hAnsi="Times New Roman" w:cs="Times New Roman"/>
          <w:sz w:val="20"/>
          <w:szCs w:val="20"/>
        </w:rPr>
        <w:t>triple nega</w:t>
      </w:r>
      <w:r>
        <w:rPr>
          <w:rFonts w:ascii="Times New Roman" w:hAnsi="Times New Roman" w:cs="Times New Roman"/>
          <w:sz w:val="20"/>
          <w:szCs w:val="20"/>
        </w:rPr>
        <w:t xml:space="preserve">tive breast cancer cell lines (B) </w:t>
      </w:r>
      <w:r w:rsidRPr="001D213B">
        <w:rPr>
          <w:rFonts w:ascii="Times New Roman" w:hAnsi="Times New Roman" w:cs="Times New Roman"/>
          <w:sz w:val="20"/>
          <w:szCs w:val="20"/>
        </w:rPr>
        <w:t>MDA-231 and</w:t>
      </w:r>
      <w:r>
        <w:rPr>
          <w:rFonts w:ascii="Times New Roman" w:hAnsi="Times New Roman" w:cs="Times New Roman"/>
          <w:sz w:val="20"/>
          <w:szCs w:val="20"/>
        </w:rPr>
        <w:t xml:space="preserve"> (C</w:t>
      </w:r>
      <w:r w:rsidRPr="001D213B">
        <w:rPr>
          <w:rFonts w:ascii="Times New Roman" w:hAnsi="Times New Roman" w:cs="Times New Roman"/>
          <w:sz w:val="20"/>
          <w:szCs w:val="20"/>
        </w:rPr>
        <w:t xml:space="preserve">) MDA-436 cell line. Data are presented as mean ± standard </w:t>
      </w:r>
      <w:r w:rsidR="00692D23">
        <w:rPr>
          <w:rFonts w:ascii="Times New Roman" w:hAnsi="Times New Roman" w:cs="Times New Roman"/>
          <w:sz w:val="20"/>
          <w:szCs w:val="20"/>
        </w:rPr>
        <w:t>error</w:t>
      </w:r>
      <w:r w:rsidRPr="001D213B">
        <w:rPr>
          <w:rFonts w:ascii="Times New Roman" w:hAnsi="Times New Roman" w:cs="Times New Roman"/>
          <w:sz w:val="20"/>
          <w:szCs w:val="20"/>
        </w:rPr>
        <w:t xml:space="preserve"> (n = 3). </w:t>
      </w:r>
      <w:r w:rsidR="00692D23">
        <w:rPr>
          <w:rFonts w:ascii="Times New Roman" w:hAnsi="Times New Roman" w:cs="Times New Roman"/>
          <w:sz w:val="20"/>
          <w:szCs w:val="20"/>
        </w:rPr>
        <w:t xml:space="preserve">Statistical differences </w:t>
      </w:r>
      <w:r w:rsidR="006018E5">
        <w:rPr>
          <w:rFonts w:ascii="Times New Roman" w:hAnsi="Times New Roman" w:cs="Times New Roman"/>
          <w:sz w:val="20"/>
          <w:szCs w:val="20"/>
        </w:rPr>
        <w:t xml:space="preserve">were assessed by analysis of variance followed  by t-test for each cell line. Statistical significances are indicated </w:t>
      </w:r>
      <w:r w:rsidR="00364373">
        <w:rPr>
          <w:rFonts w:ascii="Times New Roman" w:hAnsi="Times New Roman" w:cs="Times New Roman"/>
          <w:sz w:val="20"/>
          <w:szCs w:val="20"/>
        </w:rPr>
        <w:t>(</w:t>
      </w:r>
      <w:r w:rsidR="006018E5">
        <w:rPr>
          <w:rFonts w:ascii="Times New Roman" w:hAnsi="Times New Roman" w:cs="Times New Roman"/>
          <w:sz w:val="20"/>
          <w:szCs w:val="20"/>
        </w:rPr>
        <w:t>p values &lt;0.05</w:t>
      </w:r>
      <w:r w:rsidR="00364373">
        <w:rPr>
          <w:rFonts w:ascii="Times New Roman" w:hAnsi="Times New Roman" w:cs="Times New Roman"/>
          <w:sz w:val="20"/>
          <w:szCs w:val="20"/>
        </w:rPr>
        <w:t>)</w:t>
      </w:r>
      <w:r w:rsidR="006018E5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321460B8" w14:textId="52CF5154" w:rsidR="00FF288E" w:rsidRDefault="00FF288E" w:rsidP="00A3268A">
      <w:pPr>
        <w:spacing w:after="0" w:line="48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14:paraId="766FDF3A" w14:textId="3CD39A7F" w:rsidR="00FF288E" w:rsidRDefault="00FF288E" w:rsidP="00A3268A">
      <w:pPr>
        <w:spacing w:after="0" w:line="48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14:paraId="1CDADFAB" w14:textId="4893151B" w:rsidR="00FF288E" w:rsidRPr="001D213B" w:rsidRDefault="00FF288E" w:rsidP="00A3268A">
      <w:pPr>
        <w:spacing w:after="0" w:line="48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  <w:lang w:eastAsia="zh-CN"/>
        </w:rPr>
        <w:lastRenderedPageBreak/>
        <w:drawing>
          <wp:inline distT="0" distB="0" distL="0" distR="0" wp14:anchorId="4D9D8F1D" wp14:editId="22F3F3C2">
            <wp:extent cx="5943600" cy="722566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 S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22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37F99" w14:textId="4CB6611E" w:rsidR="00A3268A" w:rsidRPr="00567EC5" w:rsidRDefault="00A3268A" w:rsidP="00567EC5">
      <w:pPr>
        <w:spacing w:after="0" w:line="48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Supplementary</w:t>
      </w:r>
      <w:r w:rsidRPr="001D213B">
        <w:rPr>
          <w:rFonts w:ascii="Times New Roman" w:hAnsi="Times New Roman" w:cs="Times New Roman"/>
          <w:b/>
          <w:sz w:val="20"/>
          <w:szCs w:val="20"/>
        </w:rPr>
        <w:t xml:space="preserve"> Fig 2.</w:t>
      </w:r>
      <w:r w:rsidRPr="001D213B">
        <w:rPr>
          <w:rFonts w:ascii="Times New Roman" w:hAnsi="Times New Roman" w:cs="Times New Roman"/>
          <w:sz w:val="20"/>
          <w:szCs w:val="20"/>
        </w:rPr>
        <w:t xml:space="preserve"> Representative analyses of </w:t>
      </w:r>
      <w:r w:rsidR="00E35619">
        <w:rPr>
          <w:rFonts w:ascii="Times New Roman" w:hAnsi="Times New Roman" w:cs="Times New Roman"/>
          <w:sz w:val="20"/>
          <w:szCs w:val="20"/>
        </w:rPr>
        <w:t xml:space="preserve">cell cycle progression in </w:t>
      </w:r>
      <w:r w:rsidR="00246995">
        <w:rPr>
          <w:rFonts w:ascii="Times New Roman" w:hAnsi="Times New Roman" w:cs="Times New Roman"/>
          <w:sz w:val="20"/>
          <w:szCs w:val="20"/>
        </w:rPr>
        <w:t xml:space="preserve">the </w:t>
      </w:r>
      <w:r w:rsidRPr="001D213B">
        <w:rPr>
          <w:rFonts w:ascii="Times New Roman" w:hAnsi="Times New Roman" w:cs="Times New Roman"/>
          <w:sz w:val="20"/>
          <w:szCs w:val="20"/>
        </w:rPr>
        <w:t xml:space="preserve">MDA-231 </w:t>
      </w:r>
      <w:r>
        <w:rPr>
          <w:rFonts w:ascii="Times New Roman" w:hAnsi="Times New Roman" w:cs="Times New Roman"/>
          <w:sz w:val="20"/>
          <w:szCs w:val="20"/>
        </w:rPr>
        <w:t>cell line</w:t>
      </w:r>
      <w:r w:rsidR="00E35619">
        <w:rPr>
          <w:rFonts w:ascii="Times New Roman" w:hAnsi="Times New Roman" w:cs="Times New Roman"/>
          <w:sz w:val="20"/>
          <w:szCs w:val="20"/>
        </w:rPr>
        <w:t xml:space="preserve"> </w:t>
      </w:r>
      <w:r w:rsidR="00567EC5">
        <w:rPr>
          <w:rFonts w:ascii="Times New Roman" w:hAnsi="Times New Roman" w:cs="Times New Roman"/>
          <w:sz w:val="20"/>
          <w:szCs w:val="20"/>
        </w:rPr>
        <w:t xml:space="preserve">as described in material and methods using PI staining after </w:t>
      </w:r>
      <w:r w:rsidR="00246995">
        <w:rPr>
          <w:rFonts w:ascii="Times New Roman" w:hAnsi="Times New Roman" w:cs="Times New Roman"/>
          <w:sz w:val="20"/>
          <w:szCs w:val="20"/>
        </w:rPr>
        <w:t xml:space="preserve">a </w:t>
      </w:r>
      <w:r w:rsidR="00567EC5">
        <w:rPr>
          <w:rFonts w:ascii="Times New Roman" w:hAnsi="Times New Roman" w:cs="Times New Roman"/>
          <w:sz w:val="20"/>
          <w:szCs w:val="20"/>
        </w:rPr>
        <w:t>24</w:t>
      </w:r>
      <w:r w:rsidR="00122E31">
        <w:rPr>
          <w:rFonts w:ascii="Times New Roman" w:hAnsi="Times New Roman" w:cs="Times New Roman"/>
          <w:sz w:val="20"/>
          <w:szCs w:val="20"/>
        </w:rPr>
        <w:t xml:space="preserve">h </w:t>
      </w:r>
      <w:r w:rsidR="00567EC5">
        <w:rPr>
          <w:rFonts w:ascii="Times New Roman" w:hAnsi="Times New Roman" w:cs="Times New Roman"/>
          <w:sz w:val="20"/>
          <w:szCs w:val="20"/>
        </w:rPr>
        <w:t xml:space="preserve"> </w:t>
      </w:r>
      <w:r w:rsidR="00E35619">
        <w:rPr>
          <w:rFonts w:ascii="Times New Roman" w:hAnsi="Times New Roman" w:cs="Times New Roman"/>
          <w:sz w:val="20"/>
          <w:szCs w:val="20"/>
        </w:rPr>
        <w:t>treat</w:t>
      </w:r>
      <w:r w:rsidR="00567EC5">
        <w:rPr>
          <w:rFonts w:ascii="Times New Roman" w:hAnsi="Times New Roman" w:cs="Times New Roman"/>
          <w:sz w:val="20"/>
          <w:szCs w:val="20"/>
        </w:rPr>
        <w:t>ment</w:t>
      </w:r>
      <w:r w:rsidR="00E35619">
        <w:rPr>
          <w:rFonts w:ascii="Times New Roman" w:hAnsi="Times New Roman" w:cs="Times New Roman"/>
          <w:sz w:val="20"/>
          <w:szCs w:val="20"/>
        </w:rPr>
        <w:t xml:space="preserve"> with vehicle (CTL), eribulin IC</w:t>
      </w:r>
      <w:r w:rsidR="00E35619" w:rsidRPr="00E35619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="00E35619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="00E35619">
        <w:rPr>
          <w:rFonts w:ascii="Times New Roman" w:hAnsi="Times New Roman" w:cs="Times New Roman"/>
          <w:sz w:val="20"/>
          <w:szCs w:val="20"/>
        </w:rPr>
        <w:t xml:space="preserve">concentration as defined in Supplementary Fig. 1 </w:t>
      </w:r>
      <w:r w:rsidR="00567EC5">
        <w:rPr>
          <w:rFonts w:ascii="Times New Roman" w:hAnsi="Times New Roman" w:cs="Times New Roman"/>
          <w:sz w:val="20"/>
          <w:szCs w:val="20"/>
        </w:rPr>
        <w:t xml:space="preserve">alone (ERB) or in combination with </w:t>
      </w:r>
      <w:r w:rsidR="00567EC5" w:rsidRPr="001D213B">
        <w:rPr>
          <w:rFonts w:ascii="Times New Roman" w:hAnsi="Times New Roman" w:cs="Times New Roman"/>
          <w:sz w:val="20"/>
          <w:szCs w:val="20"/>
        </w:rPr>
        <w:t>2 µM of olapar</w:t>
      </w:r>
      <w:r w:rsidR="00567EC5">
        <w:rPr>
          <w:rFonts w:ascii="Times New Roman" w:hAnsi="Times New Roman" w:cs="Times New Roman"/>
          <w:sz w:val="20"/>
          <w:szCs w:val="20"/>
        </w:rPr>
        <w:t>ib (ERB + Olap).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70DECFD" w14:textId="77777777" w:rsidR="00FF288E" w:rsidRDefault="00FF288E" w:rsidP="00D41836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2A11789" w14:textId="77777777" w:rsidR="00FF288E" w:rsidRDefault="00FF288E" w:rsidP="00D41836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409285B" w14:textId="1C1C0D32" w:rsidR="00FF288E" w:rsidRDefault="00FF288E" w:rsidP="00D41836">
      <w:pPr>
        <w:spacing w:after="0" w:line="480" w:lineRule="auto"/>
        <w:ind w:left="360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zh-CN"/>
        </w:rPr>
        <w:drawing>
          <wp:inline distT="0" distB="0" distL="0" distR="0" wp14:anchorId="7B32F2A7" wp14:editId="7B905671">
            <wp:extent cx="5943600" cy="66294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vised Fig S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2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A149A3" w14:textId="5910C958" w:rsidR="000455FA" w:rsidRPr="00766D53" w:rsidRDefault="00A3268A" w:rsidP="00D41836">
      <w:pPr>
        <w:spacing w:after="0" w:line="480" w:lineRule="auto"/>
        <w:ind w:left="360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Supplementary</w:t>
      </w:r>
      <w:r w:rsidRPr="001D213B">
        <w:rPr>
          <w:rFonts w:ascii="Times New Roman" w:hAnsi="Times New Roman" w:cs="Times New Roman"/>
          <w:b/>
          <w:sz w:val="20"/>
          <w:szCs w:val="20"/>
        </w:rPr>
        <w:t xml:space="preserve"> Fig 3.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D213B">
        <w:rPr>
          <w:rFonts w:ascii="Times New Roman" w:hAnsi="Times New Roman" w:cs="Times New Roman"/>
          <w:bCs/>
          <w:sz w:val="20"/>
          <w:szCs w:val="20"/>
        </w:rPr>
        <w:t xml:space="preserve">Quantitative </w:t>
      </w:r>
      <w:r w:rsidR="00567EC5">
        <w:rPr>
          <w:rFonts w:ascii="Times New Roman" w:hAnsi="Times New Roman" w:cs="Times New Roman"/>
          <w:bCs/>
          <w:sz w:val="20"/>
          <w:szCs w:val="20"/>
        </w:rPr>
        <w:t>comparative analysis</w:t>
      </w:r>
      <w:r w:rsidRPr="001D213B">
        <w:rPr>
          <w:rFonts w:ascii="Times New Roman" w:hAnsi="Times New Roman" w:cs="Times New Roman"/>
          <w:bCs/>
          <w:sz w:val="20"/>
          <w:szCs w:val="20"/>
        </w:rPr>
        <w:t xml:space="preserve"> of </w:t>
      </w:r>
      <w:r w:rsidR="00D74777">
        <w:rPr>
          <w:rFonts w:ascii="Times New Roman" w:hAnsi="Times New Roman" w:cs="Times New Roman"/>
          <w:bCs/>
          <w:sz w:val="20"/>
          <w:szCs w:val="20"/>
        </w:rPr>
        <w:t xml:space="preserve">polynucleated giant cells </w:t>
      </w:r>
      <w:r w:rsidR="00D74777">
        <w:rPr>
          <w:rFonts w:ascii="Times New Roman" w:hAnsi="Times New Roman" w:cs="Times New Roman"/>
          <w:sz w:val="20"/>
          <w:szCs w:val="20"/>
        </w:rPr>
        <w:t xml:space="preserve">in </w:t>
      </w:r>
      <w:r w:rsidR="00567EC5">
        <w:rPr>
          <w:rFonts w:ascii="Times New Roman" w:hAnsi="Times New Roman" w:cs="Times New Roman"/>
          <w:bCs/>
          <w:sz w:val="20"/>
          <w:szCs w:val="20"/>
        </w:rPr>
        <w:t>(A) MDA-231 and (B) MDA-</w:t>
      </w:r>
      <w:r w:rsidR="0015544F">
        <w:rPr>
          <w:rFonts w:ascii="Times New Roman" w:hAnsi="Times New Roman" w:cs="Times New Roman"/>
          <w:bCs/>
          <w:sz w:val="20"/>
          <w:szCs w:val="20"/>
        </w:rPr>
        <w:t>436</w:t>
      </w:r>
      <w:r w:rsidR="00567EC5">
        <w:rPr>
          <w:rFonts w:ascii="Times New Roman" w:hAnsi="Times New Roman" w:cs="Times New Roman"/>
          <w:bCs/>
          <w:sz w:val="20"/>
          <w:szCs w:val="20"/>
        </w:rPr>
        <w:t xml:space="preserve"> cell lines </w:t>
      </w:r>
      <w:r w:rsidRPr="001D213B">
        <w:rPr>
          <w:rFonts w:ascii="Times New Roman" w:hAnsi="Times New Roman" w:cs="Times New Roman"/>
          <w:bCs/>
          <w:sz w:val="20"/>
          <w:szCs w:val="20"/>
        </w:rPr>
        <w:t>2</w:t>
      </w:r>
      <w:r w:rsidR="00122E31">
        <w:rPr>
          <w:rFonts w:ascii="Times New Roman" w:hAnsi="Times New Roman" w:cs="Times New Roman"/>
          <w:bCs/>
          <w:sz w:val="20"/>
          <w:szCs w:val="20"/>
        </w:rPr>
        <w:t>4h</w:t>
      </w:r>
      <w:r w:rsidRPr="001D213B">
        <w:rPr>
          <w:rFonts w:ascii="Times New Roman" w:hAnsi="Times New Roman" w:cs="Times New Roman"/>
          <w:bCs/>
          <w:sz w:val="20"/>
          <w:szCs w:val="20"/>
        </w:rPr>
        <w:t xml:space="preserve"> after treatment with </w:t>
      </w:r>
      <w:r w:rsidR="00567EC5">
        <w:rPr>
          <w:rFonts w:ascii="Times New Roman" w:hAnsi="Times New Roman" w:cs="Times New Roman"/>
          <w:bCs/>
          <w:sz w:val="20"/>
          <w:szCs w:val="20"/>
        </w:rPr>
        <w:t xml:space="preserve">vehicle (CTL), </w:t>
      </w:r>
      <w:r w:rsidR="00567EC5" w:rsidRPr="001D213B">
        <w:rPr>
          <w:rFonts w:ascii="Times New Roman" w:hAnsi="Times New Roman" w:cs="Times New Roman"/>
          <w:sz w:val="20"/>
          <w:szCs w:val="20"/>
        </w:rPr>
        <w:t>2 µM of olapar</w:t>
      </w:r>
      <w:r w:rsidR="00567EC5">
        <w:rPr>
          <w:rFonts w:ascii="Times New Roman" w:hAnsi="Times New Roman" w:cs="Times New Roman"/>
          <w:sz w:val="20"/>
          <w:szCs w:val="20"/>
        </w:rPr>
        <w:t>ib, eribulin IC</w:t>
      </w:r>
      <w:r w:rsidR="00567EC5" w:rsidRPr="00567EC5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="00567EC5">
        <w:rPr>
          <w:rFonts w:ascii="Times New Roman" w:hAnsi="Times New Roman" w:cs="Times New Roman"/>
          <w:sz w:val="20"/>
          <w:szCs w:val="20"/>
        </w:rPr>
        <w:t xml:space="preserve"> </w:t>
      </w:r>
      <w:r w:rsidR="00567EC5">
        <w:rPr>
          <w:rFonts w:ascii="Times New Roman" w:hAnsi="Times New Roman" w:cs="Times New Roman"/>
          <w:bCs/>
          <w:sz w:val="20"/>
          <w:szCs w:val="20"/>
        </w:rPr>
        <w:t>or eribulin IC</w:t>
      </w:r>
      <w:r w:rsidR="00567EC5" w:rsidRPr="00567EC5">
        <w:rPr>
          <w:rFonts w:ascii="Times New Roman" w:hAnsi="Times New Roman" w:cs="Times New Roman"/>
          <w:bCs/>
          <w:sz w:val="20"/>
          <w:szCs w:val="20"/>
          <w:vertAlign w:val="subscript"/>
        </w:rPr>
        <w:t>50</w:t>
      </w:r>
      <w:r w:rsidR="00567EC5">
        <w:rPr>
          <w:rFonts w:ascii="Times New Roman" w:hAnsi="Times New Roman" w:cs="Times New Roman"/>
          <w:bCs/>
          <w:sz w:val="20"/>
          <w:szCs w:val="20"/>
        </w:rPr>
        <w:t xml:space="preserve"> plus </w:t>
      </w:r>
      <w:r w:rsidR="00567EC5" w:rsidRPr="001D213B">
        <w:rPr>
          <w:rFonts w:ascii="Times New Roman" w:hAnsi="Times New Roman" w:cs="Times New Roman"/>
          <w:sz w:val="20"/>
          <w:szCs w:val="20"/>
        </w:rPr>
        <w:t>2 µM of olapar</w:t>
      </w:r>
      <w:r w:rsidR="00567EC5">
        <w:rPr>
          <w:rFonts w:ascii="Times New Roman" w:hAnsi="Times New Roman" w:cs="Times New Roman"/>
          <w:sz w:val="20"/>
          <w:szCs w:val="20"/>
        </w:rPr>
        <w:t>ib</w:t>
      </w:r>
      <w:r w:rsidR="00567EC5" w:rsidRPr="001D213B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567EC5">
        <w:rPr>
          <w:rFonts w:ascii="Times New Roman" w:hAnsi="Times New Roman" w:cs="Times New Roman"/>
          <w:bCs/>
          <w:sz w:val="20"/>
          <w:szCs w:val="20"/>
        </w:rPr>
        <w:t>as indicated. The an</w:t>
      </w:r>
      <w:bookmarkStart w:id="0" w:name="_GoBack"/>
      <w:bookmarkEnd w:id="0"/>
      <w:r w:rsidR="00567EC5">
        <w:rPr>
          <w:rFonts w:ascii="Times New Roman" w:hAnsi="Times New Roman" w:cs="Times New Roman"/>
          <w:bCs/>
          <w:sz w:val="20"/>
          <w:szCs w:val="20"/>
        </w:rPr>
        <w:t>alysis was performed in</w:t>
      </w:r>
      <w:r w:rsidRPr="001D213B">
        <w:rPr>
          <w:rFonts w:ascii="Times New Roman" w:hAnsi="Times New Roman" w:cs="Times New Roman"/>
          <w:bCs/>
          <w:sz w:val="20"/>
          <w:szCs w:val="20"/>
        </w:rPr>
        <w:t xml:space="preserve"> five microscopic fields per group </w:t>
      </w:r>
      <w:r w:rsidR="00364373">
        <w:rPr>
          <w:rFonts w:ascii="Times New Roman" w:hAnsi="Times New Roman" w:cs="Times New Roman"/>
          <w:bCs/>
          <w:sz w:val="20"/>
          <w:szCs w:val="20"/>
        </w:rPr>
        <w:t xml:space="preserve">as described in </w:t>
      </w:r>
      <w:r w:rsidR="00364373">
        <w:rPr>
          <w:rFonts w:ascii="Times New Roman" w:hAnsi="Times New Roman" w:cs="Times New Roman"/>
          <w:bCs/>
          <w:sz w:val="20"/>
          <w:szCs w:val="20"/>
        </w:rPr>
        <w:lastRenderedPageBreak/>
        <w:t>material and methods.</w:t>
      </w:r>
      <w:r w:rsidR="00364373" w:rsidRPr="00364373">
        <w:rPr>
          <w:rFonts w:ascii="Times New Roman" w:hAnsi="Times New Roman" w:cs="Times New Roman"/>
          <w:sz w:val="20"/>
          <w:szCs w:val="20"/>
        </w:rPr>
        <w:t xml:space="preserve"> </w:t>
      </w:r>
      <w:r w:rsidR="004D4F2B">
        <w:rPr>
          <w:rFonts w:ascii="Times New Roman" w:hAnsi="Times New Roman" w:cs="Times New Roman"/>
          <w:sz w:val="20"/>
          <w:szCs w:val="20"/>
        </w:rPr>
        <w:t>The bars</w:t>
      </w:r>
      <w:r w:rsidR="00364373">
        <w:rPr>
          <w:rFonts w:ascii="Times New Roman" w:hAnsi="Times New Roman" w:cs="Times New Roman"/>
          <w:sz w:val="20"/>
          <w:szCs w:val="20"/>
        </w:rPr>
        <w:t xml:space="preserve"> represent </w:t>
      </w:r>
      <w:r w:rsidR="004D4F2B">
        <w:rPr>
          <w:rFonts w:ascii="Times New Roman" w:hAnsi="Times New Roman" w:cs="Times New Roman"/>
          <w:sz w:val="20"/>
          <w:szCs w:val="20"/>
        </w:rPr>
        <w:t xml:space="preserve">the </w:t>
      </w:r>
      <w:r w:rsidR="00364373" w:rsidRPr="009F6A85">
        <w:rPr>
          <w:rFonts w:ascii="Times New Roman" w:hAnsi="Times New Roman" w:cs="Times New Roman"/>
          <w:sz w:val="20"/>
          <w:szCs w:val="20"/>
        </w:rPr>
        <w:t xml:space="preserve">mean </w:t>
      </w:r>
      <w:r w:rsidR="009F6A85" w:rsidRPr="009F6A85">
        <w:rPr>
          <w:rFonts w:ascii="Times New Roman" w:hAnsi="Times New Roman" w:cs="Times New Roman"/>
          <w:bCs/>
          <w:sz w:val="20"/>
          <w:szCs w:val="20"/>
        </w:rPr>
        <w:t>value of total polynucleated giant cells</w:t>
      </w:r>
      <w:r w:rsidR="009F6A85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1D213B">
        <w:rPr>
          <w:rFonts w:ascii="Times New Roman" w:hAnsi="Times New Roman" w:cs="Times New Roman"/>
          <w:bCs/>
          <w:sz w:val="20"/>
          <w:szCs w:val="20"/>
        </w:rPr>
        <w:t xml:space="preserve">± standard </w:t>
      </w:r>
      <w:r w:rsidR="00364373">
        <w:rPr>
          <w:rFonts w:ascii="Times New Roman" w:hAnsi="Times New Roman" w:cs="Times New Roman"/>
          <w:bCs/>
          <w:sz w:val="20"/>
          <w:szCs w:val="20"/>
        </w:rPr>
        <w:t>error</w:t>
      </w:r>
      <w:r w:rsidRPr="001D213B">
        <w:rPr>
          <w:rFonts w:ascii="Times New Roman" w:hAnsi="Times New Roman" w:cs="Times New Roman"/>
          <w:bCs/>
          <w:sz w:val="20"/>
          <w:szCs w:val="20"/>
        </w:rPr>
        <w:t xml:space="preserve"> (n = 3). </w:t>
      </w:r>
      <w:r w:rsidR="00364373">
        <w:rPr>
          <w:rFonts w:ascii="Times New Roman" w:hAnsi="Times New Roman" w:cs="Times New Roman"/>
          <w:bCs/>
          <w:sz w:val="20"/>
          <w:szCs w:val="20"/>
        </w:rPr>
        <w:t>Statistical differences were assessed by analysis of variance (A</w:t>
      </w:r>
      <w:r w:rsidR="00122E31">
        <w:rPr>
          <w:rFonts w:ascii="Times New Roman" w:hAnsi="Times New Roman" w:cs="Times New Roman"/>
          <w:bCs/>
          <w:sz w:val="20"/>
          <w:szCs w:val="20"/>
        </w:rPr>
        <w:t>NOVA</w:t>
      </w:r>
      <w:r w:rsidR="00364373">
        <w:rPr>
          <w:rFonts w:ascii="Times New Roman" w:hAnsi="Times New Roman" w:cs="Times New Roman"/>
          <w:bCs/>
          <w:sz w:val="20"/>
          <w:szCs w:val="20"/>
        </w:rPr>
        <w:t xml:space="preserve">), followed by t-test. </w:t>
      </w:r>
      <w:r w:rsidR="00364373">
        <w:rPr>
          <w:rFonts w:ascii="Times New Roman" w:hAnsi="Times New Roman" w:cs="Times New Roman"/>
          <w:sz w:val="20"/>
          <w:szCs w:val="20"/>
        </w:rPr>
        <w:t xml:space="preserve">Statistical significances are indicated (p values &lt;0.05). NS </w:t>
      </w:r>
      <w:r w:rsidR="00D94358">
        <w:rPr>
          <w:rFonts w:ascii="Times New Roman" w:hAnsi="Times New Roman" w:cs="Times New Roman"/>
          <w:sz w:val="20"/>
          <w:szCs w:val="20"/>
        </w:rPr>
        <w:t xml:space="preserve">indicates </w:t>
      </w:r>
      <w:r w:rsidR="00D94358" w:rsidRPr="00D94358">
        <w:rPr>
          <w:rFonts w:ascii="Times New Roman" w:hAnsi="Times New Roman" w:cs="Times New Roman"/>
          <w:sz w:val="20"/>
          <w:szCs w:val="20"/>
        </w:rPr>
        <w:t>a p&gt;0.05</w:t>
      </w:r>
      <w:r w:rsidR="00364373">
        <w:rPr>
          <w:rFonts w:ascii="Times New Roman" w:hAnsi="Times New Roman" w:cs="Times New Roman"/>
          <w:sz w:val="20"/>
          <w:szCs w:val="20"/>
        </w:rPr>
        <w:t>).</w:t>
      </w:r>
    </w:p>
    <w:p w14:paraId="72A1E30A" w14:textId="478FE933" w:rsidR="00A3268A" w:rsidRDefault="00A3268A"/>
    <w:p w14:paraId="76F21906" w14:textId="40B6F0AB" w:rsidR="00A3268A" w:rsidRDefault="00A3268A"/>
    <w:p w14:paraId="453BA2C4" w14:textId="1BE02075" w:rsidR="00A3268A" w:rsidRDefault="00A3268A"/>
    <w:p w14:paraId="0049E786" w14:textId="2E43A9F1" w:rsidR="00A3268A" w:rsidRDefault="00A3268A"/>
    <w:p w14:paraId="20C5C691" w14:textId="67A036BD" w:rsidR="00A3268A" w:rsidRDefault="00A3268A">
      <w:r>
        <w:t xml:space="preserve"> </w:t>
      </w:r>
    </w:p>
    <w:sectPr w:rsidR="00A3268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6932D7" w14:textId="77777777" w:rsidR="00A36BA6" w:rsidRDefault="00A36BA6" w:rsidP="00FF288E">
      <w:pPr>
        <w:spacing w:after="0" w:line="240" w:lineRule="auto"/>
      </w:pPr>
      <w:r>
        <w:separator/>
      </w:r>
    </w:p>
  </w:endnote>
  <w:endnote w:type="continuationSeparator" w:id="0">
    <w:p w14:paraId="6FC119CB" w14:textId="77777777" w:rsidR="00A36BA6" w:rsidRDefault="00A36BA6" w:rsidP="00FF28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25B1B9" w14:textId="77777777" w:rsidR="00A36BA6" w:rsidRDefault="00A36BA6" w:rsidP="00FF288E">
      <w:pPr>
        <w:spacing w:after="0" w:line="240" w:lineRule="auto"/>
      </w:pPr>
      <w:r>
        <w:separator/>
      </w:r>
    </w:p>
  </w:footnote>
  <w:footnote w:type="continuationSeparator" w:id="0">
    <w:p w14:paraId="65D82C96" w14:textId="77777777" w:rsidR="00A36BA6" w:rsidRDefault="00A36BA6" w:rsidP="00FF28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68A"/>
    <w:rsid w:val="00030FD2"/>
    <w:rsid w:val="000455FA"/>
    <w:rsid w:val="00111153"/>
    <w:rsid w:val="00122E31"/>
    <w:rsid w:val="0015544F"/>
    <w:rsid w:val="00246995"/>
    <w:rsid w:val="00364373"/>
    <w:rsid w:val="004D4F2B"/>
    <w:rsid w:val="00557FC8"/>
    <w:rsid w:val="00567EC5"/>
    <w:rsid w:val="006018E5"/>
    <w:rsid w:val="00692D23"/>
    <w:rsid w:val="00766D53"/>
    <w:rsid w:val="0088335C"/>
    <w:rsid w:val="008B0182"/>
    <w:rsid w:val="00950FFE"/>
    <w:rsid w:val="00955A87"/>
    <w:rsid w:val="00994C08"/>
    <w:rsid w:val="009C3F3F"/>
    <w:rsid w:val="009F6A85"/>
    <w:rsid w:val="00A3268A"/>
    <w:rsid w:val="00A36BA6"/>
    <w:rsid w:val="00C073F2"/>
    <w:rsid w:val="00D17FE3"/>
    <w:rsid w:val="00D41836"/>
    <w:rsid w:val="00D74777"/>
    <w:rsid w:val="00D94358"/>
    <w:rsid w:val="00E35619"/>
    <w:rsid w:val="00F1090F"/>
    <w:rsid w:val="00FF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B62F39"/>
  <w15:chartTrackingRefBased/>
  <w15:docId w15:val="{95CD9990-31F0-46EB-9AE7-8353AA4F1D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268A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692D23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692D23"/>
    <w:pPr>
      <w:spacing w:line="240" w:lineRule="auto"/>
    </w:pPr>
    <w:rPr>
      <w:sz w:val="20"/>
      <w:szCs w:val="20"/>
    </w:rPr>
  </w:style>
  <w:style w:type="character" w:customStyle="1" w:styleId="a5">
    <w:name w:val="批注文字 字符"/>
    <w:basedOn w:val="a0"/>
    <w:link w:val="a4"/>
    <w:uiPriority w:val="99"/>
    <w:rsid w:val="00692D23"/>
    <w:rPr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692D23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692D23"/>
    <w:rPr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88335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8335C"/>
    <w:rPr>
      <w:rFonts w:ascii="Times New Roman" w:hAnsi="Times New Roman" w:cs="Times New Roman"/>
      <w:sz w:val="18"/>
      <w:szCs w:val="18"/>
      <w:lang w:val="en-US"/>
    </w:rPr>
  </w:style>
  <w:style w:type="paragraph" w:styleId="aa">
    <w:name w:val="header"/>
    <w:basedOn w:val="a"/>
    <w:link w:val="ab"/>
    <w:uiPriority w:val="99"/>
    <w:unhideWhenUsed/>
    <w:rsid w:val="00FF2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FF288E"/>
    <w:rPr>
      <w:sz w:val="18"/>
      <w:szCs w:val="18"/>
      <w:lang w:val="en-US"/>
    </w:rPr>
  </w:style>
  <w:style w:type="paragraph" w:styleId="ac">
    <w:name w:val="footer"/>
    <w:basedOn w:val="a"/>
    <w:link w:val="ad"/>
    <w:uiPriority w:val="99"/>
    <w:unhideWhenUsed/>
    <w:rsid w:val="00FF288E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FF288E"/>
    <w:rPr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709AAA-9A73-4431-9F51-0BAD9442AE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244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Bahram Askari</dc:creator>
  <cp:keywords/>
  <dc:description/>
  <cp:lastModifiedBy>Lelia</cp:lastModifiedBy>
  <cp:revision>5</cp:revision>
  <dcterms:created xsi:type="dcterms:W3CDTF">2023-02-04T18:14:00Z</dcterms:created>
  <dcterms:modified xsi:type="dcterms:W3CDTF">2023-03-03T01:11:00Z</dcterms:modified>
</cp:coreProperties>
</file>