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8B798" w14:textId="5077CEC4" w:rsidR="00E569CF" w:rsidRPr="007167AA" w:rsidRDefault="00845945"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 xml:space="preserve">SUPPORTING </w:t>
      </w:r>
      <w:r w:rsidR="00E569CF" w:rsidRPr="007167AA">
        <w:rPr>
          <w:rFonts w:ascii="Times New Roman" w:hAnsi="Times New Roman" w:cs="Times New Roman"/>
          <w:b/>
          <w:bCs/>
          <w:szCs w:val="21"/>
        </w:rPr>
        <w:t>MATERIALS AND METHODS</w:t>
      </w:r>
    </w:p>
    <w:p w14:paraId="36B47B68" w14:textId="77999683" w:rsidR="00E569CF" w:rsidRPr="007167AA" w:rsidRDefault="00E569CF"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Mice model mouse model establishment</w:t>
      </w:r>
    </w:p>
    <w:p w14:paraId="688473CC" w14:textId="77777777" w:rsidR="00E569CF" w:rsidRPr="007167AA" w:rsidRDefault="00E569CF"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The </w:t>
      </w:r>
      <w:proofErr w:type="spellStart"/>
      <w:r w:rsidRPr="007167AA">
        <w:rPr>
          <w:rFonts w:ascii="Times New Roman" w:hAnsi="Times New Roman" w:cs="Times New Roman"/>
          <w:szCs w:val="21"/>
        </w:rPr>
        <w:t>ob</w:t>
      </w:r>
      <w:proofErr w:type="spellEnd"/>
      <w:r w:rsidRPr="007167AA">
        <w:rPr>
          <w:rFonts w:ascii="Times New Roman" w:hAnsi="Times New Roman" w:cs="Times New Roman" w:hint="eastAsia"/>
          <w:szCs w:val="21"/>
        </w:rPr>
        <w:t>/</w:t>
      </w:r>
      <w:proofErr w:type="spellStart"/>
      <w:r w:rsidRPr="007167AA">
        <w:rPr>
          <w:rFonts w:ascii="Times New Roman" w:hAnsi="Times New Roman" w:cs="Times New Roman"/>
          <w:szCs w:val="21"/>
        </w:rPr>
        <w:t>ob</w:t>
      </w:r>
      <w:proofErr w:type="spellEnd"/>
      <w:r w:rsidRPr="007167AA">
        <w:rPr>
          <w:rFonts w:ascii="Times New Roman" w:hAnsi="Times New Roman" w:cs="Times New Roman"/>
          <w:szCs w:val="21"/>
        </w:rPr>
        <w:t xml:space="preserve"> mice aged 4 weeks purchased from the Shanghai Model Organisms Center were randomized into three groups,</w:t>
      </w:r>
      <w:r w:rsidRPr="007167AA">
        <w:rPr>
          <w:szCs w:val="21"/>
        </w:rPr>
        <w:t xml:space="preserve"> </w:t>
      </w:r>
      <w:r w:rsidRPr="007167AA">
        <w:rPr>
          <w:rFonts w:ascii="Times New Roman" w:hAnsi="Times New Roman" w:cs="Times New Roman"/>
          <w:szCs w:val="21"/>
        </w:rPr>
        <w:t>ten mice per each group. Control mice group (high-fat diet-fed mice treated with NS by oral gavage once daily for another 4 weeks),</w:t>
      </w:r>
      <w:r w:rsidRPr="007167AA">
        <w:rPr>
          <w:szCs w:val="21"/>
        </w:rPr>
        <w:t xml:space="preserve"> </w:t>
      </w:r>
      <w:bookmarkStart w:id="0" w:name="_Hlk82029055"/>
      <w:r w:rsidRPr="007167AA">
        <w:rPr>
          <w:rFonts w:ascii="Times New Roman" w:hAnsi="Times New Roman" w:cs="Times New Roman"/>
          <w:szCs w:val="21"/>
        </w:rPr>
        <w:t>Metformin</w:t>
      </w:r>
      <w:bookmarkEnd w:id="0"/>
      <w:r w:rsidRPr="007167AA">
        <w:rPr>
          <w:rFonts w:ascii="Times New Roman" w:hAnsi="Times New Roman" w:cs="Times New Roman"/>
          <w:szCs w:val="21"/>
        </w:rPr>
        <w:t xml:space="preserve"> mice group (high-fat diet-fed mice treated with Metformin 50 mg/kg/day</w:t>
      </w:r>
      <w:r w:rsidRPr="007167AA">
        <w:rPr>
          <w:szCs w:val="21"/>
        </w:rPr>
        <w:t xml:space="preserve"> </w:t>
      </w:r>
      <w:r w:rsidRPr="007167AA">
        <w:rPr>
          <w:rFonts w:ascii="Times New Roman" w:hAnsi="Times New Roman" w:cs="Times New Roman"/>
          <w:szCs w:val="21"/>
        </w:rPr>
        <w:t xml:space="preserve">dissolved </w:t>
      </w:r>
      <w:r w:rsidRPr="007167AA">
        <w:rPr>
          <w:rFonts w:ascii="Times New Roman" w:hAnsi="Times New Roman" w:cs="Times New Roman" w:hint="eastAsia"/>
          <w:szCs w:val="21"/>
        </w:rPr>
        <w:t>in</w:t>
      </w:r>
      <w:r w:rsidRPr="007167AA">
        <w:rPr>
          <w:rFonts w:ascii="Times New Roman" w:hAnsi="Times New Roman" w:cs="Times New Roman"/>
          <w:szCs w:val="21"/>
        </w:rPr>
        <w:t xml:space="preserve"> NS </w:t>
      </w:r>
      <w:bookmarkStart w:id="1" w:name="_Hlk82426986"/>
      <w:r w:rsidRPr="007167AA">
        <w:rPr>
          <w:rFonts w:ascii="Times New Roman" w:hAnsi="Times New Roman" w:cs="Times New Roman"/>
          <w:szCs w:val="21"/>
        </w:rPr>
        <w:t>by oral gavage once daily for another 4 weeks</w:t>
      </w:r>
      <w:bookmarkEnd w:id="1"/>
      <w:r w:rsidRPr="007167AA">
        <w:rPr>
          <w:rFonts w:ascii="Times New Roman" w:hAnsi="Times New Roman" w:cs="Times New Roman"/>
          <w:szCs w:val="21"/>
        </w:rPr>
        <w:t xml:space="preserve">) and </w:t>
      </w:r>
      <w:bookmarkStart w:id="2" w:name="_Hlk82029072"/>
      <w:r w:rsidRPr="007167AA">
        <w:rPr>
          <w:rFonts w:ascii="Times New Roman" w:hAnsi="Times New Roman" w:cs="Times New Roman"/>
          <w:szCs w:val="21"/>
        </w:rPr>
        <w:t>Dapagliflozin</w:t>
      </w:r>
      <w:bookmarkEnd w:id="2"/>
      <w:r w:rsidRPr="007167AA">
        <w:rPr>
          <w:rFonts w:ascii="Times New Roman" w:hAnsi="Times New Roman" w:cs="Times New Roman"/>
          <w:szCs w:val="21"/>
        </w:rPr>
        <w:t xml:space="preserve"> mice group</w:t>
      </w:r>
      <w:r w:rsidRPr="007167AA">
        <w:rPr>
          <w:szCs w:val="21"/>
        </w:rPr>
        <w:t xml:space="preserve"> </w:t>
      </w:r>
      <w:bookmarkStart w:id="3" w:name="_Hlk82029021"/>
      <w:r w:rsidRPr="007167AA">
        <w:rPr>
          <w:rFonts w:ascii="Times New Roman" w:hAnsi="Times New Roman" w:cs="Times New Roman"/>
          <w:szCs w:val="21"/>
        </w:rPr>
        <w:t>(high-fat diet-fed mice treated with Dapagliflozin 10 mg/kg/day</w:t>
      </w:r>
      <w:r w:rsidRPr="007167AA">
        <w:rPr>
          <w:szCs w:val="21"/>
        </w:rPr>
        <w:t xml:space="preserve"> </w:t>
      </w:r>
      <w:r w:rsidRPr="007167AA">
        <w:rPr>
          <w:rFonts w:ascii="Times New Roman" w:hAnsi="Times New Roman" w:cs="Times New Roman"/>
          <w:szCs w:val="21"/>
        </w:rPr>
        <w:t>dissolved in NS</w:t>
      </w:r>
      <w:r w:rsidRPr="007167AA">
        <w:rPr>
          <w:szCs w:val="21"/>
        </w:rPr>
        <w:t xml:space="preserve"> </w:t>
      </w:r>
      <w:r w:rsidRPr="007167AA">
        <w:rPr>
          <w:rFonts w:ascii="Times New Roman" w:hAnsi="Times New Roman" w:cs="Times New Roman"/>
          <w:szCs w:val="21"/>
        </w:rPr>
        <w:t>by oral gavage once daily for another 4 weeks)</w:t>
      </w:r>
      <w:bookmarkEnd w:id="3"/>
      <w:r w:rsidRPr="007167AA">
        <w:rPr>
          <w:rFonts w:ascii="Times New Roman" w:hAnsi="Times New Roman" w:cs="Times New Roman"/>
          <w:szCs w:val="21"/>
        </w:rPr>
        <w:t>. All animals were fed a</w:t>
      </w:r>
      <w:r w:rsidRPr="007167AA">
        <w:rPr>
          <w:szCs w:val="21"/>
        </w:rPr>
        <w:t xml:space="preserve"> </w:t>
      </w:r>
      <w:r w:rsidRPr="007167AA">
        <w:rPr>
          <w:rFonts w:ascii="Times New Roman" w:hAnsi="Times New Roman" w:cs="Times New Roman"/>
          <w:szCs w:val="21"/>
        </w:rPr>
        <w:t xml:space="preserve">high fat dietary (D09100310 Rodent Diets With 40 kcal% Fat </w:t>
      </w:r>
      <w:bookmarkStart w:id="4" w:name="_Hlk82028957"/>
      <w:r w:rsidRPr="007167AA">
        <w:rPr>
          <w:rFonts w:ascii="Times New Roman" w:hAnsi="Times New Roman" w:cs="Times New Roman"/>
          <w:szCs w:val="21"/>
        </w:rPr>
        <w:t>(</w:t>
      </w:r>
      <w:bookmarkEnd w:id="4"/>
      <w:r w:rsidRPr="007167AA">
        <w:rPr>
          <w:rFonts w:ascii="Times New Roman" w:hAnsi="Times New Roman" w:cs="Times New Roman"/>
          <w:szCs w:val="21"/>
        </w:rPr>
        <w:t>Palm Oil) 20 kcal% Fructose and 2% Cholesterol Formulated by: Research Diets, Inc.) were</w:t>
      </w:r>
      <w:r w:rsidRPr="007167AA">
        <w:rPr>
          <w:rFonts w:ascii="Times New Roman" w:hAnsi="Times New Roman" w:cs="Times New Roman" w:hint="eastAsia"/>
          <w:szCs w:val="21"/>
        </w:rPr>
        <w:t xml:space="preserve"> </w:t>
      </w:r>
      <w:r w:rsidRPr="007167AA">
        <w:rPr>
          <w:rFonts w:ascii="Times New Roman" w:hAnsi="Times New Roman" w:cs="Times New Roman"/>
          <w:szCs w:val="21"/>
        </w:rPr>
        <w:t>housed, five per cage, in a climate-controlled</w:t>
      </w:r>
      <w:r w:rsidRPr="007167AA">
        <w:rPr>
          <w:rFonts w:ascii="Times New Roman" w:hAnsi="Times New Roman" w:cs="Times New Roman" w:hint="eastAsia"/>
          <w:szCs w:val="21"/>
        </w:rPr>
        <w:t xml:space="preserve"> </w:t>
      </w:r>
      <w:r w:rsidRPr="007167AA">
        <w:rPr>
          <w:rFonts w:ascii="Times New Roman" w:hAnsi="Times New Roman" w:cs="Times New Roman"/>
          <w:szCs w:val="21"/>
        </w:rPr>
        <w:t>animal facility (temperature 22±1℃ and humidity 65%-70%) and maintained on a 12-hour</w:t>
      </w:r>
      <w:r w:rsidRPr="007167AA">
        <w:rPr>
          <w:rFonts w:ascii="Times New Roman" w:hAnsi="Times New Roman" w:cs="Times New Roman" w:hint="eastAsia"/>
          <w:szCs w:val="21"/>
        </w:rPr>
        <w:t xml:space="preserve"> </w:t>
      </w:r>
      <w:r w:rsidRPr="007167AA">
        <w:rPr>
          <w:rFonts w:ascii="Times New Roman" w:hAnsi="Times New Roman" w:cs="Times New Roman"/>
          <w:szCs w:val="21"/>
        </w:rPr>
        <w:t>light/dark cycle, with food and water available ad libitum (Fig.1A). After study, all animals were anesthetized by isoflurane inhalation (1.5%-2%) and then euthanized by cervical dislocation.</w:t>
      </w:r>
    </w:p>
    <w:p w14:paraId="4D95E493" w14:textId="4D47BE57" w:rsidR="00D322AE" w:rsidRPr="007167AA" w:rsidRDefault="00F557DD"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In vivo MRI acquisition</w:t>
      </w:r>
    </w:p>
    <w:p w14:paraId="022C2F2A" w14:textId="2FF14084"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We used a home-built 90 mm diameter Helmholtz volume coil for signal excitation, and an inductively coupled 25 mm diameter surface coil for signal reception. Anesthesia was induced with 3%–5% isoflurane in O</w:t>
      </w:r>
      <w:r w:rsidRPr="007167AA">
        <w:rPr>
          <w:rFonts w:ascii="Times New Roman" w:hAnsi="Times New Roman" w:cs="Times New Roman"/>
          <w:szCs w:val="21"/>
          <w:vertAlign w:val="subscript"/>
        </w:rPr>
        <w:t>2</w:t>
      </w:r>
      <w:r w:rsidRPr="007167AA">
        <w:rPr>
          <w:rFonts w:ascii="Times New Roman" w:hAnsi="Times New Roman" w:cs="Times New Roman"/>
          <w:szCs w:val="21"/>
        </w:rPr>
        <w:t>/air (1:4), and animals were endotracheally intubated for mechanical ventilation. For fMRI-based detection of activation in response to glucose tasting, two polyethylene tubes were placed above the tongue. The polyethylene tubes enabled glucose delivery and water rinsing while the animal was inside the MR scanner.</w:t>
      </w:r>
      <w:r w:rsidRPr="007167AA">
        <w:rPr>
          <w:szCs w:val="21"/>
        </w:rPr>
        <w:t xml:space="preserve"> </w:t>
      </w:r>
      <w:r w:rsidRPr="007167AA">
        <w:rPr>
          <w:rFonts w:ascii="Times New Roman" w:hAnsi="Times New Roman" w:cs="Times New Roman"/>
          <w:szCs w:val="21"/>
        </w:rPr>
        <w:t>After animals were positioned inside the scanner, anesthesia was reduced to 1.5% isoflurane in O</w:t>
      </w:r>
      <w:r w:rsidRPr="007167AA">
        <w:rPr>
          <w:rFonts w:ascii="Times New Roman" w:hAnsi="Times New Roman" w:cs="Times New Roman"/>
          <w:szCs w:val="21"/>
          <w:vertAlign w:val="subscript"/>
        </w:rPr>
        <w:t>2</w:t>
      </w:r>
      <w:r w:rsidRPr="007167AA">
        <w:rPr>
          <w:rFonts w:ascii="Times New Roman" w:hAnsi="Times New Roman" w:cs="Times New Roman"/>
          <w:szCs w:val="21"/>
        </w:rPr>
        <w:t xml:space="preserve">/air (1:4). We maintained anesthesia at 1.5% during the entire MRI protocol. </w:t>
      </w:r>
    </w:p>
    <w:p w14:paraId="741A025F" w14:textId="620B7615"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We first acquired anatomical images using a balanced steady state free precession sequence, with four phase cycling angles (0°, 90°, 180°, and 270°), repetition time (TR)/echo time (TE) = 5/2.5ms, flip angle = 20°, field-of-view (FOV) = 40 × 32 × 24 mm, and matrix size = 160 × 128 × 96 voxels (scan time: 10 min). The resulting spatial resolution of these anatomical images was 250μm in all directions.</w:t>
      </w:r>
      <w:r w:rsidR="00C67454">
        <w:rPr>
          <w:rFonts w:ascii="Times New Roman" w:hAnsi="Times New Roman" w:cs="Times New Roman"/>
          <w:szCs w:val="21"/>
        </w:rPr>
        <w:t xml:space="preserve"> </w:t>
      </w:r>
      <w:r w:rsidRPr="007167AA">
        <w:rPr>
          <w:rFonts w:ascii="Times New Roman" w:hAnsi="Times New Roman" w:cs="Times New Roman"/>
          <w:szCs w:val="21"/>
        </w:rPr>
        <w:t xml:space="preserve">Next, we conducted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for which we used a 3D gradient echo planar imaging (EPI) sequence. The read-out and first phase-encode dimensions were covered in a single-shot EPI, while linear phase encoding was used for the second phase-encode dimension. We acquired 800 images with an acquisition time of 862.4ms per volume (total scan time: 11 min and 30 s), and TR/TE = </w:t>
      </w:r>
      <w:r w:rsidRPr="007167AA">
        <w:rPr>
          <w:rFonts w:ascii="Times New Roman" w:hAnsi="Times New Roman" w:cs="Times New Roman"/>
          <w:szCs w:val="21"/>
        </w:rPr>
        <w:lastRenderedPageBreak/>
        <w:t>30.8/16ms, flip angle = 13°, FOV = 36 × 36 × 16.8 mm, matrix size = 60 × 60 × 28, and thus an isotropic spatial resolution of 600 µm.</w:t>
      </w:r>
      <w:r w:rsidRPr="007167AA">
        <w:rPr>
          <w:rFonts w:ascii="Times New Roman" w:hAnsi="Times New Roman" w:cs="Times New Roman" w:hint="eastAsia"/>
          <w:szCs w:val="21"/>
        </w:rPr>
        <w:t xml:space="preserve"> </w:t>
      </w:r>
    </w:p>
    <w:p w14:paraId="20FC17DD" w14:textId="1697FD2B" w:rsidR="00F557DD" w:rsidRPr="007167AA" w:rsidRDefault="00F557DD"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Anatomical MRI data</w:t>
      </w:r>
    </w:p>
    <w:p w14:paraId="4AE72563" w14:textId="77777777"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The individual anatomical images were masked and registered to an anatomical MRI template that was matched to a 3D model of a rat brain atlas (Paxinos &amp; Watson, 2007), using the affine intermodal image registration tool FLIRT (FMRIBs Linear Image Registration Tool, v6.0). Co-registered anatomical images were averaged to acquire an anatomical template in atlas space. The original individual anatomical images were registered to this anatomical template using FLIRT followed by FNIRT (FMRIBs Nonlinear Image Registration Tool). Inverse coefficients were calculated to register regions of interest (ROIs) from atlas space to individual anatomical space. ROIs extracted from the rat brain atlas (Paxinos &amp; Watson, 2007) consisted of the left and right ventral tegmental area (VTA), nucleus accumbens (NAcc), insula, medial hypothalamus (MH), lateral hypothalamus (LH), medial prefrontal cortex (mPFC), OFC, caudate putamen (</w:t>
      </w:r>
      <w:proofErr w:type="spellStart"/>
      <w:r w:rsidRPr="007167AA">
        <w:rPr>
          <w:rFonts w:ascii="Times New Roman" w:hAnsi="Times New Roman" w:cs="Times New Roman"/>
          <w:szCs w:val="21"/>
        </w:rPr>
        <w:t>CPu</w:t>
      </w:r>
      <w:proofErr w:type="spellEnd"/>
      <w:r w:rsidRPr="007167AA">
        <w:rPr>
          <w:rFonts w:ascii="Times New Roman" w:hAnsi="Times New Roman" w:cs="Times New Roman"/>
          <w:szCs w:val="21"/>
        </w:rPr>
        <w:t>), and nucleus of the solitary tract (NTS).</w:t>
      </w:r>
    </w:p>
    <w:p w14:paraId="62F0CCA1" w14:textId="05D1D1A2" w:rsidR="00F557DD" w:rsidRPr="007167AA" w:rsidRDefault="00F557DD"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Resting-state fMRI data processing</w:t>
      </w:r>
    </w:p>
    <w:p w14:paraId="6BAC8F19" w14:textId="5A0A5D49"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Using FLIRT,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images were registered to a mean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image of a single representative mouse. Co-registered images were averaged to create an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template specific for this batch of animals. To exclude tissue outside the brain, brain masks were obtained by applying the Brain Extraction Tool from FSL to the template. Since this tool is difficult to apply to rodent resting-state data, the brain mask for the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template was somewhat increased in size, resulting in inclusion of some non-brain voxels. To obtain a more accurate brain mask, the initial brain mask was registered to individual space using FLIRT, and the mean image of each mouse's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scan was masked using this initial mask. The individual masked mean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images were subsequently registered into </w:t>
      </w:r>
      <w:proofErr w:type="spellStart"/>
      <w:r w:rsidRPr="007167AA">
        <w:rPr>
          <w:rFonts w:ascii="Times New Roman" w:hAnsi="Times New Roman" w:cs="Times New Roman"/>
          <w:szCs w:val="21"/>
        </w:rPr>
        <w:t>Waxholm</w:t>
      </w:r>
      <w:proofErr w:type="spellEnd"/>
      <w:r w:rsidRPr="007167AA">
        <w:rPr>
          <w:rFonts w:ascii="Times New Roman" w:hAnsi="Times New Roman" w:cs="Times New Roman"/>
          <w:szCs w:val="21"/>
        </w:rPr>
        <w:t xml:space="preserve"> atlas space (Papp, </w:t>
      </w:r>
      <w:proofErr w:type="spellStart"/>
      <w:r w:rsidRPr="007167AA">
        <w:rPr>
          <w:rFonts w:ascii="Times New Roman" w:hAnsi="Times New Roman" w:cs="Times New Roman"/>
          <w:szCs w:val="21"/>
        </w:rPr>
        <w:t>Leergaard</w:t>
      </w:r>
      <w:proofErr w:type="spellEnd"/>
      <w:r w:rsidRPr="007167AA">
        <w:rPr>
          <w:rFonts w:ascii="Times New Roman" w:hAnsi="Times New Roman" w:cs="Times New Roman"/>
          <w:szCs w:val="21"/>
        </w:rPr>
        <w:t xml:space="preserve">, Calabrese, Johnson, &amp; </w:t>
      </w:r>
      <w:proofErr w:type="spellStart"/>
      <w:r w:rsidRPr="007167AA">
        <w:rPr>
          <w:rFonts w:ascii="Times New Roman" w:hAnsi="Times New Roman" w:cs="Times New Roman"/>
          <w:szCs w:val="21"/>
        </w:rPr>
        <w:t>Bjaalie</w:t>
      </w:r>
      <w:proofErr w:type="spellEnd"/>
      <w:r w:rsidRPr="007167AA">
        <w:rPr>
          <w:rFonts w:ascii="Times New Roman" w:hAnsi="Times New Roman" w:cs="Times New Roman"/>
          <w:szCs w:val="21"/>
        </w:rPr>
        <w:t xml:space="preserve">, 2014) using FLIRT, and a mean of these registered images was calculated to create a reference image in atlas space. Using FNIRT, the masked individual mean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images were nonlinearly registered to this reference image, and inverse coefficients were calculated to register the optimized masks from atlas space to individual fMRI space. These optimized masks were obtained by averaging the co-registered individual images in reference space, and subsequently thresholding this average image to exclude all nonbrain voxels. The resulting masks optimally delineated the brain and were registered into individual space using the previously calculated coefficients. The ROIs were registered into individual space using the same coefficients. The individual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-fMRI data as well as the ROIs in individual space was masked using the optimized final masks.</w:t>
      </w:r>
    </w:p>
    <w:p w14:paraId="279A1640" w14:textId="77777777" w:rsidR="00F557DD" w:rsidRPr="007167AA" w:rsidRDefault="00F557DD"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Resting-state fMRI data analysis-Whole-brain connectivity maps</w:t>
      </w:r>
    </w:p>
    <w:p w14:paraId="1A92BF9F" w14:textId="77777777"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Temporal signal-to-noise ratio (</w:t>
      </w:r>
      <w:proofErr w:type="spellStart"/>
      <w:r w:rsidRPr="007167AA">
        <w:rPr>
          <w:rFonts w:ascii="Times New Roman" w:hAnsi="Times New Roman" w:cs="Times New Roman"/>
          <w:szCs w:val="21"/>
        </w:rPr>
        <w:t>tSNR</w:t>
      </w:r>
      <w:proofErr w:type="spellEnd"/>
      <w:r w:rsidRPr="007167AA">
        <w:rPr>
          <w:rFonts w:ascii="Times New Roman" w:hAnsi="Times New Roman" w:cs="Times New Roman"/>
          <w:szCs w:val="21"/>
        </w:rPr>
        <w:t xml:space="preserve">) was calculated per individual animal using FSLMATHS as implemented in FSL. The resulting </w:t>
      </w:r>
      <w:proofErr w:type="spellStart"/>
      <w:r w:rsidRPr="007167AA">
        <w:rPr>
          <w:rFonts w:ascii="Times New Roman" w:hAnsi="Times New Roman" w:cs="Times New Roman"/>
          <w:szCs w:val="21"/>
        </w:rPr>
        <w:t>tSNR</w:t>
      </w:r>
      <w:proofErr w:type="spellEnd"/>
      <w:r w:rsidRPr="007167AA">
        <w:rPr>
          <w:rFonts w:ascii="Times New Roman" w:hAnsi="Times New Roman" w:cs="Times New Roman"/>
          <w:szCs w:val="21"/>
        </w:rPr>
        <w:t xml:space="preserve"> map was used to mask out voxels with </w:t>
      </w:r>
      <w:proofErr w:type="spellStart"/>
      <w:r w:rsidRPr="007167AA">
        <w:rPr>
          <w:rFonts w:ascii="Times New Roman" w:hAnsi="Times New Roman" w:cs="Times New Roman"/>
          <w:szCs w:val="21"/>
        </w:rPr>
        <w:t>tSNR</w:t>
      </w:r>
      <w:proofErr w:type="spellEnd"/>
      <w:r w:rsidRPr="007167AA">
        <w:rPr>
          <w:rFonts w:ascii="Times New Roman" w:hAnsi="Times New Roman" w:cs="Times New Roman"/>
          <w:szCs w:val="21"/>
        </w:rPr>
        <w:t xml:space="preserve"> &lt; 10 and this mask was applied to the 4D filtered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data and to the registered ROIs. This resulted in occasional exclusion of individual voxels from ROIs. Functional connectivity maps displaying the Fisher-transformed z’ of Pearson correlation coefficient r were calculated using </w:t>
      </w:r>
      <w:proofErr w:type="spellStart"/>
      <w:r w:rsidRPr="007167AA">
        <w:rPr>
          <w:rFonts w:ascii="Times New Roman" w:hAnsi="Times New Roman" w:cs="Times New Roman"/>
          <w:szCs w:val="21"/>
        </w:rPr>
        <w:t>fcmap</w:t>
      </w:r>
      <w:proofErr w:type="spellEnd"/>
      <w:r w:rsidRPr="007167AA">
        <w:rPr>
          <w:rFonts w:ascii="Times New Roman" w:hAnsi="Times New Roman" w:cs="Times New Roman"/>
          <w:szCs w:val="21"/>
        </w:rPr>
        <w:t xml:space="preserve"> as provided by FSL, with the left or right VTA, NAcc, insula, MH, LH, mPFC, OFC, </w:t>
      </w:r>
      <w:proofErr w:type="spellStart"/>
      <w:r w:rsidRPr="007167AA">
        <w:rPr>
          <w:rFonts w:ascii="Times New Roman" w:hAnsi="Times New Roman" w:cs="Times New Roman"/>
          <w:szCs w:val="21"/>
        </w:rPr>
        <w:t>CPu</w:t>
      </w:r>
      <w:proofErr w:type="spellEnd"/>
      <w:r w:rsidRPr="007167AA">
        <w:rPr>
          <w:rFonts w:ascii="Times New Roman" w:hAnsi="Times New Roman" w:cs="Times New Roman"/>
          <w:szCs w:val="21"/>
        </w:rPr>
        <w:t>, or NTS as seed ROI. These individual functional connectivity maps were registered to the reference image in atlas space, in order to perform group analysis. Mean seed-to-whole-brain functional connectivity maps were calculated for food-restricted animals and for ad libitum-fed animals using FSLMATHS.</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Mean seed-to-whole-brain functional connectivity maps were calculated for </w:t>
      </w:r>
      <w:r w:rsidRPr="007167AA">
        <w:rPr>
          <w:rFonts w:ascii="Times New Roman" w:hAnsi="Times New Roman" w:cs="Times New Roman" w:hint="eastAsia"/>
          <w:szCs w:val="21"/>
        </w:rPr>
        <w:t>control</w:t>
      </w:r>
      <w:r w:rsidRPr="007167AA">
        <w:rPr>
          <w:rFonts w:ascii="Times New Roman" w:hAnsi="Times New Roman" w:cs="Times New Roman"/>
          <w:szCs w:val="21"/>
        </w:rPr>
        <w:t xml:space="preserve"> mice groups and for medicine treatments mice groups using FSLMATHS.</w:t>
      </w:r>
    </w:p>
    <w:p w14:paraId="0E4C2777" w14:textId="2AD1AF7C" w:rsidR="00F557DD" w:rsidRPr="007167AA" w:rsidRDefault="00F557DD" w:rsidP="007167AA">
      <w:pPr>
        <w:spacing w:line="360" w:lineRule="auto"/>
        <w:rPr>
          <w:rFonts w:ascii="Times New Roman" w:hAnsi="Times New Roman" w:cs="Times New Roman"/>
          <w:b/>
          <w:bCs/>
          <w:szCs w:val="21"/>
        </w:rPr>
      </w:pPr>
      <w:bookmarkStart w:id="5" w:name="_Hlk103618953"/>
      <w:r w:rsidRPr="007167AA">
        <w:rPr>
          <w:rFonts w:ascii="Times New Roman" w:hAnsi="Times New Roman" w:cs="Times New Roman"/>
          <w:b/>
          <w:bCs/>
          <w:szCs w:val="21"/>
        </w:rPr>
        <w:t>Resting-state fMRI data analysis-ROI analyses</w:t>
      </w:r>
      <w:bookmarkEnd w:id="5"/>
    </w:p>
    <w:p w14:paraId="19CC6F35" w14:textId="77777777"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Average functional connectivity between specific ROIs were compared among the different groups. We assessed functional connectivity between homologous ROIs in both hemispheres (inter-hemispheric functional connectivity) as well as between ROIs within hemispheres</w:t>
      </w:r>
      <w:r w:rsidRPr="007167AA">
        <w:rPr>
          <w:szCs w:val="21"/>
        </w:rPr>
        <w:t xml:space="preserve"> </w:t>
      </w:r>
      <w:r w:rsidRPr="007167AA">
        <w:rPr>
          <w:rFonts w:ascii="Times New Roman" w:hAnsi="Times New Roman" w:cs="Times New Roman"/>
          <w:szCs w:val="21"/>
        </w:rPr>
        <w:t xml:space="preserve">(intra-hemispheric functional connectivity). To statistically compare functional connectivity values and signal amplitude values on a group level in the control mice group data, we performed a linear mixed model analysis within the </w:t>
      </w:r>
      <w:proofErr w:type="spellStart"/>
      <w:r w:rsidRPr="007167AA">
        <w:rPr>
          <w:rFonts w:ascii="Times New Roman" w:hAnsi="Times New Roman" w:cs="Times New Roman"/>
          <w:szCs w:val="21"/>
        </w:rPr>
        <w:t>nlme</w:t>
      </w:r>
      <w:proofErr w:type="spellEnd"/>
      <w:r w:rsidRPr="007167AA">
        <w:rPr>
          <w:rFonts w:ascii="Times New Roman" w:hAnsi="Times New Roman" w:cs="Times New Roman"/>
          <w:szCs w:val="21"/>
        </w:rPr>
        <w:t xml:space="preserve"> package (Pinheiro, Bates, </w:t>
      </w:r>
      <w:proofErr w:type="spellStart"/>
      <w:r w:rsidRPr="007167AA">
        <w:rPr>
          <w:rFonts w:ascii="Times New Roman" w:hAnsi="Times New Roman" w:cs="Times New Roman"/>
          <w:szCs w:val="21"/>
        </w:rPr>
        <w:t>DebRoy</w:t>
      </w:r>
      <w:proofErr w:type="spellEnd"/>
      <w:r w:rsidRPr="007167AA">
        <w:rPr>
          <w:rFonts w:ascii="Times New Roman" w:hAnsi="Times New Roman" w:cs="Times New Roman"/>
          <w:szCs w:val="21"/>
        </w:rPr>
        <w:t>, Sarkar, &amp; R core team, 2018) with the factor group (Metformin or Dapagliflozin) as between-subject variable and with correction for multiple comparison.</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For the data combined, we performed a linear mixed model analysis with correction for multiple comparisons within the </w:t>
      </w:r>
      <w:proofErr w:type="spellStart"/>
      <w:r w:rsidRPr="007167AA">
        <w:rPr>
          <w:rFonts w:ascii="Times New Roman" w:hAnsi="Times New Roman" w:cs="Times New Roman"/>
          <w:szCs w:val="21"/>
        </w:rPr>
        <w:t>nlme</w:t>
      </w:r>
      <w:proofErr w:type="spellEnd"/>
      <w:r w:rsidRPr="007167AA">
        <w:rPr>
          <w:rFonts w:ascii="Times New Roman" w:hAnsi="Times New Roman" w:cs="Times New Roman"/>
          <w:szCs w:val="21"/>
        </w:rPr>
        <w:t xml:space="preserve"> package (Pinheiro et al., 2018) with the factor group (Metformin or Dapagliflozin) as between-subject variable and the factor time as within-subject variable. In all mixed models, random effects were modelled hierarchically with the factor ROI (or connection) nested within the factor rat, to correct for multiple connections measured within the same animal. Examples of the linear mixed model software code used for the current analyses as well as data acquired in this study are available online (https://github.com/wmotte/fcfood). Comparison of functional connectivity (intra- and inter-</w:t>
      </w:r>
      <w:r w:rsidRPr="007167AA">
        <w:rPr>
          <w:szCs w:val="21"/>
        </w:rPr>
        <w:t xml:space="preserve"> </w:t>
      </w:r>
      <w:r w:rsidRPr="007167AA">
        <w:rPr>
          <w:rFonts w:ascii="Times New Roman" w:hAnsi="Times New Roman" w:cs="Times New Roman"/>
          <w:szCs w:val="21"/>
        </w:rPr>
        <w:t xml:space="preserve">hemispheric) between groups was done for ROIs that are known to be involved in the regulation of eating behavior. These ROIs included the VTA, NAcc, insula, MH, LH, mPFC, OFC, </w:t>
      </w:r>
      <w:proofErr w:type="spellStart"/>
      <w:r w:rsidRPr="007167AA">
        <w:rPr>
          <w:rFonts w:ascii="Times New Roman" w:hAnsi="Times New Roman" w:cs="Times New Roman"/>
          <w:szCs w:val="21"/>
        </w:rPr>
        <w:t>CPu</w:t>
      </w:r>
      <w:proofErr w:type="spellEnd"/>
      <w:r w:rsidRPr="007167AA">
        <w:rPr>
          <w:rFonts w:ascii="Times New Roman" w:hAnsi="Times New Roman" w:cs="Times New Roman"/>
          <w:szCs w:val="21"/>
        </w:rPr>
        <w:t>, and NTS. This was done for control mice group data to assess the status and for medicine treatments data to assess the influence.</w:t>
      </w:r>
    </w:p>
    <w:p w14:paraId="54173801" w14:textId="635A199E" w:rsidR="00F557DD" w:rsidRPr="007167AA" w:rsidRDefault="002959F5"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Resting-state fMRI data analysis-Fractional amplitude of low-frequency fluctuations</w:t>
      </w:r>
    </w:p>
    <w:p w14:paraId="73F9361A" w14:textId="77777777" w:rsidR="00F557DD" w:rsidRPr="007167AA" w:rsidRDefault="00F557DD"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We transformed the time series of the unfiltered motion-corrected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data to a frequency domain using </w:t>
      </w:r>
      <w:proofErr w:type="spellStart"/>
      <w:r w:rsidRPr="007167AA">
        <w:rPr>
          <w:rFonts w:ascii="Times New Roman" w:hAnsi="Times New Roman" w:cs="Times New Roman"/>
          <w:szCs w:val="21"/>
        </w:rPr>
        <w:t>fslpspec</w:t>
      </w:r>
      <w:proofErr w:type="spellEnd"/>
      <w:r w:rsidRPr="007167AA">
        <w:rPr>
          <w:rFonts w:ascii="Times New Roman" w:hAnsi="Times New Roman" w:cs="Times New Roman"/>
          <w:szCs w:val="21"/>
        </w:rPr>
        <w:t xml:space="preserve"> as provided by FSL. The </w:t>
      </w:r>
      <w:proofErr w:type="spellStart"/>
      <w:r w:rsidRPr="007167AA">
        <w:rPr>
          <w:rFonts w:ascii="Times New Roman" w:hAnsi="Times New Roman" w:cs="Times New Roman"/>
          <w:szCs w:val="21"/>
        </w:rPr>
        <w:t>rs</w:t>
      </w:r>
      <w:proofErr w:type="spellEnd"/>
      <w:r w:rsidRPr="007167AA">
        <w:rPr>
          <w:rFonts w:ascii="Times New Roman" w:hAnsi="Times New Roman" w:cs="Times New Roman"/>
          <w:szCs w:val="21"/>
        </w:rPr>
        <w:t xml:space="preserve">-fMRI data were temporally band-pass filtered (0.01 &lt; Hz &lt; 0.1). Power spectra were calculated in </w:t>
      </w:r>
      <w:proofErr w:type="spellStart"/>
      <w:r w:rsidRPr="007167AA">
        <w:rPr>
          <w:rFonts w:ascii="Times New Roman" w:hAnsi="Times New Roman" w:cs="Times New Roman"/>
          <w:szCs w:val="21"/>
        </w:rPr>
        <w:t>fslpspec</w:t>
      </w:r>
      <w:proofErr w:type="spellEnd"/>
      <w:r w:rsidRPr="007167AA">
        <w:rPr>
          <w:rFonts w:ascii="Times New Roman" w:hAnsi="Times New Roman" w:cs="Times New Roman"/>
          <w:szCs w:val="21"/>
        </w:rPr>
        <w:t xml:space="preserve">. The resulting 4D power spectra of filtered and unfiltered data were used to calculate cumulative 3D power spectra per rat using FSLMATHS. The cumulative power spectra from the filtered data were divided by the cumulative power spectra of the unfiltered data to achieve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maps for each mouse. Individual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maps were registered to the resting-state reference image in atlas space using the coefficients described earlier. We compared mean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maps between the groups (control mice group vs. Metformin mice group and control mice group vs. Dapagliflozin mice group) by calculating the mean of all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maps per group. Using a second level generalized linear model (GLM)-based analysis followed by a false discovery rate (FDR) correction for multiple comparisons, we compared mean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maps between those groups.</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In addition to the whole-brain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analysis, we compared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 xml:space="preserve"> between control mice group and medicine treatments mice group in eating behavior-related network comprising the following ROIs: VTA, NAcc, insula, MH, LH, mPFC, OFC, </w:t>
      </w:r>
      <w:proofErr w:type="spellStart"/>
      <w:r w:rsidRPr="007167AA">
        <w:rPr>
          <w:rFonts w:ascii="Times New Roman" w:hAnsi="Times New Roman" w:cs="Times New Roman"/>
          <w:szCs w:val="21"/>
        </w:rPr>
        <w:t>CPu</w:t>
      </w:r>
      <w:proofErr w:type="spellEnd"/>
      <w:r w:rsidRPr="007167AA">
        <w:rPr>
          <w:rFonts w:ascii="Times New Roman" w:hAnsi="Times New Roman" w:cs="Times New Roman"/>
          <w:szCs w:val="21"/>
        </w:rPr>
        <w:t>, and NTS</w:t>
      </w:r>
      <w:r w:rsidRPr="007167AA">
        <w:rPr>
          <w:rFonts w:ascii="Times New Roman" w:hAnsi="Times New Roman" w:cs="Times New Roman" w:hint="eastAsia"/>
          <w:szCs w:val="21"/>
        </w:rPr>
        <w:t xml:space="preserve"> </w:t>
      </w:r>
      <w:r w:rsidRPr="007167AA">
        <w:rPr>
          <w:rFonts w:ascii="Times New Roman" w:hAnsi="Times New Roman" w:cs="Times New Roman"/>
          <w:szCs w:val="21"/>
        </w:rPr>
        <w:t>to assess the influence</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in </w:t>
      </w:r>
      <w:proofErr w:type="spellStart"/>
      <w:r w:rsidRPr="007167AA">
        <w:rPr>
          <w:rFonts w:ascii="Times New Roman" w:hAnsi="Times New Roman" w:cs="Times New Roman"/>
          <w:szCs w:val="21"/>
        </w:rPr>
        <w:t>fALFF</w:t>
      </w:r>
      <w:proofErr w:type="spellEnd"/>
      <w:r w:rsidRPr="007167AA">
        <w:rPr>
          <w:rFonts w:ascii="Times New Roman" w:hAnsi="Times New Roman" w:cs="Times New Roman"/>
          <w:szCs w:val="21"/>
        </w:rPr>
        <w:t>.</w:t>
      </w:r>
    </w:p>
    <w:p w14:paraId="5646C4D0" w14:textId="1370C0EB" w:rsidR="00F557DD" w:rsidRPr="007167AA" w:rsidRDefault="002959F5" w:rsidP="007167AA">
      <w:pPr>
        <w:spacing w:line="360" w:lineRule="auto"/>
        <w:rPr>
          <w:rFonts w:ascii="Times New Roman" w:hAnsi="Times New Roman" w:cs="Times New Roman"/>
          <w:b/>
          <w:bCs/>
          <w:szCs w:val="21"/>
        </w:rPr>
      </w:pPr>
      <w:proofErr w:type="spellStart"/>
      <w:r w:rsidRPr="007167AA">
        <w:rPr>
          <w:rFonts w:ascii="Times New Roman" w:hAnsi="Times New Roman" w:cs="Times New Roman"/>
          <w:b/>
          <w:bCs/>
          <w:szCs w:val="21"/>
        </w:rPr>
        <w:t>rCBV</w:t>
      </w:r>
      <w:proofErr w:type="spellEnd"/>
      <w:r w:rsidRPr="007167AA">
        <w:rPr>
          <w:rFonts w:ascii="Times New Roman" w:hAnsi="Times New Roman" w:cs="Times New Roman"/>
          <w:b/>
          <w:bCs/>
          <w:szCs w:val="21"/>
        </w:rPr>
        <w:t xml:space="preserve"> quantification and functional connectivity</w:t>
      </w:r>
      <w:r w:rsidRPr="007167AA">
        <w:rPr>
          <w:rFonts w:ascii="Times New Roman" w:hAnsi="Times New Roman" w:cs="Times New Roman" w:hint="eastAsia"/>
          <w:b/>
          <w:bCs/>
          <w:szCs w:val="21"/>
        </w:rPr>
        <w:t xml:space="preserve"> </w:t>
      </w:r>
      <w:r w:rsidRPr="007167AA">
        <w:rPr>
          <w:rFonts w:ascii="Times New Roman" w:hAnsi="Times New Roman" w:cs="Times New Roman"/>
          <w:b/>
          <w:bCs/>
          <w:szCs w:val="21"/>
        </w:rPr>
        <w:t>analysis</w:t>
      </w:r>
    </w:p>
    <w:p w14:paraId="49BDBB06" w14:textId="67A5B70F" w:rsidR="002959F5" w:rsidRPr="007167AA" w:rsidRDefault="002959F5"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Prior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quantification, fMRI time series were</w:t>
      </w:r>
      <w:r w:rsidRPr="007167AA">
        <w:rPr>
          <w:rFonts w:ascii="Times New Roman" w:hAnsi="Times New Roman" w:cs="Times New Roman" w:hint="eastAsia"/>
          <w:szCs w:val="21"/>
        </w:rPr>
        <w:t xml:space="preserve"> </w:t>
      </w:r>
      <w:r w:rsidRPr="007167AA">
        <w:rPr>
          <w:rFonts w:ascii="Times New Roman" w:hAnsi="Times New Roman" w:cs="Times New Roman"/>
          <w:szCs w:val="21"/>
        </w:rPr>
        <w:t>motion corrected and spatially normalized to a common</w:t>
      </w:r>
      <w:r w:rsidRPr="007167AA">
        <w:rPr>
          <w:rFonts w:ascii="Times New Roman" w:hAnsi="Times New Roman" w:cs="Times New Roman" w:hint="eastAsia"/>
          <w:szCs w:val="21"/>
        </w:rPr>
        <w:t xml:space="preserve"> </w:t>
      </w:r>
      <w:r w:rsidRPr="007167AA">
        <w:rPr>
          <w:rFonts w:ascii="Times New Roman" w:hAnsi="Times New Roman" w:cs="Times New Roman"/>
          <w:szCs w:val="21"/>
        </w:rPr>
        <w:t>reference space. A neuroanatomical parcellated atlas</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was then co-registered to the template (Pagani et al.,2016b) and used as reference to locate volumes of interest (VOIs) to quantify regional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response. Metformin and Dapagliflozin induced changes in connectivity were mapped using</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group-level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-covariance mapping owing to the exquisite sensitivity of this approach to neuromodulators</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induced changes in functional connectivity (Schwarz et al., 2007b; </w:t>
      </w:r>
      <w:proofErr w:type="spellStart"/>
      <w:r w:rsidRPr="007167AA">
        <w:rPr>
          <w:rFonts w:ascii="Times New Roman" w:hAnsi="Times New Roman" w:cs="Times New Roman"/>
          <w:szCs w:val="21"/>
        </w:rPr>
        <w:t>Gozzi</w:t>
      </w:r>
      <w:proofErr w:type="spellEnd"/>
      <w:r w:rsidRPr="007167AA">
        <w:rPr>
          <w:rFonts w:ascii="Times New Roman" w:hAnsi="Times New Roman" w:cs="Times New Roman"/>
          <w:szCs w:val="21"/>
        </w:rPr>
        <w:t xml:space="preserve"> et al., 2010), and its superior ability</w:t>
      </w:r>
      <w:r w:rsidRPr="007167AA">
        <w:rPr>
          <w:rFonts w:ascii="Times New Roman" w:hAnsi="Times New Roman" w:cs="Times New Roman" w:hint="eastAsia"/>
          <w:szCs w:val="21"/>
        </w:rPr>
        <w:t xml:space="preserve"> </w:t>
      </w:r>
      <w:r w:rsidRPr="007167AA">
        <w:rPr>
          <w:rFonts w:ascii="Times New Roman" w:hAnsi="Times New Roman" w:cs="Times New Roman"/>
          <w:szCs w:val="21"/>
        </w:rPr>
        <w:t>to resolve with high spatial resolution neurotransmitter</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systems (Schwarz et al., 2007b; </w:t>
      </w:r>
      <w:proofErr w:type="spellStart"/>
      <w:r w:rsidRPr="007167AA">
        <w:rPr>
          <w:rFonts w:ascii="Times New Roman" w:hAnsi="Times New Roman" w:cs="Times New Roman"/>
          <w:szCs w:val="21"/>
        </w:rPr>
        <w:t>Gozzi</w:t>
      </w:r>
      <w:proofErr w:type="spellEnd"/>
      <w:r w:rsidRPr="007167AA">
        <w:rPr>
          <w:rFonts w:ascii="Times New Roman" w:hAnsi="Times New Roman" w:cs="Times New Roman"/>
          <w:szCs w:val="21"/>
        </w:rPr>
        <w:t xml:space="preserve"> et al., 2010).</w:t>
      </w:r>
      <w:r w:rsidRPr="007167AA">
        <w:rPr>
          <w:rFonts w:ascii="Times New Roman" w:hAnsi="Times New Roman" w:cs="Times New Roman" w:hint="eastAsia"/>
          <w:szCs w:val="21"/>
        </w:rPr>
        <w:t xml:space="preserve"> </w:t>
      </w:r>
      <w:r w:rsidRPr="007167AA">
        <w:rPr>
          <w:rFonts w:ascii="Times New Roman" w:hAnsi="Times New Roman" w:cs="Times New Roman"/>
          <w:szCs w:val="21"/>
        </w:rPr>
        <w:t>To assess whether Metformin and Dapagliflozin treatment</w:t>
      </w:r>
      <w:r w:rsidRPr="007167AA">
        <w:rPr>
          <w:rFonts w:ascii="Times New Roman" w:hAnsi="Times New Roman" w:cs="Times New Roman" w:hint="eastAsia"/>
          <w:szCs w:val="21"/>
        </w:rPr>
        <w:t xml:space="preserve"> </w:t>
      </w:r>
      <w:r w:rsidRPr="007167AA">
        <w:rPr>
          <w:rFonts w:ascii="Times New Roman" w:hAnsi="Times New Roman" w:cs="Times New Roman"/>
          <w:szCs w:val="21"/>
        </w:rPr>
        <w:t>results in differential re-organization of functional</w:t>
      </w:r>
      <w:r w:rsidRPr="007167AA">
        <w:rPr>
          <w:rFonts w:ascii="Times New Roman" w:hAnsi="Times New Roman" w:cs="Times New Roman" w:hint="eastAsia"/>
          <w:szCs w:val="21"/>
        </w:rPr>
        <w:t xml:space="preserve"> </w:t>
      </w:r>
      <w:r w:rsidRPr="007167AA">
        <w:rPr>
          <w:rFonts w:ascii="Times New Roman" w:hAnsi="Times New Roman" w:cs="Times New Roman"/>
          <w:szCs w:val="21"/>
        </w:rPr>
        <w:t>networks, we carried out seed-based analysis to map</w:t>
      </w:r>
      <w:r w:rsidRPr="007167AA">
        <w:rPr>
          <w:rFonts w:ascii="Times New Roman" w:hAnsi="Times New Roman" w:cs="Times New Roman" w:hint="eastAsia"/>
          <w:szCs w:val="21"/>
        </w:rPr>
        <w:t xml:space="preserve"> </w:t>
      </w:r>
      <w:r w:rsidRPr="007167AA">
        <w:rPr>
          <w:rFonts w:ascii="Times New Roman" w:hAnsi="Times New Roman" w:cs="Times New Roman"/>
          <w:szCs w:val="21"/>
        </w:rPr>
        <w:t>target regions of long-range functional connectivity. This</w:t>
      </w:r>
      <w:r w:rsidRPr="007167AA">
        <w:rPr>
          <w:rFonts w:ascii="Times New Roman" w:hAnsi="Times New Roman" w:cs="Times New Roman" w:hint="eastAsia"/>
          <w:szCs w:val="21"/>
        </w:rPr>
        <w:t xml:space="preserve"> </w:t>
      </w:r>
      <w:r w:rsidRPr="007167AA">
        <w:rPr>
          <w:rFonts w:ascii="Times New Roman" w:hAnsi="Times New Roman" w:cs="Times New Roman"/>
          <w:szCs w:val="21"/>
        </w:rPr>
        <w:t>method relies on the computations of dependencies of</w:t>
      </w:r>
      <w:r w:rsidRPr="007167AA">
        <w:rPr>
          <w:rFonts w:ascii="Times New Roman" w:hAnsi="Times New Roman" w:cs="Times New Roman" w:hint="eastAsia"/>
          <w:szCs w:val="21"/>
        </w:rPr>
        <w:t xml:space="preserve">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changes between brain regions (i.e., covariance</w:t>
      </w:r>
      <w:r w:rsidRPr="007167AA">
        <w:rPr>
          <w:rFonts w:ascii="Times New Roman" w:hAnsi="Times New Roman" w:cs="Times New Roman" w:hint="eastAsia"/>
          <w:szCs w:val="21"/>
        </w:rPr>
        <w:t xml:space="preserve"> </w:t>
      </w:r>
      <w:r w:rsidRPr="007167AA">
        <w:rPr>
          <w:rFonts w:ascii="Times New Roman" w:hAnsi="Times New Roman" w:cs="Times New Roman"/>
          <w:szCs w:val="21"/>
        </w:rPr>
        <w:t>mapping) in response to a pharmacological challenge as</w:t>
      </w:r>
      <w:r w:rsidRPr="007167AA">
        <w:rPr>
          <w:rFonts w:ascii="Times New Roman" w:hAnsi="Times New Roman" w:cs="Times New Roman" w:hint="eastAsia"/>
          <w:szCs w:val="21"/>
        </w:rPr>
        <w:t xml:space="preserve"> </w:t>
      </w:r>
      <w:r w:rsidRPr="007167AA">
        <w:rPr>
          <w:rFonts w:ascii="Times New Roman" w:hAnsi="Times New Roman" w:cs="Times New Roman"/>
          <w:szCs w:val="21"/>
        </w:rPr>
        <w:t>previously described (</w:t>
      </w:r>
      <w:proofErr w:type="spellStart"/>
      <w:r w:rsidRPr="007167AA">
        <w:rPr>
          <w:rFonts w:ascii="Times New Roman" w:hAnsi="Times New Roman" w:cs="Times New Roman"/>
          <w:szCs w:val="21"/>
        </w:rPr>
        <w:t>Gozzi</w:t>
      </w:r>
      <w:proofErr w:type="spellEnd"/>
      <w:r w:rsidRPr="007167AA">
        <w:rPr>
          <w:rFonts w:ascii="Times New Roman" w:hAnsi="Times New Roman" w:cs="Times New Roman"/>
          <w:szCs w:val="21"/>
        </w:rPr>
        <w:t xml:space="preserve"> et al., 2010, 2012; Razoux</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et al., 2013). Specifically, the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response in anatomical volumes of interest (VOIs) was used as a regressor to</w:t>
      </w:r>
      <w:r w:rsidRPr="007167AA">
        <w:rPr>
          <w:rFonts w:ascii="Times New Roman" w:hAnsi="Times New Roman" w:cs="Times New Roman" w:hint="eastAsia"/>
          <w:szCs w:val="21"/>
        </w:rPr>
        <w:t xml:space="preserve"> </w:t>
      </w:r>
      <w:r w:rsidRPr="007167AA">
        <w:rPr>
          <w:rFonts w:ascii="Times New Roman" w:hAnsi="Times New Roman" w:cs="Times New Roman"/>
          <w:szCs w:val="21"/>
        </w:rPr>
        <w:t>generate voxel-wise correlational maps and identify voxels that positively correlate with the seeding VOIs</w:t>
      </w:r>
      <w:r w:rsidRPr="007167AA">
        <w:rPr>
          <w:rFonts w:ascii="Times New Roman" w:hAnsi="Times New Roman" w:cs="Times New Roman" w:hint="eastAsia"/>
          <w:szCs w:val="21"/>
        </w:rPr>
        <w:t xml:space="preserve"> </w:t>
      </w:r>
      <w:r w:rsidRPr="007167AA">
        <w:rPr>
          <w:rFonts w:ascii="Times New Roman" w:hAnsi="Times New Roman" w:cs="Times New Roman"/>
          <w:szCs w:val="21"/>
        </w:rPr>
        <w:t>(Pagani et al., 2016a). For each treatment cohort, the</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resulting functional connectivity maps were then </w:t>
      </w:r>
      <w:proofErr w:type="spellStart"/>
      <w:r w:rsidRPr="007167AA">
        <w:rPr>
          <w:rFonts w:ascii="Times New Roman" w:hAnsi="Times New Roman" w:cs="Times New Roman"/>
          <w:szCs w:val="21"/>
        </w:rPr>
        <w:t>thresholded</w:t>
      </w:r>
      <w:proofErr w:type="spellEnd"/>
      <w:r w:rsidRPr="007167AA">
        <w:rPr>
          <w:rFonts w:ascii="Times New Roman" w:hAnsi="Times New Roman" w:cs="Times New Roman"/>
          <w:szCs w:val="21"/>
        </w:rPr>
        <w:t xml:space="preserve"> at t &gt; 2.7 (p &lt; 0.01) and familywise error (FWE)</w:t>
      </w:r>
      <w:r w:rsidRPr="007167AA">
        <w:rPr>
          <w:rFonts w:ascii="Times New Roman" w:hAnsi="Times New Roman" w:cs="Times New Roman" w:hint="eastAsia"/>
          <w:szCs w:val="21"/>
        </w:rPr>
        <w:t xml:space="preserve"> </w:t>
      </w:r>
      <w:r w:rsidRPr="007167AA">
        <w:rPr>
          <w:rFonts w:ascii="Times New Roman" w:hAnsi="Times New Roman" w:cs="Times New Roman"/>
          <w:szCs w:val="21"/>
        </w:rPr>
        <w:t>corrected for multiple comparisons with a cluster defining</w:t>
      </w:r>
      <w:r w:rsidRPr="007167AA">
        <w:rPr>
          <w:rFonts w:ascii="Times New Roman" w:hAnsi="Times New Roman" w:cs="Times New Roman" w:hint="eastAsia"/>
          <w:szCs w:val="21"/>
        </w:rPr>
        <w:t xml:space="preserve"> </w:t>
      </w:r>
      <w:r w:rsidRPr="007167AA">
        <w:rPr>
          <w:rFonts w:ascii="Times New Roman" w:hAnsi="Times New Roman" w:cs="Times New Roman"/>
          <w:szCs w:val="21"/>
        </w:rPr>
        <w:t>threshold of p &lt; 0.05 (Worsley et al., 1992) as implemented in FSL (Jenkinson et al., 2012). Voxel-wise</w:t>
      </w:r>
      <w:r w:rsidRPr="007167AA">
        <w:rPr>
          <w:rFonts w:ascii="Times New Roman" w:hAnsi="Times New Roman" w:cs="Times New Roman" w:hint="eastAsia"/>
          <w:szCs w:val="21"/>
        </w:rPr>
        <w:t xml:space="preserve"> </w:t>
      </w:r>
      <w:r w:rsidRPr="007167AA">
        <w:rPr>
          <w:rFonts w:ascii="Times New Roman" w:hAnsi="Times New Roman" w:cs="Times New Roman"/>
          <w:szCs w:val="21"/>
        </w:rPr>
        <w:t>treatment-dependent intergroup differences (i.e., Metformin vs.</w:t>
      </w:r>
      <w:r w:rsidRPr="007167AA">
        <w:rPr>
          <w:rFonts w:ascii="Times New Roman" w:hAnsi="Times New Roman" w:cs="Times New Roman" w:hint="eastAsia"/>
          <w:szCs w:val="21"/>
        </w:rPr>
        <w:t xml:space="preserve"> </w:t>
      </w:r>
      <w:r w:rsidRPr="007167AA">
        <w:rPr>
          <w:rFonts w:ascii="Times New Roman" w:hAnsi="Times New Roman" w:cs="Times New Roman"/>
          <w:szCs w:val="21"/>
        </w:rPr>
        <w:t>vehicle and Metformin vs. Dapagliflozin) were then assessed using</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a permutation-based unpaired Student’s t test, </w:t>
      </w:r>
      <w:proofErr w:type="spellStart"/>
      <w:r w:rsidRPr="007167AA">
        <w:rPr>
          <w:rFonts w:ascii="Times New Roman" w:hAnsi="Times New Roman" w:cs="Times New Roman"/>
          <w:szCs w:val="21"/>
        </w:rPr>
        <w:t>thresholded</w:t>
      </w:r>
      <w:proofErr w:type="spellEnd"/>
      <w:r w:rsidRPr="007167AA">
        <w:rPr>
          <w:rFonts w:ascii="Times New Roman" w:hAnsi="Times New Roman" w:cs="Times New Roman"/>
          <w:szCs w:val="21"/>
        </w:rPr>
        <w:t xml:space="preserve"> at p &gt; 0.05 and FWE corrected for multiple comparisons with a cluster defining threshold of p = 0.05.</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To quantify intergroup differences in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functional connectivity, we also carried out a treatment-dependent slope</w:t>
      </w:r>
      <w:r w:rsidRPr="007167AA">
        <w:rPr>
          <w:rFonts w:ascii="Times New Roman" w:hAnsi="Times New Roman" w:cs="Times New Roman" w:hint="eastAsia"/>
          <w:szCs w:val="21"/>
        </w:rPr>
        <w:t xml:space="preserve"> </w:t>
      </w:r>
      <w:r w:rsidRPr="007167AA">
        <w:rPr>
          <w:rFonts w:ascii="Times New Roman" w:hAnsi="Times New Roman" w:cs="Times New Roman"/>
          <w:szCs w:val="21"/>
        </w:rPr>
        <w:t xml:space="preserve">analysis by calculating </w:t>
      </w:r>
      <w:proofErr w:type="spellStart"/>
      <w:r w:rsidRPr="007167AA">
        <w:rPr>
          <w:rFonts w:ascii="Times New Roman" w:hAnsi="Times New Roman" w:cs="Times New Roman"/>
          <w:szCs w:val="21"/>
        </w:rPr>
        <w:t>rCBV</w:t>
      </w:r>
      <w:proofErr w:type="spellEnd"/>
      <w:r w:rsidRPr="007167AA">
        <w:rPr>
          <w:rFonts w:ascii="Times New Roman" w:hAnsi="Times New Roman" w:cs="Times New Roman"/>
          <w:szCs w:val="21"/>
        </w:rPr>
        <w:t xml:space="preserve"> Pearson’s correlation</w:t>
      </w:r>
      <w:r w:rsidRPr="007167AA">
        <w:rPr>
          <w:rFonts w:ascii="Times New Roman" w:hAnsi="Times New Roman" w:cs="Times New Roman" w:hint="eastAsia"/>
          <w:szCs w:val="21"/>
        </w:rPr>
        <w:t xml:space="preserve"> </w:t>
      </w:r>
      <w:r w:rsidRPr="007167AA">
        <w:rPr>
          <w:rFonts w:ascii="Times New Roman" w:hAnsi="Times New Roman" w:cs="Times New Roman"/>
          <w:szCs w:val="21"/>
        </w:rPr>
        <w:t>between the seeds and representative target regions</w:t>
      </w:r>
      <w:r w:rsidRPr="007167AA">
        <w:rPr>
          <w:rFonts w:ascii="Times New Roman" w:hAnsi="Times New Roman" w:cs="Times New Roman" w:hint="eastAsia"/>
          <w:szCs w:val="21"/>
        </w:rPr>
        <w:t xml:space="preserve"> </w:t>
      </w:r>
      <w:r w:rsidRPr="007167AA">
        <w:rPr>
          <w:rFonts w:ascii="Times New Roman" w:hAnsi="Times New Roman" w:cs="Times New Roman"/>
          <w:szCs w:val="21"/>
        </w:rPr>
        <w:t>(GraphPad v8.0).</w:t>
      </w:r>
    </w:p>
    <w:p w14:paraId="5B6CA36C" w14:textId="61750442" w:rsidR="002959F5" w:rsidRPr="007167AA" w:rsidRDefault="002959F5"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Histological analysis</w:t>
      </w:r>
    </w:p>
    <w:p w14:paraId="78D0C0F5" w14:textId="77777777" w:rsidR="002959F5" w:rsidRPr="007167AA" w:rsidRDefault="002959F5"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For manual villi analysis, each </w:t>
      </w:r>
      <w:bookmarkStart w:id="6" w:name="_Hlk86171146"/>
      <w:r w:rsidRPr="007167AA">
        <w:rPr>
          <w:rFonts w:ascii="Times New Roman" w:hAnsi="Times New Roman" w:cs="Times New Roman"/>
          <w:szCs w:val="21"/>
        </w:rPr>
        <w:t xml:space="preserve">intestinal segment </w:t>
      </w:r>
      <w:bookmarkEnd w:id="6"/>
      <w:r w:rsidRPr="007167AA">
        <w:rPr>
          <w:rFonts w:ascii="Times New Roman" w:hAnsi="Times New Roman" w:cs="Times New Roman"/>
          <w:szCs w:val="21"/>
        </w:rPr>
        <w:t>was further divided into 4 quadrants and 10 intact villi were measured from the distal edge of the crypt to the villi apex in each quadrant. A mean villus length was then calculated for the entire bowel segment.</w:t>
      </w:r>
      <w:r w:rsidRPr="007167AA">
        <w:rPr>
          <w:rFonts w:ascii="Times New Roman" w:hAnsi="Times New Roman" w:cs="Times New Roman" w:hint="eastAsia"/>
          <w:szCs w:val="21"/>
        </w:rPr>
        <w:t xml:space="preserve"> </w:t>
      </w:r>
      <w:r w:rsidRPr="007167AA">
        <w:rPr>
          <w:rFonts w:ascii="Times New Roman" w:hAnsi="Times New Roman" w:cs="Times New Roman"/>
          <w:szCs w:val="21"/>
        </w:rPr>
        <w:t>For semi-automated analysis, SVS files were opened in ImageJ and the length of the intestinal section was measured using the freehand measurement tool. Images were then stain-normalized to a standard H&amp;E image using a custom MATLAB. A random image from the set was then loaded into the MATLAB Color Thresholder32 and values were manually selected within the hue-saturation-value (HSV) color space such that the intestinal villi, but not other tissues such as lymph nodes or pancreas, were selected. These values were entered into a batch processing script that performed this villi segmentation on every image in the set. This resulted in binary images of pixels identified as villi and pixels identified as non-villi. The pixels occupied by villi were converted to area in μm</w:t>
      </w:r>
      <w:r w:rsidRPr="007167AA">
        <w:rPr>
          <w:rFonts w:ascii="Times New Roman" w:hAnsi="Times New Roman" w:cs="Times New Roman"/>
          <w:szCs w:val="21"/>
          <w:vertAlign w:val="superscript"/>
        </w:rPr>
        <w:t>2</w:t>
      </w:r>
      <w:r w:rsidRPr="007167AA">
        <w:rPr>
          <w:rFonts w:ascii="Times New Roman" w:hAnsi="Times New Roman" w:cs="Times New Roman" w:hint="eastAsia"/>
          <w:szCs w:val="21"/>
        </w:rPr>
        <w:t xml:space="preserve"> </w:t>
      </w:r>
      <w:r w:rsidRPr="007167AA">
        <w:rPr>
          <w:rFonts w:ascii="Times New Roman" w:hAnsi="Times New Roman" w:cs="Times New Roman"/>
          <w:szCs w:val="21"/>
        </w:rPr>
        <w:t>using the embedded scale from the original SVS file. The villi area was divided by the bowel segment length to yield the average thickness of the intestinal villi layer. This measurement correlated well with manual measurements of villi length and provided improved intra-operator or inter-operator variation Polyp number and area were determined from SVS files analyzed using ImageJ software in a blinded manner.</w:t>
      </w:r>
    </w:p>
    <w:p w14:paraId="60552AE3" w14:textId="1C120CE1" w:rsidR="002959F5" w:rsidRPr="007167AA" w:rsidRDefault="00D95E10" w:rsidP="007167AA">
      <w:pPr>
        <w:spacing w:line="360" w:lineRule="auto"/>
        <w:rPr>
          <w:rFonts w:ascii="Times New Roman" w:hAnsi="Times New Roman" w:cs="Times New Roman"/>
          <w:szCs w:val="21"/>
        </w:rPr>
      </w:pPr>
      <w:r w:rsidRPr="007167AA">
        <w:rPr>
          <w:rFonts w:ascii="Times New Roman" w:hAnsi="Times New Roman" w:cs="Times New Roman"/>
          <w:b/>
          <w:bCs/>
          <w:szCs w:val="21"/>
        </w:rPr>
        <w:t>Immunohistochemistry and immunofluorescence</w:t>
      </w:r>
    </w:p>
    <w:p w14:paraId="487935F2" w14:textId="77777777" w:rsidR="00D95E10" w:rsidRPr="007167AA" w:rsidRDefault="00D95E10" w:rsidP="007167AA">
      <w:pPr>
        <w:spacing w:line="360" w:lineRule="auto"/>
        <w:rPr>
          <w:rFonts w:ascii="Times New Roman" w:hAnsi="Times New Roman" w:cs="Times New Roman"/>
          <w:szCs w:val="21"/>
        </w:rPr>
      </w:pPr>
      <w:bookmarkStart w:id="7" w:name="_Hlk100866581"/>
      <w:r w:rsidRPr="007167AA">
        <w:rPr>
          <w:rFonts w:ascii="Times New Roman" w:hAnsi="Times New Roman" w:cs="Times New Roman"/>
          <w:szCs w:val="21"/>
        </w:rPr>
        <w:t>Pimonidazole, a 2-nitroimidazole that is reduced in hypoxic environments and then binds to thiol-containing proteins, was injected intraperitoneally 90 min before euthanasia as per the manufacturer’s instructions (</w:t>
      </w:r>
      <w:proofErr w:type="spellStart"/>
      <w:r w:rsidRPr="007167AA">
        <w:rPr>
          <w:rFonts w:ascii="Times New Roman" w:hAnsi="Times New Roman" w:cs="Times New Roman"/>
          <w:szCs w:val="21"/>
        </w:rPr>
        <w:t>Hypoxyprobe</w:t>
      </w:r>
      <w:proofErr w:type="spellEnd"/>
      <w:r w:rsidRPr="007167AA">
        <w:rPr>
          <w:rFonts w:ascii="Times New Roman" w:hAnsi="Times New Roman" w:cs="Times New Roman"/>
          <w:szCs w:val="21"/>
        </w:rPr>
        <w:t>, HP1-100Kit).</w:t>
      </w:r>
    </w:p>
    <w:bookmarkEnd w:id="7"/>
    <w:p w14:paraId="6D1750D0" w14:textId="77777777" w:rsidR="00D95E10" w:rsidRPr="007167AA" w:rsidRDefault="00D95E10"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Immunohistochemistry was performed on formalin-fixed, paraffin-embedded tissues. Slides were deparaffinized with xylene and rehydrated in a graded ethanol series and water. Antigen retrieval was performed with 0.01 M citrate, pH 6.0 buffer by heating the samples in a pressure cooker for 10 min. Sections were blocked with avidin–biotin blocking for 30 min. Sections were incubated with primary antibody for 1 h at room temperature or overnight at 4 °C, followed by a 60-min incubation with biotinylated anti-rabbit IgG (goat, Vector Laboratories, PK6101, dilution 1:500) at room temperature for rabbit primaries. Mouse primaries on mouse tissues were assayed using a Mouse-on-Mouse Basic kit (Vector laboratories, BMK-2202) according to the manufacturer’s instructions. Detection was performed with the DAB detection kit (Vector Laboratories, SK-4100) according to the manufacturer’s instructions, followed by counterstaining with hematoxylin and cover slipping with </w:t>
      </w:r>
      <w:proofErr w:type="spellStart"/>
      <w:r w:rsidRPr="007167AA">
        <w:rPr>
          <w:rFonts w:ascii="Times New Roman" w:hAnsi="Times New Roman" w:cs="Times New Roman"/>
          <w:szCs w:val="21"/>
        </w:rPr>
        <w:t>Permount</w:t>
      </w:r>
      <w:proofErr w:type="spellEnd"/>
      <w:r w:rsidRPr="007167AA">
        <w:rPr>
          <w:rFonts w:ascii="Times New Roman" w:hAnsi="Times New Roman" w:cs="Times New Roman"/>
          <w:szCs w:val="21"/>
        </w:rPr>
        <w:t xml:space="preserve"> (Thermo Fisher Scientific, SP15-500).</w:t>
      </w:r>
    </w:p>
    <w:p w14:paraId="32843BD7" w14:textId="77777777" w:rsidR="00D95E10" w:rsidRPr="007167AA" w:rsidRDefault="00D95E10" w:rsidP="007167AA">
      <w:pPr>
        <w:spacing w:line="360" w:lineRule="auto"/>
        <w:rPr>
          <w:rFonts w:ascii="Times New Roman" w:hAnsi="Times New Roman" w:cs="Times New Roman"/>
          <w:szCs w:val="21"/>
        </w:rPr>
      </w:pPr>
      <w:r w:rsidRPr="007167AA">
        <w:rPr>
          <w:rFonts w:ascii="Times New Roman" w:hAnsi="Times New Roman" w:cs="Times New Roman"/>
          <w:szCs w:val="21"/>
        </w:rPr>
        <w:t xml:space="preserve">TUNEL staining was performed on formalin-fixed, paraffin-embedded tissues by </w:t>
      </w:r>
      <w:proofErr w:type="spellStart"/>
      <w:r w:rsidRPr="007167AA">
        <w:rPr>
          <w:rFonts w:ascii="Times New Roman" w:hAnsi="Times New Roman" w:cs="Times New Roman"/>
          <w:szCs w:val="21"/>
        </w:rPr>
        <w:t>Histowiz</w:t>
      </w:r>
      <w:proofErr w:type="spellEnd"/>
      <w:r w:rsidRPr="007167AA">
        <w:rPr>
          <w:rFonts w:ascii="Times New Roman" w:hAnsi="Times New Roman" w:cs="Times New Roman"/>
          <w:szCs w:val="21"/>
        </w:rPr>
        <w:t>.</w:t>
      </w:r>
    </w:p>
    <w:p w14:paraId="6DCCC44F" w14:textId="77777777" w:rsidR="00D95E10" w:rsidRPr="007167AA" w:rsidRDefault="00D95E10" w:rsidP="007167AA">
      <w:pPr>
        <w:spacing w:line="360" w:lineRule="auto"/>
        <w:rPr>
          <w:rFonts w:ascii="Times New Roman" w:hAnsi="Times New Roman" w:cs="Times New Roman"/>
          <w:b/>
          <w:bCs/>
          <w:szCs w:val="21"/>
        </w:rPr>
      </w:pPr>
      <w:r w:rsidRPr="007167AA">
        <w:rPr>
          <w:rFonts w:ascii="Times New Roman" w:hAnsi="Times New Roman" w:cs="Times New Roman"/>
          <w:b/>
          <w:bCs/>
          <w:szCs w:val="21"/>
        </w:rPr>
        <w:t>Biochemical analysis</w:t>
      </w:r>
    </w:p>
    <w:p w14:paraId="63940A27" w14:textId="77777777" w:rsidR="00D95E10" w:rsidRPr="007167AA" w:rsidRDefault="00D95E10" w:rsidP="007167AA">
      <w:pPr>
        <w:spacing w:line="360" w:lineRule="auto"/>
        <w:rPr>
          <w:rFonts w:ascii="Times New Roman" w:hAnsi="Times New Roman" w:cs="Times New Roman"/>
          <w:b/>
          <w:bCs/>
          <w:szCs w:val="21"/>
        </w:rPr>
      </w:pPr>
      <w:r w:rsidRPr="007167AA">
        <w:rPr>
          <w:rFonts w:ascii="Times New Roman" w:hAnsi="Times New Roman" w:cs="Times New Roman"/>
          <w:szCs w:val="21"/>
        </w:rPr>
        <w:t xml:space="preserve">For measurement of hepatic triglyceride, frozen liver was weighed and digested in 6 volumes of alcoholic KOH (2:1 pure ethanol to 30% KOH) at 60 °C until the tissue was completely dissolved. Then 500 </w:t>
      </w:r>
      <w:proofErr w:type="spellStart"/>
      <w:r w:rsidRPr="007167AA">
        <w:rPr>
          <w:rFonts w:ascii="Times New Roman" w:hAnsi="Times New Roman" w:cs="Times New Roman"/>
          <w:szCs w:val="21"/>
        </w:rPr>
        <w:t>μl</w:t>
      </w:r>
      <w:proofErr w:type="spellEnd"/>
      <w:r w:rsidRPr="007167AA">
        <w:rPr>
          <w:rFonts w:ascii="Times New Roman" w:hAnsi="Times New Roman" w:cs="Times New Roman"/>
          <w:szCs w:val="21"/>
        </w:rPr>
        <w:t xml:space="preserve"> of digest was added to 540 </w:t>
      </w:r>
      <w:proofErr w:type="spellStart"/>
      <w:r w:rsidRPr="007167AA">
        <w:rPr>
          <w:rFonts w:ascii="Times New Roman" w:hAnsi="Times New Roman" w:cs="Times New Roman"/>
          <w:szCs w:val="21"/>
        </w:rPr>
        <w:t>μl</w:t>
      </w:r>
      <w:proofErr w:type="spellEnd"/>
      <w:r w:rsidRPr="007167AA">
        <w:rPr>
          <w:rFonts w:ascii="Times New Roman" w:hAnsi="Times New Roman" w:cs="Times New Roman"/>
          <w:szCs w:val="21"/>
        </w:rPr>
        <w:t xml:space="preserve"> of 1M MgCl</w:t>
      </w:r>
      <w:r w:rsidRPr="00D22D7E">
        <w:rPr>
          <w:rFonts w:ascii="Times New Roman" w:hAnsi="Times New Roman" w:cs="Times New Roman"/>
          <w:szCs w:val="21"/>
          <w:vertAlign w:val="subscript"/>
        </w:rPr>
        <w:t>2</w:t>
      </w:r>
      <w:r w:rsidRPr="007167AA">
        <w:rPr>
          <w:rFonts w:ascii="Times New Roman" w:hAnsi="Times New Roman" w:cs="Times New Roman"/>
          <w:szCs w:val="21"/>
        </w:rPr>
        <w:t xml:space="preserve"> and mixed well. After a 10-min incubation on ice, samples were centrifuged for 30 min at maximum speed. The supernatant was aspirated into a new tube and glycerol content was measured using a calorimetric assay (</w:t>
      </w:r>
      <w:proofErr w:type="spellStart"/>
      <w:r w:rsidRPr="007167AA">
        <w:rPr>
          <w:rFonts w:ascii="Times New Roman" w:hAnsi="Times New Roman" w:cs="Times New Roman"/>
          <w:szCs w:val="21"/>
        </w:rPr>
        <w:t>Stanbio</w:t>
      </w:r>
      <w:proofErr w:type="spellEnd"/>
      <w:r w:rsidRPr="007167AA">
        <w:rPr>
          <w:rFonts w:ascii="Times New Roman" w:hAnsi="Times New Roman" w:cs="Times New Roman"/>
          <w:szCs w:val="21"/>
        </w:rPr>
        <w:t>). This assay kit was also used to measure serum triglyceride.</w:t>
      </w:r>
      <w:r w:rsidRPr="007167AA">
        <w:rPr>
          <w:rFonts w:ascii="Times New Roman" w:hAnsi="Times New Roman" w:cs="Times New Roman"/>
          <w:b/>
          <w:bCs/>
          <w:szCs w:val="21"/>
        </w:rPr>
        <w:t xml:space="preserve"> </w:t>
      </w:r>
    </w:p>
    <w:p w14:paraId="415652F5" w14:textId="77777777" w:rsidR="00D95E10" w:rsidRPr="007167AA" w:rsidRDefault="00D95E10" w:rsidP="007167AA">
      <w:pPr>
        <w:spacing w:line="360" w:lineRule="auto"/>
        <w:rPr>
          <w:rFonts w:ascii="Times New Roman" w:hAnsi="Times New Roman" w:cs="Times New Roman"/>
          <w:szCs w:val="21"/>
        </w:rPr>
      </w:pPr>
      <w:r w:rsidRPr="007167AA">
        <w:rPr>
          <w:rFonts w:ascii="Times New Roman" w:hAnsi="Times New Roman" w:cs="Times New Roman"/>
          <w:b/>
          <w:bCs/>
          <w:szCs w:val="21"/>
        </w:rPr>
        <w:t>Metabolomics analysis</w:t>
      </w:r>
    </w:p>
    <w:p w14:paraId="66EECF01" w14:textId="77777777" w:rsidR="005E28E8" w:rsidRPr="005E28E8" w:rsidRDefault="005E28E8" w:rsidP="005E28E8">
      <w:pPr>
        <w:spacing w:line="360" w:lineRule="auto"/>
        <w:rPr>
          <w:rFonts w:ascii="Times New Roman" w:hAnsi="Times New Roman" w:cs="Times New Roman"/>
          <w:szCs w:val="21"/>
        </w:rPr>
      </w:pPr>
      <w:r w:rsidRPr="005E28E8">
        <w:rPr>
          <w:rFonts w:ascii="Times New Roman" w:hAnsi="Times New Roman" w:cs="Times New Roman"/>
          <w:szCs w:val="21"/>
        </w:rPr>
        <w:t>Metabolomics analysis (UHPLC-HRMS/MS)</w:t>
      </w:r>
    </w:p>
    <w:p w14:paraId="2554FCF6" w14:textId="728836F2" w:rsidR="00D95E10" w:rsidRPr="007167AA" w:rsidRDefault="005E28E8" w:rsidP="005E28E8">
      <w:pPr>
        <w:spacing w:line="360" w:lineRule="auto"/>
        <w:rPr>
          <w:szCs w:val="21"/>
        </w:rPr>
      </w:pPr>
      <w:r w:rsidRPr="005E28E8">
        <w:rPr>
          <w:rFonts w:ascii="Times New Roman" w:hAnsi="Times New Roman" w:cs="Times New Roman"/>
          <w:szCs w:val="21"/>
        </w:rPr>
        <w:t>80% methanol (including 1000 ng/mL phenylalanine-d5, 3-chloro-D-phenylalanine and octanoic-d15 acid internal standard) was added to the sample, which was then placed in an ice water bath and subjected to five "sonication 1 min - stop 1 min" cycles. After standing at -40 °C for 30 min, the mixture was centrifuged at 15000 g at 4℃ for 15 min. The supernatant fluid was evaporated to dryness under mild nitrogen and reconstituted in 10% methanol prior to performing UHPLC-HRMS/MS analysis. A quality control (QC) sample was obtained by isometrically pooling all the amino acid. Chromatographic separation was performed on a Thermo Fisher Ultimate 3000 UHPLC system. The raw data of UHPLC-HRMS/MS were first transformed to mzXML format using Proteo Wizard and then processed using the XCMS (peak picking, alignment and retention time correction) and CAMERA (annotations of isotope peak, adducts, and fragments with default parameters) packages in the R software platform. The final data were exported as a peak table file, including observations (sample name), variables, and peak areas. Data on peak areas were normalized to internal standards before performing univariate or multivariate statistical analysis. The R platform was used for heatmap analysis and the Metabo Analyst for pathway analysis.</w:t>
      </w:r>
    </w:p>
    <w:sectPr w:rsidR="00D95E10" w:rsidRPr="007167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3F54E" w14:textId="77777777" w:rsidR="00DC64FA" w:rsidRDefault="00DC64FA" w:rsidP="00845945">
      <w:r>
        <w:separator/>
      </w:r>
    </w:p>
  </w:endnote>
  <w:endnote w:type="continuationSeparator" w:id="0">
    <w:p w14:paraId="03B38006" w14:textId="77777777" w:rsidR="00DC64FA" w:rsidRDefault="00DC64FA" w:rsidP="00845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BD471" w14:textId="77777777" w:rsidR="00DC64FA" w:rsidRDefault="00DC64FA" w:rsidP="00845945">
      <w:r>
        <w:separator/>
      </w:r>
    </w:p>
  </w:footnote>
  <w:footnote w:type="continuationSeparator" w:id="0">
    <w:p w14:paraId="612C8427" w14:textId="77777777" w:rsidR="00DC64FA" w:rsidRDefault="00DC64FA" w:rsidP="008459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9CF"/>
    <w:rsid w:val="000F5AF9"/>
    <w:rsid w:val="002959F5"/>
    <w:rsid w:val="00431CB6"/>
    <w:rsid w:val="005C5752"/>
    <w:rsid w:val="005E28E8"/>
    <w:rsid w:val="006808F1"/>
    <w:rsid w:val="007167AA"/>
    <w:rsid w:val="00845945"/>
    <w:rsid w:val="009F7B51"/>
    <w:rsid w:val="00B629F7"/>
    <w:rsid w:val="00C67454"/>
    <w:rsid w:val="00CD2A02"/>
    <w:rsid w:val="00D22D7E"/>
    <w:rsid w:val="00D23F8D"/>
    <w:rsid w:val="00D82576"/>
    <w:rsid w:val="00D95E10"/>
    <w:rsid w:val="00DC64FA"/>
    <w:rsid w:val="00E569CF"/>
    <w:rsid w:val="00F557DD"/>
    <w:rsid w:val="00FC4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3FD0C7"/>
  <w15:chartTrackingRefBased/>
  <w15:docId w15:val="{EDE57221-1E38-45AA-9F7F-C655B92FB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69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594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45945"/>
    <w:rPr>
      <w:sz w:val="18"/>
      <w:szCs w:val="18"/>
    </w:rPr>
  </w:style>
  <w:style w:type="paragraph" w:styleId="a5">
    <w:name w:val="footer"/>
    <w:basedOn w:val="a"/>
    <w:link w:val="a6"/>
    <w:uiPriority w:val="99"/>
    <w:unhideWhenUsed/>
    <w:rsid w:val="00845945"/>
    <w:pPr>
      <w:tabs>
        <w:tab w:val="center" w:pos="4153"/>
        <w:tab w:val="right" w:pos="8306"/>
      </w:tabs>
      <w:snapToGrid w:val="0"/>
      <w:jc w:val="left"/>
    </w:pPr>
    <w:rPr>
      <w:sz w:val="18"/>
      <w:szCs w:val="18"/>
    </w:rPr>
  </w:style>
  <w:style w:type="character" w:customStyle="1" w:styleId="a6">
    <w:name w:val="页脚 字符"/>
    <w:basedOn w:val="a0"/>
    <w:link w:val="a5"/>
    <w:uiPriority w:val="99"/>
    <w:rsid w:val="0084594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2507</Words>
  <Characters>14296</Characters>
  <Application>Microsoft Office Word</Application>
  <DocSecurity>0</DocSecurity>
  <Lines>119</Lines>
  <Paragraphs>33</Paragraphs>
  <ScaleCrop>false</ScaleCrop>
  <Company/>
  <LinksUpToDate>false</LinksUpToDate>
  <CharactersWithSpaces>16770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竹</dc:creator>
  <cp:keywords/>
  <dc:description/>
  <cp:lastModifiedBy>李 竹</cp:lastModifiedBy>
  <cp:revision>3</cp:revision>
  <dcterms:created xsi:type="dcterms:W3CDTF">2023-05-06T14:52:00Z</dcterms:created>
  <dcterms:modified xsi:type="dcterms:W3CDTF">2023-05-06T14:53:00Z</dcterms:modified>
</cp:coreProperties>
</file>