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7F20" w:rsidRPr="003F0257" w:rsidRDefault="00DF2DC7" w:rsidP="00F47F20">
      <w:pPr>
        <w:spacing w:line="480" w:lineRule="auto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/>
          <w:b/>
          <w:sz w:val="24"/>
        </w:rPr>
        <w:t>S</w:t>
      </w:r>
      <w:r>
        <w:rPr>
          <w:rFonts w:ascii="Times New Roman" w:eastAsia="宋体" w:hAnsi="Times New Roman" w:cs="Times New Roman" w:hint="eastAsia"/>
          <w:b/>
          <w:sz w:val="24"/>
        </w:rPr>
        <w:t>upplementary</w:t>
      </w:r>
      <w:r>
        <w:rPr>
          <w:rFonts w:ascii="Times New Roman" w:eastAsia="宋体" w:hAnsi="Times New Roman" w:cs="Times New Roman"/>
          <w:b/>
          <w:sz w:val="24"/>
        </w:rPr>
        <w:t xml:space="preserve"> </w:t>
      </w:r>
      <w:r w:rsidR="00F47F20" w:rsidRPr="003F0257">
        <w:rPr>
          <w:rFonts w:ascii="Times New Roman" w:eastAsia="宋体" w:hAnsi="Times New Roman" w:cs="Times New Roman"/>
          <w:b/>
          <w:sz w:val="24"/>
        </w:rPr>
        <w:t>Table 1.</w:t>
      </w:r>
      <w:r w:rsidR="00F47F20" w:rsidRPr="003F0257">
        <w:rPr>
          <w:rFonts w:ascii="Times New Roman" w:eastAsia="宋体" w:hAnsi="Times New Roman" w:cs="Times New Roman"/>
          <w:sz w:val="24"/>
        </w:rPr>
        <w:t xml:space="preserve"> The 63-gene panel and mutation types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48"/>
        <w:gridCol w:w="4148"/>
      </w:tblGrid>
      <w:tr w:rsidR="00F47F20" w:rsidRPr="003F0257" w:rsidTr="008426E8">
        <w:tc>
          <w:tcPr>
            <w:tcW w:w="4148" w:type="dxa"/>
            <w:tcBorders>
              <w:top w:val="single" w:sz="4" w:space="0" w:color="auto"/>
              <w:bottom w:val="single" w:sz="4" w:space="0" w:color="auto"/>
            </w:tcBorders>
          </w:tcPr>
          <w:p w:rsidR="00F47F20" w:rsidRPr="003F0257" w:rsidRDefault="00F47F20" w:rsidP="008426E8">
            <w:pPr>
              <w:spacing w:line="480" w:lineRule="auto"/>
              <w:rPr>
                <w:sz w:val="24"/>
              </w:rPr>
            </w:pPr>
            <w:r w:rsidRPr="003F0257">
              <w:rPr>
                <w:sz w:val="24"/>
              </w:rPr>
              <w:t>Mutation type</w:t>
            </w:r>
          </w:p>
        </w:tc>
        <w:tc>
          <w:tcPr>
            <w:tcW w:w="4148" w:type="dxa"/>
            <w:tcBorders>
              <w:top w:val="single" w:sz="4" w:space="0" w:color="auto"/>
              <w:bottom w:val="single" w:sz="4" w:space="0" w:color="auto"/>
            </w:tcBorders>
          </w:tcPr>
          <w:p w:rsidR="00F47F20" w:rsidRPr="003F0257" w:rsidRDefault="00F47F20" w:rsidP="008426E8">
            <w:pPr>
              <w:spacing w:line="480" w:lineRule="auto"/>
              <w:rPr>
                <w:sz w:val="24"/>
              </w:rPr>
            </w:pPr>
            <w:r w:rsidRPr="003F0257">
              <w:rPr>
                <w:sz w:val="24"/>
              </w:rPr>
              <w:t>Gene</w:t>
            </w:r>
          </w:p>
        </w:tc>
      </w:tr>
      <w:tr w:rsidR="00F47F20" w:rsidRPr="003F0257" w:rsidTr="008426E8">
        <w:tc>
          <w:tcPr>
            <w:tcW w:w="4148" w:type="dxa"/>
            <w:tcBorders>
              <w:top w:val="single" w:sz="4" w:space="0" w:color="auto"/>
            </w:tcBorders>
          </w:tcPr>
          <w:p w:rsidR="00F47F20" w:rsidRPr="003F0257" w:rsidRDefault="00F47F20" w:rsidP="008426E8">
            <w:pPr>
              <w:spacing w:line="480" w:lineRule="auto"/>
              <w:rPr>
                <w:sz w:val="24"/>
              </w:rPr>
            </w:pPr>
            <w:r w:rsidRPr="003F0257">
              <w:rPr>
                <w:sz w:val="24"/>
              </w:rPr>
              <w:t>Point mutations, insertions, and deletions</w:t>
            </w:r>
          </w:p>
          <w:p w:rsidR="00F47F20" w:rsidRPr="003F0257" w:rsidRDefault="00F47F20" w:rsidP="008426E8">
            <w:pPr>
              <w:spacing w:line="480" w:lineRule="auto"/>
              <w:rPr>
                <w:sz w:val="24"/>
              </w:rPr>
            </w:pPr>
          </w:p>
        </w:tc>
        <w:tc>
          <w:tcPr>
            <w:tcW w:w="4148" w:type="dxa"/>
            <w:tcBorders>
              <w:top w:val="single" w:sz="4" w:space="0" w:color="auto"/>
            </w:tcBorders>
          </w:tcPr>
          <w:p w:rsidR="00F47F20" w:rsidRPr="003F0257" w:rsidRDefault="00F47F20" w:rsidP="008426E8">
            <w:pPr>
              <w:spacing w:line="480" w:lineRule="auto"/>
              <w:rPr>
                <w:i/>
                <w:iCs/>
                <w:sz w:val="24"/>
              </w:rPr>
            </w:pPr>
            <w:r w:rsidRPr="003F0257">
              <w:rPr>
                <w:i/>
                <w:iCs/>
                <w:sz w:val="24"/>
              </w:rPr>
              <w:t>ABL1, AKT1, ALK*, APC, AR, ATM, BRAF*, CDH1, CDK4*, CDK6*, CDKN2A, CSF1R, CTNNB1, DDR2, DNMT3A, EGFR*, ERBB2, ERBB4*, ESR1*, EZH2, FBXW7, FGFR1, FGFR2, FGFR3, FLT3, GNA11, GNAQ, GNAS, HNF1A, HRAS*, IDH1, IDH2, JAK2*, JAK3, KDR, KIT*, KRAS*, MAP2K1, MET, MLH1, MPL, MYC, NPM1, NRAS*, PDGFRA*, PIK3CA*, PIK3R1, PTEN*, PTPN11, RB1, RET, SMAD4, SMARCB1, SMO, SRC, STK11*, TERT, TP53*, VHL</w:t>
            </w:r>
          </w:p>
        </w:tc>
      </w:tr>
      <w:tr w:rsidR="00F47F20" w:rsidRPr="003F0257" w:rsidTr="008426E8">
        <w:tc>
          <w:tcPr>
            <w:tcW w:w="4148" w:type="dxa"/>
          </w:tcPr>
          <w:p w:rsidR="00F47F20" w:rsidRPr="003F0257" w:rsidRDefault="00F47F20" w:rsidP="008426E8">
            <w:pPr>
              <w:spacing w:line="480" w:lineRule="auto"/>
              <w:rPr>
                <w:sz w:val="24"/>
              </w:rPr>
            </w:pPr>
            <w:r w:rsidRPr="003F0257">
              <w:rPr>
                <w:sz w:val="24"/>
              </w:rPr>
              <w:t>Rearrangement</w:t>
            </w:r>
          </w:p>
        </w:tc>
        <w:tc>
          <w:tcPr>
            <w:tcW w:w="4148" w:type="dxa"/>
          </w:tcPr>
          <w:p w:rsidR="00F47F20" w:rsidRPr="003F0257" w:rsidRDefault="00F47F20" w:rsidP="008426E8">
            <w:pPr>
              <w:spacing w:line="480" w:lineRule="auto"/>
              <w:rPr>
                <w:i/>
                <w:iCs/>
                <w:sz w:val="24"/>
              </w:rPr>
            </w:pPr>
            <w:r w:rsidRPr="003F0257">
              <w:rPr>
                <w:i/>
                <w:iCs/>
                <w:sz w:val="24"/>
              </w:rPr>
              <w:t>ALK, BRAF, BCR, EGFR, FGFR3, NTRK1, PDGFRA, PDGFRB, RET, ROS1</w:t>
            </w:r>
          </w:p>
        </w:tc>
      </w:tr>
      <w:tr w:rsidR="00F47F20" w:rsidRPr="003F0257" w:rsidTr="008426E8">
        <w:trPr>
          <w:trHeight w:val="80"/>
        </w:trPr>
        <w:tc>
          <w:tcPr>
            <w:tcW w:w="4148" w:type="dxa"/>
            <w:tcBorders>
              <w:bottom w:val="single" w:sz="4" w:space="0" w:color="auto"/>
            </w:tcBorders>
          </w:tcPr>
          <w:p w:rsidR="00F47F20" w:rsidRPr="003F0257" w:rsidRDefault="00F47F20" w:rsidP="008426E8">
            <w:pPr>
              <w:spacing w:line="480" w:lineRule="auto"/>
              <w:rPr>
                <w:sz w:val="24"/>
              </w:rPr>
            </w:pPr>
            <w:r w:rsidRPr="003F0257">
              <w:rPr>
                <w:sz w:val="24"/>
              </w:rPr>
              <w:t>Copy number changes</w:t>
            </w:r>
          </w:p>
        </w:tc>
        <w:tc>
          <w:tcPr>
            <w:tcW w:w="4148" w:type="dxa"/>
            <w:tcBorders>
              <w:bottom w:val="single" w:sz="4" w:space="0" w:color="auto"/>
            </w:tcBorders>
          </w:tcPr>
          <w:p w:rsidR="00F47F20" w:rsidRPr="003F0257" w:rsidRDefault="00F47F20" w:rsidP="008426E8">
            <w:pPr>
              <w:spacing w:line="480" w:lineRule="auto"/>
              <w:rPr>
                <w:i/>
                <w:iCs/>
                <w:sz w:val="24"/>
              </w:rPr>
            </w:pPr>
            <w:r w:rsidRPr="003F0257">
              <w:rPr>
                <w:i/>
                <w:iCs/>
                <w:sz w:val="24"/>
              </w:rPr>
              <w:t>CDK4, CDK6, EGFR, ERBB2, FGFR1, MET, MYC, PIK3CA</w:t>
            </w:r>
          </w:p>
        </w:tc>
      </w:tr>
    </w:tbl>
    <w:p w:rsidR="00F47F20" w:rsidRDefault="00F47F20">
      <w:pPr>
        <w:widowControl/>
        <w:jc w:val="left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/>
          <w:sz w:val="24"/>
        </w:rPr>
        <w:br w:type="page"/>
      </w:r>
    </w:p>
    <w:p w:rsidR="004D4464" w:rsidRDefault="004D4464" w:rsidP="00F47F20">
      <w:pPr>
        <w:spacing w:line="480" w:lineRule="auto"/>
        <w:rPr>
          <w:rFonts w:ascii="Times New Roman" w:eastAsia="宋体" w:hAnsi="Times New Roman" w:cs="Times New Roman"/>
          <w:b/>
          <w:bCs/>
          <w:sz w:val="24"/>
          <w:shd w:val="clear" w:color="auto" w:fill="FFFFFF"/>
        </w:rPr>
      </w:pPr>
      <w:r w:rsidRPr="004D4464">
        <w:rPr>
          <w:rFonts w:ascii="Times New Roman" w:eastAsia="宋体" w:hAnsi="Times New Roman" w:cs="Times New Roman"/>
          <w:b/>
          <w:bCs/>
          <w:noProof/>
          <w:sz w:val="24"/>
          <w:shd w:val="clear" w:color="auto" w:fill="FFFFFF"/>
        </w:rPr>
        <w:lastRenderedPageBreak/>
        <w:drawing>
          <wp:inline distT="0" distB="0" distL="0" distR="0">
            <wp:extent cx="5274310" cy="4938001"/>
            <wp:effectExtent l="0" t="0" r="2540" b="0"/>
            <wp:docPr id="1" name="图片 1" descr="D:\Users\li.gao\Desktop\工作文件\史炜IIT-PS-220601396-SMT\一投 Current Oncology\Figures\Figure 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s\li.gao\Desktop\工作文件\史炜IIT-PS-220601396-SMT\一投 Current Oncology\Figures\Figure S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9380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7F20" w:rsidRDefault="001146BE" w:rsidP="00F47F20">
      <w:pPr>
        <w:spacing w:line="480" w:lineRule="auto"/>
        <w:rPr>
          <w:rFonts w:ascii="Times New Roman" w:eastAsia="宋体" w:hAnsi="Times New Roman" w:cs="Times New Roman"/>
          <w:sz w:val="24"/>
          <w:shd w:val="clear" w:color="auto" w:fill="FFFFFF"/>
        </w:rPr>
      </w:pPr>
      <w:r>
        <w:rPr>
          <w:rFonts w:ascii="Times New Roman" w:eastAsia="宋体" w:hAnsi="Times New Roman" w:cs="Times New Roman"/>
          <w:b/>
          <w:sz w:val="24"/>
        </w:rPr>
        <w:t>S</w:t>
      </w:r>
      <w:r>
        <w:rPr>
          <w:rFonts w:ascii="Times New Roman" w:eastAsia="宋体" w:hAnsi="Times New Roman" w:cs="Times New Roman" w:hint="eastAsia"/>
          <w:b/>
          <w:sz w:val="24"/>
        </w:rPr>
        <w:t>upplementary</w:t>
      </w:r>
      <w:r>
        <w:rPr>
          <w:rFonts w:ascii="Times New Roman" w:eastAsia="宋体" w:hAnsi="Times New Roman" w:cs="Times New Roman"/>
          <w:b/>
          <w:sz w:val="24"/>
        </w:rPr>
        <w:t xml:space="preserve"> </w:t>
      </w:r>
      <w:r w:rsidR="00F47F20" w:rsidRPr="003F0257">
        <w:rPr>
          <w:rFonts w:ascii="Times New Roman" w:eastAsia="宋体" w:hAnsi="Times New Roman" w:cs="Times New Roman"/>
          <w:b/>
          <w:bCs/>
          <w:sz w:val="24"/>
          <w:shd w:val="clear" w:color="auto" w:fill="FFFFFF"/>
        </w:rPr>
        <w:t>Fig</w:t>
      </w:r>
      <w:r w:rsidR="00290174">
        <w:rPr>
          <w:rFonts w:ascii="Times New Roman" w:eastAsia="宋体" w:hAnsi="Times New Roman" w:cs="Times New Roman" w:hint="eastAsia"/>
          <w:b/>
          <w:bCs/>
          <w:sz w:val="24"/>
          <w:shd w:val="clear" w:color="auto" w:fill="FFFFFF"/>
        </w:rPr>
        <w:t>.</w:t>
      </w:r>
      <w:r w:rsidR="00290174">
        <w:rPr>
          <w:rFonts w:ascii="Times New Roman" w:eastAsia="宋体" w:hAnsi="Times New Roman" w:cs="Times New Roman"/>
          <w:b/>
          <w:bCs/>
          <w:sz w:val="24"/>
          <w:shd w:val="clear" w:color="auto" w:fill="FFFFFF"/>
        </w:rPr>
        <w:t xml:space="preserve"> </w:t>
      </w:r>
      <w:r w:rsidR="00F47F20" w:rsidRPr="003F0257">
        <w:rPr>
          <w:rFonts w:ascii="Times New Roman" w:eastAsia="宋体" w:hAnsi="Times New Roman" w:cs="Times New Roman"/>
          <w:b/>
          <w:bCs/>
          <w:sz w:val="24"/>
          <w:shd w:val="clear" w:color="auto" w:fill="FFFFFF"/>
        </w:rPr>
        <w:t>1.</w:t>
      </w:r>
      <w:r w:rsidR="00F47F20" w:rsidRPr="003F0257">
        <w:rPr>
          <w:rFonts w:ascii="Times New Roman" w:eastAsia="宋体" w:hAnsi="Times New Roman" w:cs="Times New Roman"/>
          <w:sz w:val="24"/>
          <w:shd w:val="clear" w:color="auto" w:fill="FFFFFF"/>
        </w:rPr>
        <w:t xml:space="preserve"> </w:t>
      </w:r>
      <w:r w:rsidR="00F47F20" w:rsidRPr="003F0257">
        <w:rPr>
          <w:rFonts w:ascii="Times New Roman" w:eastAsia="宋体" w:hAnsi="Times New Roman" w:cs="Times New Roman"/>
          <w:b/>
          <w:bCs/>
          <w:sz w:val="24"/>
          <w:shd w:val="clear" w:color="auto" w:fill="FFFFFF"/>
        </w:rPr>
        <w:t>Co-occurring mutations and mutually exclusive mutations between gene pairs.</w:t>
      </w:r>
      <w:r w:rsidR="00F47F20" w:rsidRPr="003F0257">
        <w:rPr>
          <w:rFonts w:ascii="Times New Roman" w:eastAsia="宋体" w:hAnsi="Times New Roman" w:cs="Times New Roman"/>
          <w:sz w:val="24"/>
          <w:shd w:val="clear" w:color="auto" w:fill="FFFFFF"/>
        </w:rPr>
        <w:t xml:space="preserve"> Co-occurring mutations are indicated by green squares and mutually exclusive mutations by brown. The intensity of the color is</w:t>
      </w:r>
      <w:r w:rsidR="00F47F20" w:rsidRPr="003F0257">
        <w:rPr>
          <w:rFonts w:ascii="Times New Roman" w:hAnsi="Times New Roman" w:cs="Times New Roman"/>
          <w:sz w:val="24"/>
        </w:rPr>
        <w:t xml:space="preserve"> </w:t>
      </w:r>
      <w:r w:rsidR="00F47F20" w:rsidRPr="003F0257">
        <w:rPr>
          <w:rFonts w:ascii="Times New Roman" w:eastAsia="宋体" w:hAnsi="Times New Roman" w:cs="Times New Roman"/>
          <w:sz w:val="24"/>
          <w:shd w:val="clear" w:color="auto" w:fill="FFFFFF"/>
        </w:rPr>
        <w:t xml:space="preserve">proportional to the –log10. </w:t>
      </w:r>
      <w:r w:rsidR="00F47F20" w:rsidRPr="003F0257">
        <w:rPr>
          <w:rFonts w:ascii="Times New Roman" w:eastAsia="宋体" w:hAnsi="Times New Roman" w:cs="Times New Roman"/>
          <w:i/>
          <w:iCs/>
          <w:sz w:val="24"/>
          <w:shd w:val="clear" w:color="auto" w:fill="FFFFFF"/>
        </w:rPr>
        <w:t>P</w:t>
      </w:r>
      <w:r w:rsidR="00F47F20" w:rsidRPr="003F0257">
        <w:rPr>
          <w:rFonts w:ascii="Times New Roman" w:eastAsia="宋体" w:hAnsi="Times New Roman" w:cs="Times New Roman"/>
          <w:sz w:val="24"/>
          <w:shd w:val="clear" w:color="auto" w:fill="FFFFFF"/>
        </w:rPr>
        <w:t>-values were determined using Fisher’s exact test.</w:t>
      </w:r>
    </w:p>
    <w:p w:rsidR="004D4464" w:rsidRPr="003F0257" w:rsidRDefault="004D4464" w:rsidP="00F47F20">
      <w:pPr>
        <w:spacing w:line="480" w:lineRule="auto"/>
        <w:rPr>
          <w:rFonts w:ascii="Times New Roman" w:eastAsia="宋体" w:hAnsi="Times New Roman" w:cs="Times New Roman"/>
          <w:sz w:val="24"/>
          <w:shd w:val="clear" w:color="auto" w:fill="FFFFFF"/>
        </w:rPr>
      </w:pPr>
      <w:r w:rsidRPr="004D4464">
        <w:rPr>
          <w:rFonts w:ascii="Times New Roman" w:eastAsia="宋体" w:hAnsi="Times New Roman" w:cs="Times New Roman"/>
          <w:noProof/>
          <w:sz w:val="24"/>
          <w:shd w:val="clear" w:color="auto" w:fill="FFFFFF"/>
        </w:rPr>
        <w:lastRenderedPageBreak/>
        <w:drawing>
          <wp:inline distT="0" distB="0" distL="0" distR="0">
            <wp:extent cx="5274310" cy="2756094"/>
            <wp:effectExtent l="0" t="0" r="2540" b="6350"/>
            <wp:docPr id="2" name="图片 2" descr="D:\Users\li.gao\Desktop\工作文件\史炜IIT-PS-220601396-SMT\一投 Current Oncology\Figures\Figure s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Users\li.gao\Desktop\工作文件\史炜IIT-PS-220601396-SMT\一投 Current Oncology\Figures\Figure s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560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5542" w:rsidRPr="00D52A91" w:rsidRDefault="00D94129" w:rsidP="00D52A91">
      <w:pPr>
        <w:spacing w:line="480" w:lineRule="auto"/>
        <w:rPr>
          <w:rFonts w:ascii="Times New Roman" w:eastAsia="宋体" w:hAnsi="Times New Roman" w:cs="Times New Roman"/>
          <w:sz w:val="24"/>
          <w:shd w:val="clear" w:color="auto" w:fill="FFFFFF"/>
        </w:rPr>
      </w:pPr>
      <w:r>
        <w:rPr>
          <w:rFonts w:ascii="Times New Roman" w:eastAsia="宋体" w:hAnsi="Times New Roman" w:cs="Times New Roman"/>
          <w:b/>
          <w:sz w:val="24"/>
        </w:rPr>
        <w:t>S</w:t>
      </w:r>
      <w:r>
        <w:rPr>
          <w:rFonts w:ascii="Times New Roman" w:eastAsia="宋体" w:hAnsi="Times New Roman" w:cs="Times New Roman" w:hint="eastAsia"/>
          <w:b/>
          <w:sz w:val="24"/>
        </w:rPr>
        <w:t>upplementary</w:t>
      </w:r>
      <w:r>
        <w:rPr>
          <w:rFonts w:ascii="Times New Roman" w:eastAsia="宋体" w:hAnsi="Times New Roman" w:cs="Times New Roman"/>
          <w:b/>
          <w:sz w:val="24"/>
        </w:rPr>
        <w:t xml:space="preserve"> </w:t>
      </w:r>
      <w:r w:rsidR="00F47F20" w:rsidRPr="003F0257">
        <w:rPr>
          <w:rFonts w:ascii="Times New Roman" w:eastAsia="宋体" w:hAnsi="Times New Roman" w:cs="Times New Roman"/>
          <w:b/>
          <w:bCs/>
          <w:sz w:val="24"/>
          <w:shd w:val="clear" w:color="auto" w:fill="FFFFFF"/>
        </w:rPr>
        <w:t>Fig</w:t>
      </w:r>
      <w:r>
        <w:rPr>
          <w:rFonts w:ascii="Times New Roman" w:eastAsia="宋体" w:hAnsi="Times New Roman" w:cs="Times New Roman"/>
          <w:b/>
          <w:bCs/>
          <w:sz w:val="24"/>
          <w:shd w:val="clear" w:color="auto" w:fill="FFFFFF"/>
        </w:rPr>
        <w:t xml:space="preserve">. </w:t>
      </w:r>
      <w:r w:rsidR="00F47F20" w:rsidRPr="003F0257">
        <w:rPr>
          <w:rFonts w:ascii="Times New Roman" w:eastAsia="宋体" w:hAnsi="Times New Roman" w:cs="Times New Roman"/>
          <w:b/>
          <w:bCs/>
          <w:sz w:val="24"/>
          <w:shd w:val="clear" w:color="auto" w:fill="FFFFFF"/>
        </w:rPr>
        <w:t>2.</w:t>
      </w:r>
      <w:r w:rsidR="00F47F20" w:rsidRPr="003F0257">
        <w:rPr>
          <w:rFonts w:ascii="Times New Roman" w:eastAsia="宋体" w:hAnsi="Times New Roman" w:cs="Times New Roman"/>
          <w:sz w:val="24"/>
          <w:shd w:val="clear" w:color="auto" w:fill="FFFFFF"/>
        </w:rPr>
        <w:t xml:space="preserve"> </w:t>
      </w:r>
      <w:r w:rsidR="00F47F20" w:rsidRPr="003F0257">
        <w:rPr>
          <w:rFonts w:ascii="Times New Roman" w:eastAsia="宋体" w:hAnsi="Times New Roman" w:cs="Times New Roman"/>
          <w:b/>
          <w:bCs/>
          <w:sz w:val="24"/>
          <w:shd w:val="clear" w:color="auto" w:fill="FFFFFF"/>
        </w:rPr>
        <w:t>The correlation of enriched KEGG pathways with the PFS of patients.</w:t>
      </w:r>
      <w:r w:rsidR="00F47F20" w:rsidRPr="003F0257">
        <w:rPr>
          <w:rFonts w:ascii="Times New Roman" w:eastAsia="宋体" w:hAnsi="Times New Roman" w:cs="Times New Roman"/>
          <w:sz w:val="24"/>
          <w:shd w:val="clear" w:color="auto" w:fill="FFFFFF"/>
        </w:rPr>
        <w:t xml:space="preserve"> (A) The enriched pathways associated with the mutated genes in 78 patients with stage IV NSCLC. (B) The association of </w:t>
      </w:r>
      <w:proofErr w:type="spellStart"/>
      <w:r w:rsidR="00F47F20" w:rsidRPr="003F0257">
        <w:rPr>
          <w:rFonts w:ascii="Times New Roman" w:eastAsia="宋体" w:hAnsi="Times New Roman" w:cs="Times New Roman"/>
          <w:sz w:val="24"/>
          <w:shd w:val="clear" w:color="auto" w:fill="FFFFFF"/>
        </w:rPr>
        <w:t>cell_cycle</w:t>
      </w:r>
      <w:proofErr w:type="spellEnd"/>
      <w:r w:rsidR="00F47F20" w:rsidRPr="003F0257">
        <w:rPr>
          <w:rFonts w:ascii="Times New Roman" w:eastAsia="宋体" w:hAnsi="Times New Roman" w:cs="Times New Roman"/>
          <w:sz w:val="24"/>
          <w:shd w:val="clear" w:color="auto" w:fill="FFFFFF"/>
        </w:rPr>
        <w:t>, RTK-RAS, and TP53 pathways with the survival of patients. MT, mutati</w:t>
      </w:r>
      <w:bookmarkStart w:id="0" w:name="_GoBack"/>
      <w:bookmarkEnd w:id="0"/>
      <w:r w:rsidR="00F47F20" w:rsidRPr="003F0257">
        <w:rPr>
          <w:rFonts w:ascii="Times New Roman" w:eastAsia="宋体" w:hAnsi="Times New Roman" w:cs="Times New Roman"/>
          <w:sz w:val="24"/>
          <w:shd w:val="clear" w:color="auto" w:fill="FFFFFF"/>
        </w:rPr>
        <w:t>on; WT, wild-type.</w:t>
      </w:r>
    </w:p>
    <w:sectPr w:rsidR="000D5542" w:rsidRPr="00D52A91" w:rsidSect="003F0257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E4931" w:rsidRDefault="00DE4931" w:rsidP="00F47F20">
      <w:r>
        <w:separator/>
      </w:r>
    </w:p>
  </w:endnote>
  <w:endnote w:type="continuationSeparator" w:id="0">
    <w:p w:rsidR="00DE4931" w:rsidRDefault="00DE4931" w:rsidP="00F47F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54596150"/>
      <w:docPartObj>
        <w:docPartGallery w:val="Page Numbers (Bottom of Page)"/>
        <w:docPartUnique/>
      </w:docPartObj>
    </w:sdtPr>
    <w:sdtContent>
      <w:p w:rsidR="00B432D2" w:rsidRDefault="00B432D2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B432D2">
          <w:rPr>
            <w:noProof/>
            <w:lang w:val="zh-CN"/>
          </w:rPr>
          <w:t>3</w:t>
        </w:r>
        <w:r>
          <w:fldChar w:fldCharType="end"/>
        </w:r>
      </w:p>
    </w:sdtContent>
  </w:sdt>
  <w:p w:rsidR="00B432D2" w:rsidRDefault="00B432D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E4931" w:rsidRDefault="00DE4931" w:rsidP="00F47F20">
      <w:r>
        <w:separator/>
      </w:r>
    </w:p>
  </w:footnote>
  <w:footnote w:type="continuationSeparator" w:id="0">
    <w:p w:rsidR="00DE4931" w:rsidRDefault="00DE4931" w:rsidP="00F47F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0AE0"/>
    <w:rsid w:val="001146BE"/>
    <w:rsid w:val="00150AE0"/>
    <w:rsid w:val="00290174"/>
    <w:rsid w:val="004D4464"/>
    <w:rsid w:val="00644684"/>
    <w:rsid w:val="00B432D2"/>
    <w:rsid w:val="00C06BAB"/>
    <w:rsid w:val="00D52A91"/>
    <w:rsid w:val="00D94129"/>
    <w:rsid w:val="00DE4931"/>
    <w:rsid w:val="00DF2DC7"/>
    <w:rsid w:val="00E40A96"/>
    <w:rsid w:val="00F315FF"/>
    <w:rsid w:val="00F47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A0F315"/>
  <w15:chartTrackingRefBased/>
  <w15:docId w15:val="{82A906C6-6E00-4E9D-8B53-943FAA98E1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47F20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47F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47F2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47F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47F20"/>
    <w:rPr>
      <w:sz w:val="18"/>
      <w:szCs w:val="18"/>
    </w:rPr>
  </w:style>
  <w:style w:type="table" w:styleId="a7">
    <w:name w:val="Table Grid"/>
    <w:basedOn w:val="a1"/>
    <w:uiPriority w:val="39"/>
    <w:qFormat/>
    <w:rsid w:val="00F47F20"/>
    <w:rPr>
      <w:rFonts w:ascii="Times New Roman" w:eastAsia="宋体" w:hAnsi="Times New Roman" w:cs="Times New Roman"/>
      <w:szCs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190</Words>
  <Characters>1086</Characters>
  <Application>Microsoft Office Word</Application>
  <DocSecurity>0</DocSecurity>
  <Lines>9</Lines>
  <Paragraphs>2</Paragraphs>
  <ScaleCrop>false</ScaleCrop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高莉</dc:creator>
  <cp:keywords/>
  <dc:description/>
  <cp:lastModifiedBy>Akira</cp:lastModifiedBy>
  <cp:revision>8</cp:revision>
  <dcterms:created xsi:type="dcterms:W3CDTF">2022-06-16T07:41:00Z</dcterms:created>
  <dcterms:modified xsi:type="dcterms:W3CDTF">2023-02-09T05:34:00Z</dcterms:modified>
</cp:coreProperties>
</file>