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7220" w:rsidRPr="00EB1B5D" w:rsidRDefault="00B77220" w:rsidP="00B77220">
      <w:pPr>
        <w:pStyle w:val="1"/>
        <w:rPr>
          <w:rFonts w:eastAsiaTheme="minorEastAsia"/>
        </w:rPr>
      </w:pPr>
      <w:r w:rsidRPr="00EB1B5D">
        <w:rPr>
          <w:rFonts w:eastAsiaTheme="minorEastAsia" w:hint="eastAsia"/>
        </w:rPr>
        <w:t>S</w:t>
      </w:r>
      <w:r w:rsidRPr="00EB1B5D">
        <w:rPr>
          <w:rFonts w:eastAsiaTheme="minorEastAsia"/>
        </w:rPr>
        <w:t xml:space="preserve">upplementary </w:t>
      </w:r>
      <w:r>
        <w:rPr>
          <w:rFonts w:eastAsiaTheme="minorEastAsia"/>
        </w:rPr>
        <w:t>Fig.</w:t>
      </w:r>
      <w:r w:rsidRPr="00EB1B5D">
        <w:rPr>
          <w:rFonts w:eastAsiaTheme="minorEastAsia"/>
        </w:rPr>
        <w:t>s</w:t>
      </w:r>
    </w:p>
    <w:p w:rsidR="00B77220" w:rsidRPr="00EB1B5D" w:rsidRDefault="00B77220" w:rsidP="00B77220">
      <w:pPr>
        <w:autoSpaceDE w:val="0"/>
        <w:autoSpaceDN w:val="0"/>
        <w:adjustRightInd w:val="0"/>
        <w:ind w:firstLine="420"/>
        <w:jc w:val="left"/>
      </w:pPr>
      <w:r w:rsidRPr="00EB1B5D">
        <w:rPr>
          <w:noProof/>
        </w:rPr>
        <w:drawing>
          <wp:inline distT="0" distB="0" distL="0" distR="0" wp14:anchorId="03685E95" wp14:editId="56011CAB">
            <wp:extent cx="6300470" cy="7452360"/>
            <wp:effectExtent l="0" t="0" r="508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upplementary Figure 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220" w:rsidRPr="00EB1B5D" w:rsidRDefault="00B77220" w:rsidP="00B77220">
      <w:pPr>
        <w:autoSpaceDE w:val="0"/>
        <w:autoSpaceDN w:val="0"/>
        <w:adjustRightInd w:val="0"/>
        <w:ind w:firstLine="422"/>
        <w:jc w:val="left"/>
        <w:rPr>
          <w:b/>
          <w:bCs/>
        </w:rPr>
      </w:pPr>
      <w:r w:rsidRPr="00EB1B5D">
        <w:rPr>
          <w:b/>
          <w:bCs/>
        </w:rPr>
        <w:t xml:space="preserve">Supplementary </w:t>
      </w:r>
      <w:r>
        <w:rPr>
          <w:b/>
          <w:bCs/>
        </w:rPr>
        <w:t>Fig.</w:t>
      </w:r>
      <w:r w:rsidRPr="00EB1B5D">
        <w:rPr>
          <w:b/>
          <w:bCs/>
        </w:rPr>
        <w:t xml:space="preserve"> 1 </w:t>
      </w:r>
      <w:r w:rsidRPr="00EB1B5D">
        <w:t>CST1 up-regulated in</w:t>
      </w:r>
      <w:r w:rsidRPr="00EB1B5D">
        <w:rPr>
          <w:b/>
          <w:bCs/>
        </w:rPr>
        <w:t xml:space="preserve"> </w:t>
      </w:r>
      <w:r w:rsidRPr="00EB1B5D">
        <w:t xml:space="preserve">a variety of tumors which was associated with relatively poor survival. </w:t>
      </w:r>
    </w:p>
    <w:p w:rsidR="00B77220" w:rsidRPr="00EB1B5D" w:rsidRDefault="00B77220" w:rsidP="00B77220">
      <w:pPr>
        <w:autoSpaceDE w:val="0"/>
        <w:autoSpaceDN w:val="0"/>
        <w:adjustRightInd w:val="0"/>
        <w:ind w:firstLine="420"/>
        <w:jc w:val="left"/>
      </w:pPr>
      <w:r w:rsidRPr="00EB1B5D">
        <w:t xml:space="preserve"> </w:t>
      </w:r>
      <w:r w:rsidRPr="00EB1B5D">
        <w:rPr>
          <w:b/>
          <w:bCs/>
        </w:rPr>
        <w:t>A,</w:t>
      </w:r>
      <w:r w:rsidRPr="00EB1B5D">
        <w:t xml:space="preserve"> a differential expression heatmap showed the top 25 overexpressed genes in ESCC based on the UALCAN database. </w:t>
      </w:r>
      <w:r w:rsidRPr="00EB1B5D">
        <w:rPr>
          <w:b/>
          <w:bCs/>
        </w:rPr>
        <w:t>B ~E</w:t>
      </w:r>
      <w:r w:rsidRPr="00EB1B5D">
        <w:t>,</w:t>
      </w:r>
      <w:r w:rsidRPr="00EB1B5D">
        <w:rPr>
          <w:rFonts w:hint="eastAsia"/>
        </w:rPr>
        <w:t xml:space="preserve"> </w:t>
      </w:r>
      <w:r w:rsidRPr="00EB1B5D">
        <w:rPr>
          <w:b/>
          <w:bCs/>
        </w:rPr>
        <w:t>B</w:t>
      </w:r>
      <w:r w:rsidRPr="00EB1B5D">
        <w:t xml:space="preserve">, </w:t>
      </w:r>
      <w:r w:rsidRPr="00EB1B5D">
        <w:rPr>
          <w:rFonts w:ascii="等线" w:eastAsia="等线" w:hAnsi="等线"/>
        </w:rPr>
        <w:t>Among</w:t>
      </w:r>
      <w:r w:rsidRPr="00EB1B5D">
        <w:t xml:space="preserve"> those cancers, esophageal cancer showed the highest mean expression of CST1. in the ONCOMINE database. </w:t>
      </w:r>
      <w:r w:rsidRPr="00EB1B5D">
        <w:rPr>
          <w:b/>
          <w:bCs/>
        </w:rPr>
        <w:t>C-E</w:t>
      </w:r>
      <w:r w:rsidRPr="00EB1B5D">
        <w:t xml:space="preserve">, In the ONCOMINE database, data from different investigators also </w:t>
      </w:r>
      <w:r w:rsidRPr="00EB1B5D">
        <w:lastRenderedPageBreak/>
        <w:t xml:space="preserve">showed that the expression level of CST1 in ESCC tissues was higher than </w:t>
      </w:r>
      <w:r w:rsidRPr="00EB1B5D">
        <w:rPr>
          <w:rFonts w:ascii="等线" w:eastAsia="等线" w:hAnsi="等线"/>
        </w:rPr>
        <w:t xml:space="preserve">that </w:t>
      </w:r>
      <w:r w:rsidRPr="00EB1B5D">
        <w:t>in normal tissues, and the difference was statistically significant.</w:t>
      </w:r>
      <w:r w:rsidRPr="00EB1B5D">
        <w:rPr>
          <w:b/>
          <w:bCs/>
        </w:rPr>
        <w:t xml:space="preserve"> F</w:t>
      </w:r>
      <w:r w:rsidRPr="00EB1B5D">
        <w:t xml:space="preserve">, We found CST1 expression was significantly higher in the ESCA group than in the normal group based on GEO (Gene Expression Omnibus) datasets (GSE53624 &amp; GSE53625). </w:t>
      </w:r>
      <w:r w:rsidRPr="00EB1B5D">
        <w:rPr>
          <w:b/>
          <w:bCs/>
        </w:rPr>
        <w:t>G,</w:t>
      </w:r>
      <w:r w:rsidRPr="00EB1B5D">
        <w:t xml:space="preserve"> The high expression of CST1 was closely associated with poor overall survival (OS) of ESCA patients based on datasets (GSE53624 &amp; GSE53625). </w:t>
      </w:r>
      <w:r w:rsidRPr="00EB1B5D">
        <w:rPr>
          <w:b/>
          <w:bCs/>
        </w:rPr>
        <w:t xml:space="preserve">H, </w:t>
      </w:r>
      <w:r w:rsidRPr="00EB1B5D">
        <w:t>The mRNA expression level of CST1 in advanced clinical stage III/IV was higher than in early stage I/II based on 180 samples in TCGA</w:t>
      </w:r>
      <w:r w:rsidRPr="00EB1B5D">
        <w:rPr>
          <w:color w:val="000000" w:themeColor="text1"/>
        </w:rPr>
        <w:t>.</w:t>
      </w:r>
    </w:p>
    <w:p w:rsidR="00B77220" w:rsidRPr="00EB1B5D" w:rsidRDefault="00B77220" w:rsidP="00B77220">
      <w:pPr>
        <w:autoSpaceDE w:val="0"/>
        <w:autoSpaceDN w:val="0"/>
        <w:adjustRightInd w:val="0"/>
        <w:ind w:firstLine="420"/>
        <w:jc w:val="left"/>
      </w:pPr>
    </w:p>
    <w:p w:rsidR="00B77220" w:rsidRPr="00EB1B5D" w:rsidRDefault="00B77220" w:rsidP="00B77220">
      <w:pPr>
        <w:autoSpaceDE w:val="0"/>
        <w:autoSpaceDN w:val="0"/>
        <w:adjustRightInd w:val="0"/>
        <w:ind w:firstLine="420"/>
        <w:jc w:val="left"/>
        <w:rPr>
          <w:rFonts w:eastAsiaTheme="minorEastAsia"/>
        </w:rPr>
      </w:pPr>
    </w:p>
    <w:p w:rsidR="00B77220" w:rsidRPr="00EB1B5D" w:rsidRDefault="00B77220" w:rsidP="00B77220">
      <w:pPr>
        <w:autoSpaceDE w:val="0"/>
        <w:autoSpaceDN w:val="0"/>
        <w:adjustRightInd w:val="0"/>
        <w:ind w:firstLine="420"/>
        <w:jc w:val="left"/>
        <w:rPr>
          <w:rFonts w:eastAsiaTheme="minorEastAsia"/>
        </w:rPr>
      </w:pPr>
      <w:r w:rsidRPr="00EB1B5D">
        <w:rPr>
          <w:rFonts w:eastAsiaTheme="minorEastAsia" w:hint="eastAsia"/>
          <w:noProof/>
        </w:rPr>
        <w:drawing>
          <wp:inline distT="0" distB="0" distL="0" distR="0" wp14:anchorId="03B5C236" wp14:editId="6EE84F48">
            <wp:extent cx="6300470" cy="7452360"/>
            <wp:effectExtent l="0" t="0" r="508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upplementary Figure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220" w:rsidRPr="00EB1B5D" w:rsidRDefault="00B77220" w:rsidP="00B77220">
      <w:pPr>
        <w:autoSpaceDE w:val="0"/>
        <w:autoSpaceDN w:val="0"/>
        <w:adjustRightInd w:val="0"/>
        <w:ind w:firstLine="422"/>
        <w:jc w:val="left"/>
      </w:pPr>
      <w:bookmarkStart w:id="0" w:name="_GoBack"/>
      <w:r w:rsidRPr="00EB1B5D">
        <w:rPr>
          <w:b/>
          <w:bCs/>
        </w:rPr>
        <w:t>Supplementary</w:t>
      </w:r>
      <w:bookmarkEnd w:id="0"/>
      <w:r w:rsidRPr="00EB1B5D">
        <w:rPr>
          <w:b/>
          <w:bCs/>
        </w:rPr>
        <w:t xml:space="preserve"> </w:t>
      </w:r>
      <w:r>
        <w:rPr>
          <w:b/>
          <w:bCs/>
        </w:rPr>
        <w:t>Fig.</w:t>
      </w:r>
      <w:r w:rsidRPr="00EB1B5D">
        <w:rPr>
          <w:b/>
          <w:bCs/>
        </w:rPr>
        <w:t xml:space="preserve"> 2</w:t>
      </w:r>
      <w:r w:rsidRPr="00EB1B5D">
        <w:t xml:space="preserve"> </w:t>
      </w:r>
      <w:r w:rsidRPr="00EB1B5D">
        <w:rPr>
          <w:rFonts w:ascii="Arial" w:hAnsi="Arial" w:cs="Arial"/>
        </w:rPr>
        <w:t xml:space="preserve">Over-expression of CST1 facilitated proliferation in vitro and in vivo not by </w:t>
      </w:r>
      <w:r w:rsidRPr="00EB1B5D">
        <w:rPr>
          <w:rFonts w:ascii="Arial" w:hAnsi="Arial" w:cs="Arial"/>
        </w:rPr>
        <w:lastRenderedPageBreak/>
        <w:t>influence ESCC apoptosis or cell cycle arrest.</w:t>
      </w:r>
    </w:p>
    <w:p w:rsidR="00B77220" w:rsidRPr="00EB1B5D" w:rsidRDefault="00B77220" w:rsidP="00B77220">
      <w:pPr>
        <w:autoSpaceDE w:val="0"/>
        <w:autoSpaceDN w:val="0"/>
        <w:adjustRightInd w:val="0"/>
        <w:ind w:firstLine="422"/>
        <w:jc w:val="left"/>
        <w:rPr>
          <w:rFonts w:ascii="Arial" w:hAnsi="Arial" w:cs="Arial"/>
        </w:rPr>
      </w:pPr>
      <w:r w:rsidRPr="00EB1B5D">
        <w:rPr>
          <w:b/>
          <w:bCs/>
        </w:rPr>
        <w:t>A~I</w:t>
      </w:r>
      <w:r w:rsidRPr="00EB1B5D">
        <w:t xml:space="preserve">, We examined cell cycle and early apoptosis in CST1 knockdown and overexpressing stable cell lines by flow cytometry (FCM) and we found there were not significantly difference in cell cycle arrest </w:t>
      </w:r>
      <w:r w:rsidRPr="00EB1B5D">
        <w:rPr>
          <w:rFonts w:ascii="Arial" w:hAnsi="Arial" w:cs="Arial"/>
        </w:rPr>
        <w:t>(</w:t>
      </w:r>
      <w:r w:rsidRPr="006D5ECF">
        <w:rPr>
          <w:rFonts w:ascii="Arial" w:hAnsi="Arial" w:cs="Arial"/>
          <w:b/>
          <w:bCs/>
        </w:rPr>
        <w:t xml:space="preserve">Supplementary </w:t>
      </w:r>
      <w:r w:rsidRPr="00EB1B5D">
        <w:rPr>
          <w:rFonts w:ascii="Arial" w:hAnsi="Arial" w:cs="Arial"/>
          <w:b/>
          <w:bCs/>
        </w:rPr>
        <w:t>Fig. 2A, B</w:t>
      </w:r>
      <w:r w:rsidRPr="00EB1B5D">
        <w:rPr>
          <w:rFonts w:ascii="Arial" w:hAnsi="Arial" w:cs="Arial"/>
        </w:rPr>
        <w:t xml:space="preserve">) </w:t>
      </w:r>
      <w:r w:rsidRPr="00EB1B5D">
        <w:t xml:space="preserve">or early apoptosis </w:t>
      </w:r>
      <w:r w:rsidRPr="00EB1B5D">
        <w:rPr>
          <w:rFonts w:ascii="Arial" w:hAnsi="Arial" w:cs="Arial"/>
        </w:rPr>
        <w:t>(</w:t>
      </w:r>
      <w:r w:rsidRPr="006D5ECF">
        <w:rPr>
          <w:rFonts w:ascii="Arial" w:hAnsi="Arial" w:cs="Arial"/>
          <w:b/>
          <w:bCs/>
        </w:rPr>
        <w:t xml:space="preserve">Supplementary </w:t>
      </w:r>
      <w:r w:rsidRPr="00EB1B5D">
        <w:rPr>
          <w:rFonts w:ascii="Arial" w:hAnsi="Arial" w:cs="Arial"/>
          <w:b/>
          <w:bCs/>
        </w:rPr>
        <w:t>Fig. 2F and H</w:t>
      </w:r>
      <w:r w:rsidRPr="00EB1B5D">
        <w:rPr>
          <w:rFonts w:ascii="Arial" w:hAnsi="Arial" w:cs="Arial"/>
        </w:rPr>
        <w:t>)</w:t>
      </w:r>
      <w:r w:rsidRPr="00EB1B5D">
        <w:t xml:space="preserve"> or between CST1 stable knockdown cells</w:t>
      </w:r>
      <w:r w:rsidRPr="00EB1B5D">
        <w:rPr>
          <w:rFonts w:ascii="Arial" w:hAnsi="Arial" w:cs="Arial"/>
        </w:rPr>
        <w:t xml:space="preserve"> </w:t>
      </w:r>
      <w:r w:rsidRPr="00EB1B5D">
        <w:t xml:space="preserve">with its control. And there were not significantly difference in cell cycle arrest </w:t>
      </w:r>
      <w:r w:rsidRPr="00EB1B5D">
        <w:rPr>
          <w:rFonts w:ascii="Arial" w:hAnsi="Arial" w:cs="Arial"/>
        </w:rPr>
        <w:t>(</w:t>
      </w:r>
      <w:r w:rsidRPr="006D5ECF">
        <w:rPr>
          <w:rFonts w:ascii="Arial" w:hAnsi="Arial" w:cs="Arial"/>
          <w:b/>
          <w:bCs/>
        </w:rPr>
        <w:t xml:space="preserve">Supplementary </w:t>
      </w:r>
      <w:r w:rsidRPr="00EB1B5D">
        <w:rPr>
          <w:rFonts w:ascii="Arial" w:hAnsi="Arial" w:cs="Arial"/>
          <w:b/>
          <w:bCs/>
        </w:rPr>
        <w:t>Fig. 2C and D</w:t>
      </w:r>
      <w:r w:rsidRPr="00EB1B5D">
        <w:rPr>
          <w:rFonts w:ascii="Arial" w:hAnsi="Arial" w:cs="Arial"/>
        </w:rPr>
        <w:t xml:space="preserve">) </w:t>
      </w:r>
      <w:r w:rsidRPr="00EB1B5D">
        <w:t xml:space="preserve">or early apoptosis </w:t>
      </w:r>
      <w:r w:rsidRPr="00EB1B5D">
        <w:rPr>
          <w:rFonts w:ascii="Arial" w:hAnsi="Arial" w:cs="Arial"/>
        </w:rPr>
        <w:t>(</w:t>
      </w:r>
      <w:r w:rsidRPr="006D5ECF">
        <w:rPr>
          <w:rFonts w:ascii="Arial" w:hAnsi="Arial" w:cs="Arial"/>
          <w:b/>
          <w:bCs/>
        </w:rPr>
        <w:t xml:space="preserve">Supplementary </w:t>
      </w:r>
      <w:r w:rsidRPr="00EB1B5D">
        <w:rPr>
          <w:rFonts w:ascii="Arial" w:hAnsi="Arial" w:cs="Arial"/>
          <w:b/>
          <w:bCs/>
        </w:rPr>
        <w:t>Fig. 2G and 2I</w:t>
      </w:r>
      <w:r w:rsidRPr="00EB1B5D">
        <w:rPr>
          <w:rFonts w:ascii="Arial" w:hAnsi="Arial" w:cs="Arial"/>
        </w:rPr>
        <w:t>)</w:t>
      </w:r>
      <w:r w:rsidRPr="00EB1B5D">
        <w:t xml:space="preserve"> in CST1 stable overexpressing cells</w:t>
      </w:r>
      <w:r w:rsidRPr="00EB1B5D">
        <w:rPr>
          <w:rFonts w:ascii="Arial" w:hAnsi="Arial" w:cs="Arial"/>
        </w:rPr>
        <w:t xml:space="preserve"> </w:t>
      </w:r>
      <w:r w:rsidRPr="00EB1B5D">
        <w:t>with its control. The cell cycle arrest biomarker p53 and cyclinD1 seems like not obviously change by Western blot</w:t>
      </w:r>
      <w:r w:rsidRPr="00EB1B5D">
        <w:rPr>
          <w:rFonts w:ascii="Arial" w:hAnsi="Arial" w:cs="Arial"/>
        </w:rPr>
        <w:t xml:space="preserve"> (</w:t>
      </w:r>
      <w:r w:rsidRPr="006D5ECF">
        <w:rPr>
          <w:rFonts w:ascii="Arial" w:hAnsi="Arial" w:cs="Arial"/>
          <w:b/>
          <w:bCs/>
        </w:rPr>
        <w:t xml:space="preserve">Supplementary </w:t>
      </w:r>
      <w:r w:rsidRPr="00EB1B5D">
        <w:rPr>
          <w:rFonts w:ascii="Arial" w:hAnsi="Arial" w:cs="Arial"/>
          <w:b/>
          <w:bCs/>
        </w:rPr>
        <w:t>Fig. 2E</w:t>
      </w:r>
      <w:r w:rsidRPr="00EB1B5D">
        <w:rPr>
          <w:rFonts w:ascii="Arial" w:hAnsi="Arial" w:cs="Arial"/>
        </w:rPr>
        <w:t xml:space="preserve">). </w:t>
      </w:r>
    </w:p>
    <w:p w:rsidR="00B77220" w:rsidRPr="004C502E" w:rsidRDefault="00B77220" w:rsidP="00B77220">
      <w:pPr>
        <w:autoSpaceDE w:val="0"/>
        <w:autoSpaceDN w:val="0"/>
        <w:adjustRightInd w:val="0"/>
        <w:ind w:firstLine="420"/>
        <w:jc w:val="left"/>
        <w:rPr>
          <w:rFonts w:ascii="Arial" w:hAnsi="Arial" w:cs="Arial"/>
          <w:b/>
          <w:bCs/>
        </w:rPr>
      </w:pPr>
      <w:r w:rsidRPr="00EB1B5D">
        <w:t>Data were presented as the mean</w:t>
      </w:r>
      <m:oMath>
        <m:r>
          <m:rPr>
            <m:sty m:val="p"/>
          </m:rPr>
          <w:rPr>
            <w:rFonts w:ascii="Cambria Math" w:hAnsi="Cambria Math" w:hint="eastAsia"/>
          </w:rPr>
          <m:t>±</m:t>
        </m:r>
      </m:oMath>
      <w:r w:rsidRPr="00EB1B5D">
        <w:t>s.d. of three independent experiments. *</w:t>
      </w:r>
      <w:r w:rsidRPr="0018318F">
        <w:rPr>
          <w:i/>
        </w:rPr>
        <w:t xml:space="preserve">p &lt; </w:t>
      </w:r>
      <w:r w:rsidRPr="00EB1B5D">
        <w:t>0.05, **</w:t>
      </w:r>
      <w:r w:rsidRPr="0018318F">
        <w:rPr>
          <w:i/>
        </w:rPr>
        <w:t xml:space="preserve">p &lt; </w:t>
      </w:r>
      <w:r w:rsidRPr="00EB1B5D">
        <w:t>0.01, ***</w:t>
      </w:r>
      <w:r w:rsidRPr="0018318F">
        <w:rPr>
          <w:i/>
        </w:rPr>
        <w:t xml:space="preserve">p &lt; </w:t>
      </w:r>
      <w:r w:rsidRPr="00EB1B5D">
        <w:t xml:space="preserve">0.001 by student’s </w:t>
      </w:r>
      <w:r w:rsidRPr="00EB1B5D">
        <w:rPr>
          <w:i/>
          <w:iCs/>
        </w:rPr>
        <w:t>t</w:t>
      </w:r>
      <w:r w:rsidRPr="00EB1B5D">
        <w:t>-test.</w:t>
      </w:r>
    </w:p>
    <w:p w:rsidR="00B77220" w:rsidRDefault="00B77220" w:rsidP="00B77220">
      <w:pPr>
        <w:autoSpaceDE w:val="0"/>
        <w:autoSpaceDN w:val="0"/>
        <w:adjustRightInd w:val="0"/>
        <w:ind w:firstLine="420"/>
        <w:jc w:val="left"/>
      </w:pPr>
    </w:p>
    <w:p w:rsidR="00B77220" w:rsidRDefault="00B77220" w:rsidP="00B77220">
      <w:pPr>
        <w:autoSpaceDE w:val="0"/>
        <w:autoSpaceDN w:val="0"/>
        <w:adjustRightInd w:val="0"/>
        <w:ind w:firstLine="420"/>
        <w:jc w:val="left"/>
      </w:pPr>
    </w:p>
    <w:p w:rsidR="00B77220" w:rsidRDefault="00B77220" w:rsidP="00B77220">
      <w:pPr>
        <w:autoSpaceDE w:val="0"/>
        <w:autoSpaceDN w:val="0"/>
        <w:adjustRightInd w:val="0"/>
        <w:ind w:firstLine="420"/>
        <w:jc w:val="left"/>
      </w:pPr>
    </w:p>
    <w:p w:rsidR="00B77220" w:rsidRPr="001860A6" w:rsidRDefault="00B77220" w:rsidP="00B77220">
      <w:pPr>
        <w:autoSpaceDE w:val="0"/>
        <w:autoSpaceDN w:val="0"/>
        <w:adjustRightInd w:val="0"/>
        <w:ind w:firstLine="420"/>
        <w:jc w:val="left"/>
      </w:pPr>
    </w:p>
    <w:p w:rsidR="00B77220" w:rsidRPr="005C227B" w:rsidRDefault="00B77220" w:rsidP="00B77220">
      <w:pPr>
        <w:ind w:firstLine="420"/>
      </w:pPr>
    </w:p>
    <w:p w:rsidR="00B77220" w:rsidRDefault="00B77220" w:rsidP="00B77220">
      <w:pPr>
        <w:ind w:firstLine="420"/>
        <w:rPr>
          <w:rFonts w:ascii="Arial" w:hAnsi="Arial" w:cs="Arial"/>
        </w:rPr>
      </w:pPr>
    </w:p>
    <w:p w:rsidR="00B77220" w:rsidRDefault="00B77220" w:rsidP="00B77220">
      <w:pPr>
        <w:ind w:firstLine="420"/>
        <w:rPr>
          <w:rFonts w:ascii="Arial" w:hAnsi="Arial" w:cs="Arial"/>
        </w:rPr>
      </w:pPr>
    </w:p>
    <w:p w:rsidR="00B77220" w:rsidRDefault="00B77220" w:rsidP="00B77220">
      <w:pPr>
        <w:ind w:firstLine="420"/>
        <w:rPr>
          <w:rFonts w:ascii="Arial" w:hAnsi="Arial" w:cs="Arial"/>
        </w:rPr>
      </w:pPr>
    </w:p>
    <w:p w:rsidR="00B77220" w:rsidRDefault="00B77220" w:rsidP="00B77220">
      <w:pPr>
        <w:ind w:firstLine="420"/>
        <w:rPr>
          <w:rFonts w:ascii="Arial" w:hAnsi="Arial" w:cs="Arial"/>
        </w:rPr>
      </w:pPr>
    </w:p>
    <w:p w:rsidR="00B77220" w:rsidRDefault="00B77220" w:rsidP="00B77220">
      <w:pPr>
        <w:ind w:firstLine="420"/>
        <w:rPr>
          <w:rFonts w:ascii="Arial" w:hAnsi="Arial" w:cs="Arial"/>
        </w:rPr>
      </w:pPr>
    </w:p>
    <w:p w:rsidR="00B77220" w:rsidRDefault="00B77220" w:rsidP="00B77220">
      <w:pPr>
        <w:ind w:firstLine="420"/>
        <w:rPr>
          <w:rFonts w:ascii="Arial" w:hAnsi="Arial" w:cs="Arial"/>
        </w:rPr>
      </w:pPr>
    </w:p>
    <w:p w:rsidR="00B77220" w:rsidRPr="00D53CE1" w:rsidRDefault="00B77220" w:rsidP="00B77220">
      <w:pPr>
        <w:ind w:firstLine="420"/>
        <w:rPr>
          <w:rFonts w:ascii="Arial" w:eastAsiaTheme="minorEastAsia" w:hAnsi="Arial" w:cs="Arial"/>
        </w:rPr>
      </w:pPr>
    </w:p>
    <w:p w:rsidR="006373EF" w:rsidRDefault="006373EF">
      <w:pPr>
        <w:ind w:firstLine="420"/>
      </w:pPr>
    </w:p>
    <w:sectPr w:rsidR="006373EF" w:rsidSect="007A06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134" w:bottom="851" w:left="1134" w:header="283" w:footer="1134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2D7F" w:rsidRDefault="00B77220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2D7F" w:rsidRPr="007A06DE" w:rsidRDefault="00B77220" w:rsidP="007A06DE">
    <w:pPr>
      <w:pStyle w:val="a9"/>
      <w:ind w:firstLineChars="0" w:firstLine="0"/>
      <w:rPr>
        <w:rFonts w:eastAsiaTheme="minor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2D7F" w:rsidRPr="007A06DE" w:rsidRDefault="00B77220" w:rsidP="007A06DE">
    <w:pPr>
      <w:pStyle w:val="a9"/>
      <w:ind w:firstLineChars="0" w:firstLine="0"/>
      <w:rPr>
        <w:rFonts w:eastAsiaTheme="minorEastAsi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2D7F" w:rsidRDefault="00B77220">
    <w:pPr>
      <w:pStyle w:val="ab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2D7F" w:rsidRPr="007A06DE" w:rsidRDefault="00B77220" w:rsidP="007A06DE">
    <w:pPr>
      <w:ind w:firstLineChars="0" w:firstLine="0"/>
      <w:rPr>
        <w:rFonts w:eastAsiaTheme="minor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32D7F" w:rsidRDefault="00B77220" w:rsidP="007A06DE">
    <w:pPr>
      <w:pStyle w:val="ab"/>
      <w:pBdr>
        <w:bottom w:val="none" w:sz="0" w:space="0" w:color="auto"/>
      </w:pBdr>
      <w:ind w:firstLineChars="0" w:firstLine="0"/>
      <w:jc w:val="left"/>
    </w:pPr>
    <w:r>
      <w:rPr>
        <w:noProof/>
      </w:rPr>
      <w:drawing>
        <wp:inline distT="0" distB="0" distL="0" distR="0" wp14:anchorId="52AF4E43" wp14:editId="2A5A4EA3">
          <wp:extent cx="1286751" cy="4032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b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751" cy="4032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A33E09F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63310ED6"/>
    <w:multiLevelType w:val="multilevel"/>
    <w:tmpl w:val="02E46558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</w:num>
  <w:num w:numId="11">
    <w:abstractNumId w:val="1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1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1"/>
  </w:num>
  <w:num w:numId="25">
    <w:abstractNumId w:val="0"/>
  </w:num>
  <w:num w:numId="26">
    <w:abstractNumId w:val="0"/>
  </w:num>
  <w:num w:numId="27">
    <w:abstractNumId w:val="0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220"/>
    <w:rsid w:val="00006680"/>
    <w:rsid w:val="000877FC"/>
    <w:rsid w:val="001A0711"/>
    <w:rsid w:val="002B6333"/>
    <w:rsid w:val="00304C1C"/>
    <w:rsid w:val="003370A1"/>
    <w:rsid w:val="00441AD2"/>
    <w:rsid w:val="004E529B"/>
    <w:rsid w:val="00565869"/>
    <w:rsid w:val="006373EF"/>
    <w:rsid w:val="006624B1"/>
    <w:rsid w:val="0071477E"/>
    <w:rsid w:val="007745D7"/>
    <w:rsid w:val="007B334F"/>
    <w:rsid w:val="0083031C"/>
    <w:rsid w:val="00875377"/>
    <w:rsid w:val="00896058"/>
    <w:rsid w:val="0090252B"/>
    <w:rsid w:val="00A70FA3"/>
    <w:rsid w:val="00B77220"/>
    <w:rsid w:val="00B94C7F"/>
    <w:rsid w:val="00CB2603"/>
    <w:rsid w:val="00E16972"/>
    <w:rsid w:val="00E26481"/>
    <w:rsid w:val="00E470AA"/>
    <w:rsid w:val="00E4715E"/>
    <w:rsid w:val="00E6286C"/>
    <w:rsid w:val="00F73AB7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F5A67C-5586-470D-B9F6-F914DC3C0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220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441AD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441AD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441AD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1AD2"/>
    <w:pPr>
      <w:keepNext/>
      <w:keepLines/>
      <w:numPr>
        <w:ilvl w:val="5"/>
        <w:numId w:val="2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41AD2"/>
    <w:pPr>
      <w:keepNext/>
      <w:keepLines/>
      <w:numPr>
        <w:ilvl w:val="6"/>
        <w:numId w:val="2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41AD2"/>
    <w:pPr>
      <w:keepNext/>
      <w:keepLines/>
      <w:numPr>
        <w:ilvl w:val="7"/>
        <w:numId w:val="2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1AD2"/>
    <w:pPr>
      <w:keepNext/>
      <w:keepLines/>
      <w:numPr>
        <w:ilvl w:val="8"/>
        <w:numId w:val="2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A70FA3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character" w:styleId="a3">
    <w:name w:val="Hyperlink"/>
    <w:uiPriority w:val="99"/>
    <w:unhideWhenUsed/>
    <w:rsid w:val="00A70FA3"/>
    <w:rPr>
      <w:color w:val="0563C1"/>
      <w:u w:val="single"/>
    </w:rPr>
  </w:style>
  <w:style w:type="character" w:styleId="a4">
    <w:name w:val="line number"/>
    <w:uiPriority w:val="99"/>
    <w:semiHidden/>
    <w:unhideWhenUsed/>
    <w:rsid w:val="00441AD2"/>
  </w:style>
  <w:style w:type="paragraph" w:styleId="a5">
    <w:name w:val="List Paragraph"/>
    <w:basedOn w:val="a"/>
    <w:uiPriority w:val="1"/>
    <w:qFormat/>
    <w:rsid w:val="00A70FA3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A70FA3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70FA3"/>
    <w:rPr>
      <w:rFonts w:ascii="等线" w:eastAsia="等线" w:hAnsi="等线" w:cs="Times New Roman"/>
      <w:sz w:val="18"/>
      <w:szCs w:val="18"/>
    </w:rPr>
  </w:style>
  <w:style w:type="paragraph" w:styleId="a8">
    <w:name w:val="caption"/>
    <w:basedOn w:val="a"/>
    <w:next w:val="a"/>
    <w:uiPriority w:val="35"/>
    <w:unhideWhenUsed/>
    <w:qFormat/>
    <w:rsid w:val="00A70FA3"/>
    <w:rPr>
      <w:rFonts w:ascii="等线 Light" w:eastAsia="黑体" w:hAnsi="等线 Light"/>
      <w:sz w:val="20"/>
      <w:szCs w:val="20"/>
    </w:rPr>
  </w:style>
  <w:style w:type="table" w:customStyle="1" w:styleId="5-11">
    <w:name w:val="网格表 5 深色 - 着色 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A70FA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numbering" w:customStyle="1" w:styleId="11">
    <w:name w:val="无列表1"/>
    <w:next w:val="a2"/>
    <w:uiPriority w:val="99"/>
    <w:semiHidden/>
    <w:unhideWhenUsed/>
    <w:rsid w:val="00A70FA3"/>
  </w:style>
  <w:style w:type="paragraph" w:styleId="a9">
    <w:name w:val="footer"/>
    <w:basedOn w:val="a"/>
    <w:link w:val="aa"/>
    <w:uiPriority w:val="99"/>
    <w:unhideWhenUsed/>
    <w:rsid w:val="0044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4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441AD2"/>
    <w:rPr>
      <w:rFonts w:ascii="Times New Roman" w:eastAsia="Times New Roman" w:hAnsi="Times New Roman" w:cs="Times New Roman"/>
      <w:sz w:val="18"/>
      <w:szCs w:val="18"/>
    </w:rPr>
  </w:style>
  <w:style w:type="paragraph" w:styleId="ad">
    <w:name w:val="Body Text"/>
    <w:basedOn w:val="a"/>
    <w:link w:val="ae"/>
    <w:autoRedefine/>
    <w:uiPriority w:val="1"/>
    <w:qFormat/>
    <w:rsid w:val="00441AD2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e">
    <w:name w:val="正文文本 字符"/>
    <w:link w:val="ad"/>
    <w:uiPriority w:val="1"/>
    <w:rsid w:val="00441AD2"/>
    <w:rPr>
      <w:rFonts w:ascii="Times New Roman" w:eastAsia="Times New Roman" w:hAnsi="Times New Roman" w:cs="Times New Roman"/>
      <w:kern w:val="0"/>
      <w:szCs w:val="21"/>
    </w:rPr>
  </w:style>
  <w:style w:type="character" w:customStyle="1" w:styleId="10">
    <w:name w:val="标题 1 字符"/>
    <w:aliases w:val="一级标题 字符"/>
    <w:link w:val="1"/>
    <w:uiPriority w:val="1"/>
    <w:rsid w:val="00441AD2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441AD2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441AD2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441AD2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441AD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441AD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441AD2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441AD2"/>
    <w:rPr>
      <w:rFonts w:asciiTheme="majorHAnsi" w:eastAsiaTheme="majorEastAsia" w:hAnsiTheme="majorHAnsi" w:cstheme="majorBidi"/>
      <w:szCs w:val="21"/>
    </w:rPr>
  </w:style>
  <w:style w:type="paragraph" w:customStyle="1" w:styleId="Abstract">
    <w:name w:val="Abstract"/>
    <w:basedOn w:val="a"/>
    <w:autoRedefine/>
    <w:qFormat/>
    <w:rsid w:val="00441AD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441AD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441AD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">
    <w:name w:val="版权信息"/>
    <w:basedOn w:val="a"/>
    <w:autoRedefine/>
    <w:qFormat/>
    <w:rsid w:val="00441AD2"/>
    <w:pPr>
      <w:ind w:firstLineChars="0" w:firstLine="0"/>
    </w:pPr>
  </w:style>
  <w:style w:type="paragraph" w:customStyle="1" w:styleId="af0">
    <w:name w:val="表题"/>
    <w:basedOn w:val="a"/>
    <w:autoRedefine/>
    <w:qFormat/>
    <w:rsid w:val="00E26481"/>
    <w:pPr>
      <w:adjustRightInd w:val="0"/>
      <w:snapToGrid w:val="0"/>
      <w:spacing w:before="240" w:after="240" w:line="288" w:lineRule="auto"/>
      <w:ind w:leftChars="200" w:left="420" w:firstLineChars="0" w:firstLine="0"/>
      <w:jc w:val="center"/>
    </w:pPr>
    <w:rPr>
      <w:b/>
    </w:rPr>
  </w:style>
  <w:style w:type="paragraph" w:customStyle="1" w:styleId="af1">
    <w:name w:val="表注"/>
    <w:basedOn w:val="af0"/>
    <w:autoRedefine/>
    <w:qFormat/>
    <w:rsid w:val="00441AD2"/>
    <w:pPr>
      <w:spacing w:before="0"/>
      <w:ind w:rightChars="200" w:right="420" w:firstLineChars="100" w:firstLine="210"/>
    </w:pPr>
    <w:rPr>
      <w:b w:val="0"/>
    </w:rPr>
  </w:style>
  <w:style w:type="paragraph" w:customStyle="1" w:styleId="af2">
    <w:name w:val="参考文献"/>
    <w:basedOn w:val="a"/>
    <w:autoRedefine/>
    <w:qFormat/>
    <w:rsid w:val="00441AD2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f3">
    <w:name w:val="稿件类型"/>
    <w:basedOn w:val="a"/>
    <w:autoRedefine/>
    <w:qFormat/>
    <w:rsid w:val="00441AD2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4">
    <w:name w:val="关键词"/>
    <w:basedOn w:val="Keywords"/>
    <w:autoRedefine/>
    <w:qFormat/>
    <w:rsid w:val="00441AD2"/>
    <w:rPr>
      <w:rFonts w:eastAsia="Times New Roman"/>
      <w:b w:val="0"/>
    </w:rPr>
  </w:style>
  <w:style w:type="paragraph" w:customStyle="1" w:styleId="af5">
    <w:name w:val="机构信息"/>
    <w:basedOn w:val="a"/>
    <w:link w:val="af6"/>
    <w:autoRedefine/>
    <w:qFormat/>
    <w:rsid w:val="00E26481"/>
    <w:pPr>
      <w:ind w:firstLineChars="0" w:firstLine="0"/>
    </w:pPr>
    <w:rPr>
      <w:rFonts w:cstheme="minorBidi"/>
    </w:rPr>
  </w:style>
  <w:style w:type="character" w:customStyle="1" w:styleId="af6">
    <w:name w:val="机构信息 字符"/>
    <w:link w:val="af5"/>
    <w:rsid w:val="00E26481"/>
    <w:rPr>
      <w:rFonts w:ascii="Times New Roman" w:eastAsia="Times New Roman" w:hAnsi="Times New Roman"/>
      <w:szCs w:val="21"/>
    </w:rPr>
  </w:style>
  <w:style w:type="paragraph" w:customStyle="1" w:styleId="af7">
    <w:name w:val="接收日期"/>
    <w:basedOn w:val="a"/>
    <w:autoRedefine/>
    <w:qFormat/>
    <w:rsid w:val="00441AD2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441AD2"/>
    <w:pPr>
      <w:ind w:firstLineChars="0" w:firstLine="0"/>
    </w:pPr>
  </w:style>
  <w:style w:type="paragraph" w:customStyle="1" w:styleId="af9">
    <w:name w:val="图注"/>
    <w:basedOn w:val="af1"/>
    <w:autoRedefine/>
    <w:qFormat/>
    <w:rsid w:val="00441AD2"/>
    <w:pPr>
      <w:spacing w:beforeLines="100" w:before="100" w:after="100"/>
      <w:ind w:leftChars="0" w:left="0" w:right="200" w:firstLineChars="0" w:firstLine="0"/>
    </w:pPr>
  </w:style>
  <w:style w:type="paragraph" w:customStyle="1" w:styleId="afa">
    <w:name w:val="文章标题"/>
    <w:basedOn w:val="a"/>
    <w:link w:val="afb"/>
    <w:autoRedefine/>
    <w:qFormat/>
    <w:rsid w:val="00441AD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441AD2"/>
    <w:rPr>
      <w:rFonts w:ascii="Times New Roman" w:eastAsia="Times New Roman" w:hAnsi="Times New Roman"/>
      <w:b/>
      <w:bCs/>
      <w:spacing w:val="-8"/>
      <w:sz w:val="36"/>
      <w:szCs w:val="36"/>
    </w:rPr>
  </w:style>
  <w:style w:type="paragraph" w:customStyle="1" w:styleId="afc">
    <w:name w:val="摘要"/>
    <w:basedOn w:val="Abstract"/>
    <w:autoRedefine/>
    <w:qFormat/>
    <w:rsid w:val="00441AD2"/>
    <w:rPr>
      <w:b w:val="0"/>
      <w:sz w:val="21"/>
      <w:szCs w:val="21"/>
    </w:rPr>
  </w:style>
  <w:style w:type="paragraph" w:customStyle="1" w:styleId="afd">
    <w:name w:val="致谢部分"/>
    <w:basedOn w:val="ad"/>
    <w:link w:val="afe"/>
    <w:autoRedefine/>
    <w:qFormat/>
    <w:rsid w:val="00441AD2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e"/>
    <w:link w:val="afd"/>
    <w:rsid w:val="00441AD2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441AD2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header" Target="header3.xml"/><Relationship Id="rId5" Type="http://schemas.openxmlformats.org/officeDocument/2006/relationships/image" Target="media/image1.jp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</Words>
  <Characters>1686</Characters>
  <Application>Microsoft Office Word</Application>
  <DocSecurity>0</DocSecurity>
  <Lines>14</Lines>
  <Paragraphs>3</Paragraphs>
  <ScaleCrop>false</ScaleCrop>
  <Company/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sia</cp:lastModifiedBy>
  <cp:revision>1</cp:revision>
  <dcterms:created xsi:type="dcterms:W3CDTF">2023-04-04T06:40:00Z</dcterms:created>
  <dcterms:modified xsi:type="dcterms:W3CDTF">2023-04-04T06:40:00Z</dcterms:modified>
</cp:coreProperties>
</file>