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72DE9" w14:textId="5CE8266D" w:rsidR="003F1E12" w:rsidRDefault="003F1E12" w:rsidP="00DE39FA">
      <w:pPr>
        <w:ind w:leftChars="100" w:left="480" w:hangingChars="100" w:hanging="240"/>
      </w:pPr>
      <w:r>
        <w:rPr>
          <w:noProof/>
        </w:rPr>
        <w:drawing>
          <wp:inline distT="0" distB="0" distL="0" distR="0" wp14:anchorId="7892D37B" wp14:editId="40A86FB3">
            <wp:extent cx="5274310" cy="3892550"/>
            <wp:effectExtent l="0" t="0" r="2540" b="0"/>
            <wp:docPr id="6723259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DD909" w14:textId="2AA0B9E7" w:rsidR="003F1E12" w:rsidRPr="00DA5DEE" w:rsidRDefault="00DA5DEE">
      <w:pPr>
        <w:ind w:firstLine="480"/>
        <w:rPr>
          <w:color w:val="auto"/>
        </w:rPr>
      </w:pPr>
      <w:bookmarkStart w:id="0" w:name="_Hlk179976976"/>
      <w:r w:rsidRPr="00DA5DEE">
        <w:rPr>
          <w:bCs/>
          <w:color w:val="auto"/>
          <w:szCs w:val="24"/>
        </w:rPr>
        <w:t xml:space="preserve">Supplementary Figure </w:t>
      </w:r>
      <w:r w:rsidR="0056045A">
        <w:rPr>
          <w:bCs/>
          <w:color w:val="auto"/>
          <w:szCs w:val="24"/>
        </w:rPr>
        <w:t>1</w:t>
      </w:r>
      <w:r w:rsidRPr="00DA5DEE">
        <w:rPr>
          <w:bCs/>
          <w:color w:val="auto"/>
          <w:szCs w:val="24"/>
        </w:rPr>
        <w:t>.</w:t>
      </w:r>
      <w:bookmarkEnd w:id="0"/>
      <w:r w:rsidRPr="00DA5DEE">
        <w:rPr>
          <w:bCs/>
          <w:color w:val="auto"/>
          <w:szCs w:val="24"/>
        </w:rPr>
        <w:t xml:space="preserve"> The overexpression and knockout efficiency of HMGB1 in </w:t>
      </w:r>
      <w:r w:rsidR="00BB1B4D" w:rsidRPr="0032688B">
        <w:t>RAW264.7</w:t>
      </w:r>
      <w:r w:rsidRPr="00DA5DEE">
        <w:rPr>
          <w:bCs/>
          <w:color w:val="auto"/>
          <w:szCs w:val="24"/>
        </w:rPr>
        <w:t>.</w:t>
      </w:r>
    </w:p>
    <w:p w14:paraId="0EFFA722" w14:textId="096A2357" w:rsidR="00BA6E94" w:rsidRPr="0032688B" w:rsidRDefault="0056045A" w:rsidP="00BA6E94">
      <w:pPr>
        <w:pStyle w:val="Figurecaption"/>
        <w:rPr>
          <w:rFonts w:eastAsia="宋体"/>
        </w:rPr>
      </w:pPr>
      <w:r w:rsidRPr="0032688B">
        <w:t>M</w:t>
      </w:r>
      <w:r w:rsidRPr="0032688B">
        <w:rPr>
          <w:rFonts w:eastAsia="宋体"/>
        </w:rPr>
        <w:t>ouse macrophages (RAW264.7)</w:t>
      </w:r>
      <w:r w:rsidRPr="0032688B">
        <w:t xml:space="preserve"> </w:t>
      </w:r>
      <w:r>
        <w:t xml:space="preserve">were </w:t>
      </w:r>
      <w:proofErr w:type="spellStart"/>
      <w:r>
        <w:t>tranfected</w:t>
      </w:r>
      <w:proofErr w:type="spellEnd"/>
      <w:r>
        <w:t xml:space="preserve"> with</w:t>
      </w:r>
      <w:r w:rsidR="00BB1B4D" w:rsidRPr="00DA5DEE">
        <w:rPr>
          <w:bCs/>
          <w:color w:val="auto"/>
          <w:sz w:val="24"/>
          <w:szCs w:val="24"/>
        </w:rPr>
        <w:t xml:space="preserve"> HMGB1 </w:t>
      </w:r>
      <w:r w:rsidR="00BB1B4D">
        <w:rPr>
          <w:bCs/>
          <w:color w:val="auto"/>
          <w:szCs w:val="24"/>
        </w:rPr>
        <w:t>overexpression plasmid</w:t>
      </w:r>
      <w:r w:rsidR="00BB1B4D" w:rsidRPr="00DA5DEE">
        <w:rPr>
          <w:bCs/>
          <w:color w:val="auto"/>
          <w:sz w:val="24"/>
          <w:szCs w:val="24"/>
        </w:rPr>
        <w:t xml:space="preserve"> </w:t>
      </w:r>
      <w:r w:rsidR="00BB1B4D">
        <w:rPr>
          <w:bCs/>
          <w:color w:val="auto"/>
          <w:szCs w:val="24"/>
        </w:rPr>
        <w:t>(A) and</w:t>
      </w:r>
      <w:r w:rsidR="00BB1B4D" w:rsidRPr="00DA5DEE">
        <w:rPr>
          <w:bCs/>
          <w:color w:val="auto"/>
          <w:sz w:val="24"/>
          <w:szCs w:val="24"/>
        </w:rPr>
        <w:t xml:space="preserve"> small interference RNA</w:t>
      </w:r>
      <w:r w:rsidR="00BB1B4D">
        <w:rPr>
          <w:bCs/>
          <w:color w:val="auto"/>
          <w:szCs w:val="24"/>
        </w:rPr>
        <w:t>(B).</w:t>
      </w:r>
      <w:r>
        <w:t xml:space="preserve"> </w:t>
      </w:r>
      <w:r w:rsidRPr="0032688B">
        <w:rPr>
          <w:rFonts w:eastAsia="宋体"/>
        </w:rPr>
        <w:t>The mRNA and pro</w:t>
      </w:r>
      <w:bookmarkStart w:id="1" w:name="_GoBack"/>
      <w:bookmarkEnd w:id="1"/>
      <w:r w:rsidRPr="0032688B">
        <w:rPr>
          <w:rFonts w:eastAsia="宋体"/>
        </w:rPr>
        <w:t xml:space="preserve">tein expression levels of </w:t>
      </w:r>
      <w:r w:rsidRPr="00DA5DEE">
        <w:rPr>
          <w:bCs/>
          <w:color w:val="auto"/>
          <w:sz w:val="24"/>
          <w:szCs w:val="24"/>
        </w:rPr>
        <w:t>HMGB1</w:t>
      </w:r>
      <w:r w:rsidRPr="0032688B">
        <w:rPr>
          <w:rFonts w:eastAsia="宋体"/>
        </w:rPr>
        <w:t xml:space="preserve"> were quantified using RT-PCR and Western blot, respectively.</w:t>
      </w:r>
      <w:r w:rsidR="00BA6E94" w:rsidRPr="00BA6E94">
        <w:t xml:space="preserve"> </w:t>
      </w:r>
      <w:r w:rsidR="00BA6E94" w:rsidRPr="0032688B">
        <w:rPr>
          <w:rFonts w:eastAsia="宋体"/>
        </w:rPr>
        <w:t xml:space="preserve">Statistical analysis was conducted using Student’s </w:t>
      </w:r>
      <w:r w:rsidR="00BA6E94" w:rsidRPr="00DB3C96">
        <w:rPr>
          <w:rFonts w:eastAsia="宋体"/>
          <w:i/>
          <w:iCs/>
        </w:rPr>
        <w:t>t</w:t>
      </w:r>
      <w:r w:rsidR="00BA6E94" w:rsidRPr="0032688B">
        <w:rPr>
          <w:rFonts w:eastAsia="宋体"/>
        </w:rPr>
        <w:t>-test. Data shown are the mean ± SD (n</w:t>
      </w:r>
      <w:r w:rsidR="00BA6E94">
        <w:rPr>
          <w:rFonts w:eastAsia="宋体" w:hint="eastAsia"/>
          <w:lang w:eastAsia="zh-CN"/>
        </w:rPr>
        <w:t xml:space="preserve"> </w:t>
      </w:r>
      <w:r w:rsidR="00BA6E94" w:rsidRPr="0032688B">
        <w:rPr>
          <w:rFonts w:eastAsia="宋体"/>
        </w:rPr>
        <w:t>=</w:t>
      </w:r>
      <w:r w:rsidR="00BA6E94">
        <w:rPr>
          <w:rFonts w:eastAsia="宋体" w:hint="eastAsia"/>
          <w:lang w:eastAsia="zh-CN"/>
        </w:rPr>
        <w:t xml:space="preserve"> </w:t>
      </w:r>
      <w:r w:rsidR="00BA6E94" w:rsidRPr="0032688B">
        <w:rPr>
          <w:rFonts w:eastAsia="宋体"/>
        </w:rPr>
        <w:t>3) of three independent experiments. ***</w:t>
      </w:r>
      <w:r w:rsidR="00BA6E94" w:rsidRPr="00DB3C96">
        <w:rPr>
          <w:rFonts w:eastAsia="宋体"/>
          <w:i/>
          <w:iCs/>
        </w:rPr>
        <w:t>p</w:t>
      </w:r>
      <w:r w:rsidR="00BA6E94">
        <w:rPr>
          <w:rFonts w:eastAsia="宋体"/>
        </w:rPr>
        <w:t xml:space="preserve"> &lt; </w:t>
      </w:r>
      <w:r w:rsidR="00BA6E94" w:rsidRPr="0032688B">
        <w:rPr>
          <w:rFonts w:eastAsia="宋体"/>
        </w:rPr>
        <w:t xml:space="preserve">0.001 vs NC or </w:t>
      </w:r>
      <w:proofErr w:type="spellStart"/>
      <w:r w:rsidR="00BA6E94" w:rsidRPr="0032688B">
        <w:rPr>
          <w:rFonts w:eastAsia="宋体"/>
        </w:rPr>
        <w:t>si</w:t>
      </w:r>
      <w:proofErr w:type="spellEnd"/>
      <w:r w:rsidR="00BA6E94" w:rsidRPr="009B2D9D">
        <w:rPr>
          <w:rFonts w:eastAsia="宋体"/>
        </w:rPr>
        <w:t xml:space="preserve">-NC. RT-PCR, Reverse Transcription-Polymerase Chain Reaction; HMGB1, High Mobility Group Box 1; siHMGB1, small interfering RNA targeting HMGB1; NC, negative control; </w:t>
      </w:r>
      <w:proofErr w:type="spellStart"/>
      <w:r w:rsidR="00BA6E94" w:rsidRPr="009B2D9D">
        <w:rPr>
          <w:rFonts w:eastAsia="宋体"/>
        </w:rPr>
        <w:t>si</w:t>
      </w:r>
      <w:proofErr w:type="spellEnd"/>
      <w:r w:rsidR="00BA6E94" w:rsidRPr="009B2D9D">
        <w:rPr>
          <w:rFonts w:eastAsia="宋体"/>
        </w:rPr>
        <w:t>-NC, small interfering RNA negative control; GAPDH, glyceraldehyde-3-phosphate dehydrogenase.</w:t>
      </w:r>
    </w:p>
    <w:p w14:paraId="6B9D931A" w14:textId="00BB79D4" w:rsidR="00D04BBF" w:rsidRPr="00BA6E94" w:rsidRDefault="00D04BBF">
      <w:pPr>
        <w:ind w:firstLine="480"/>
      </w:pPr>
    </w:p>
    <w:p w14:paraId="725B5B80" w14:textId="77777777" w:rsidR="00D04BBF" w:rsidRDefault="00D04BBF">
      <w:pPr>
        <w:ind w:firstLine="480"/>
      </w:pPr>
    </w:p>
    <w:p w14:paraId="59CD3FCB" w14:textId="77777777" w:rsidR="00D04BBF" w:rsidRDefault="00D04BBF">
      <w:pPr>
        <w:ind w:firstLine="480"/>
      </w:pPr>
    </w:p>
    <w:p w14:paraId="73F04F90" w14:textId="77777777" w:rsidR="00D04BBF" w:rsidRDefault="00D04BBF">
      <w:pPr>
        <w:ind w:firstLine="480"/>
      </w:pPr>
    </w:p>
    <w:p w14:paraId="794ADFE9" w14:textId="77777777" w:rsidR="00D04BBF" w:rsidRDefault="00D04BBF">
      <w:pPr>
        <w:ind w:firstLine="480"/>
      </w:pPr>
    </w:p>
    <w:p w14:paraId="79C0A68B" w14:textId="77777777" w:rsidR="00D04BBF" w:rsidRDefault="00D04BBF">
      <w:pPr>
        <w:ind w:firstLine="480"/>
      </w:pPr>
    </w:p>
    <w:p w14:paraId="2513C8E2" w14:textId="77777777" w:rsidR="00D04BBF" w:rsidRDefault="00D04BBF">
      <w:pPr>
        <w:ind w:firstLine="480"/>
      </w:pPr>
    </w:p>
    <w:p w14:paraId="554AA2D9" w14:textId="77777777" w:rsidR="00D04BBF" w:rsidRDefault="00D04BBF">
      <w:pPr>
        <w:ind w:firstLine="480"/>
      </w:pPr>
    </w:p>
    <w:p w14:paraId="5A536FE4" w14:textId="77777777" w:rsidR="00D04BBF" w:rsidRDefault="00D04BBF" w:rsidP="006B038D"/>
    <w:p w14:paraId="4D7B7372" w14:textId="77777777" w:rsidR="00D04BBF" w:rsidRDefault="00D04BBF">
      <w:pPr>
        <w:ind w:firstLine="480"/>
      </w:pPr>
    </w:p>
    <w:p w14:paraId="2CE2F1AF" w14:textId="77777777" w:rsidR="00D04BBF" w:rsidRDefault="00D04BBF">
      <w:pPr>
        <w:ind w:firstLine="480"/>
      </w:pPr>
    </w:p>
    <w:p w14:paraId="5C2BEBF9" w14:textId="77777777" w:rsidR="00D04BBF" w:rsidRDefault="00D04BBF">
      <w:pPr>
        <w:ind w:firstLine="480"/>
      </w:pPr>
    </w:p>
    <w:p w14:paraId="12DD885D" w14:textId="77777777" w:rsidR="00D04BBF" w:rsidRDefault="00D04BBF">
      <w:pPr>
        <w:ind w:firstLine="480"/>
      </w:pPr>
    </w:p>
    <w:p w14:paraId="77DF3BD0" w14:textId="038F871D" w:rsidR="003F1E12" w:rsidRDefault="003F1E12">
      <w:pPr>
        <w:ind w:firstLine="480"/>
      </w:pPr>
      <w:r>
        <w:rPr>
          <w:noProof/>
        </w:rPr>
        <w:lastRenderedPageBreak/>
        <w:drawing>
          <wp:inline distT="0" distB="0" distL="0" distR="0" wp14:anchorId="1C40144A" wp14:editId="36A3B01F">
            <wp:extent cx="5274310" cy="6158230"/>
            <wp:effectExtent l="0" t="0" r="2540" b="0"/>
            <wp:docPr id="4544937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0C4F7" w14:textId="6F7A35C1" w:rsidR="00D04BBF" w:rsidRPr="00143420" w:rsidRDefault="00D04BBF">
      <w:pPr>
        <w:ind w:firstLine="480"/>
        <w:rPr>
          <w:b/>
          <w:bCs/>
        </w:rPr>
      </w:pPr>
      <w:r w:rsidRPr="00143420">
        <w:rPr>
          <w:b/>
          <w:bCs/>
        </w:rPr>
        <w:t>Supplementary Figure 2</w:t>
      </w:r>
      <w:r w:rsidRPr="00143420">
        <w:rPr>
          <w:rFonts w:hint="eastAsia"/>
          <w:b/>
          <w:bCs/>
        </w:rPr>
        <w:t>.</w:t>
      </w:r>
      <w:r w:rsidRPr="00143420">
        <w:rPr>
          <w:b/>
          <w:bCs/>
        </w:rPr>
        <w:t xml:space="preserve"> The in vivo knockout efficiency of AAV2-shHMGB1 and its impact on mouse colon tissue.</w:t>
      </w:r>
    </w:p>
    <w:p w14:paraId="3C40D36D" w14:textId="49F48235" w:rsidR="009B2D9D" w:rsidRDefault="00ED439E" w:rsidP="009B2D9D">
      <w:pPr>
        <w:pStyle w:val="Figurecaption"/>
        <w:rPr>
          <w:rFonts w:eastAsia="宋体"/>
        </w:rPr>
      </w:pPr>
      <w:r w:rsidRPr="00ED439E">
        <w:t>Normal mice were injected with AAV-</w:t>
      </w:r>
      <w:proofErr w:type="spellStart"/>
      <w:r w:rsidRPr="00ED439E">
        <w:t>shNC</w:t>
      </w:r>
      <w:proofErr w:type="spellEnd"/>
      <w:r w:rsidRPr="00ED439E">
        <w:t xml:space="preserve"> and AAV- shHMGB1, respectively. </w:t>
      </w:r>
      <w:r w:rsidRPr="0032688B">
        <w:rPr>
          <w:rFonts w:eastAsia="宋体"/>
        </w:rPr>
        <w:t>(A) Representative images of the colon, and quantification of colon length.</w:t>
      </w:r>
      <w:r w:rsidRPr="0032688B">
        <w:t xml:space="preserve"> </w:t>
      </w:r>
      <w:r w:rsidRPr="0032688B">
        <w:rPr>
          <w:rFonts w:eastAsia="宋体"/>
        </w:rPr>
        <w:t>(B) Representative histological analysis of the colon using H&amp;E staining.</w:t>
      </w:r>
      <w:r w:rsidRPr="00AB6EE9">
        <w:rPr>
          <w:rFonts w:eastAsia="宋体"/>
          <w:color w:val="auto"/>
        </w:rPr>
        <w:t xml:space="preserve"> </w:t>
      </w:r>
      <w:r w:rsidR="008106ED" w:rsidRPr="00AB6EE9">
        <w:rPr>
          <w:rFonts w:eastAsia="宋体"/>
          <w:color w:val="auto"/>
        </w:rPr>
        <w:t>scale bar=100μm</w:t>
      </w:r>
      <w:r w:rsidR="008106ED" w:rsidRPr="00AB6EE9">
        <w:rPr>
          <w:rFonts w:eastAsia="宋体"/>
          <w:color w:val="auto"/>
          <w:lang w:eastAsia="zh-CN"/>
        </w:rPr>
        <w:t>.</w:t>
      </w:r>
      <w:r w:rsidR="008106ED">
        <w:rPr>
          <w:rFonts w:eastAsia="宋体"/>
          <w:lang w:eastAsia="zh-CN"/>
        </w:rPr>
        <w:t xml:space="preserve"> </w:t>
      </w:r>
      <w:r w:rsidRPr="00A743AD">
        <w:rPr>
          <w:rFonts w:eastAsia="宋体"/>
        </w:rPr>
        <w:t>(C</w:t>
      </w:r>
      <w:r w:rsidRPr="0032688B">
        <w:rPr>
          <w:rFonts w:eastAsia="宋体"/>
        </w:rPr>
        <w:t xml:space="preserve">) </w:t>
      </w:r>
      <w:r>
        <w:t xml:space="preserve">The </w:t>
      </w:r>
      <w:r w:rsidRPr="0032688B">
        <w:rPr>
          <w:rFonts w:eastAsia="宋体"/>
        </w:rPr>
        <w:t xml:space="preserve">mRNA and protein expression levels of </w:t>
      </w:r>
      <w:r w:rsidRPr="00DA5DEE">
        <w:rPr>
          <w:bCs/>
          <w:color w:val="auto"/>
          <w:sz w:val="24"/>
          <w:szCs w:val="24"/>
        </w:rPr>
        <w:t>HMGB1</w:t>
      </w:r>
      <w:r w:rsidRPr="0032688B">
        <w:rPr>
          <w:rFonts w:eastAsia="宋体"/>
        </w:rPr>
        <w:t xml:space="preserve"> were quantified using RT-PCR and Western blot, respectively.</w:t>
      </w:r>
      <w:r w:rsidR="006B038D" w:rsidRPr="006B038D">
        <w:rPr>
          <w:rFonts w:eastAsia="宋体"/>
        </w:rPr>
        <w:t xml:space="preserve"> </w:t>
      </w:r>
      <w:r w:rsidR="006B038D" w:rsidRPr="0032688B">
        <w:rPr>
          <w:rFonts w:eastAsia="宋体"/>
        </w:rPr>
        <w:t xml:space="preserve">Statistical analysis was conducted using Student’s </w:t>
      </w:r>
      <w:r w:rsidR="006B038D" w:rsidRPr="00DB3C96">
        <w:rPr>
          <w:rFonts w:eastAsia="宋体"/>
          <w:i/>
          <w:iCs/>
        </w:rPr>
        <w:t>t</w:t>
      </w:r>
      <w:r w:rsidR="006B038D" w:rsidRPr="0032688B">
        <w:rPr>
          <w:rFonts w:eastAsia="宋体"/>
        </w:rPr>
        <w:t xml:space="preserve">-test. </w:t>
      </w:r>
      <w:r w:rsidR="009B2D9D" w:rsidRPr="0032688B">
        <w:rPr>
          <w:rFonts w:eastAsia="宋体"/>
        </w:rPr>
        <w:t>Data shown are the mean ± SD (n</w:t>
      </w:r>
      <w:r w:rsidR="009B2D9D">
        <w:rPr>
          <w:rFonts w:eastAsia="宋体" w:hint="eastAsia"/>
          <w:lang w:eastAsia="zh-CN"/>
        </w:rPr>
        <w:t xml:space="preserve"> </w:t>
      </w:r>
      <w:r w:rsidR="009B2D9D" w:rsidRPr="0032688B">
        <w:rPr>
          <w:rFonts w:eastAsia="宋体"/>
        </w:rPr>
        <w:t>=</w:t>
      </w:r>
      <w:r w:rsidR="009B2D9D">
        <w:rPr>
          <w:rFonts w:eastAsia="宋体" w:hint="eastAsia"/>
          <w:lang w:eastAsia="zh-CN"/>
        </w:rPr>
        <w:t xml:space="preserve"> </w:t>
      </w:r>
      <w:r w:rsidR="009B2D9D" w:rsidRPr="0032688B">
        <w:rPr>
          <w:rFonts w:eastAsia="宋体"/>
        </w:rPr>
        <w:t>5), ***</w:t>
      </w:r>
      <w:r w:rsidR="009B2D9D" w:rsidRPr="00117A59">
        <w:rPr>
          <w:rFonts w:eastAsia="宋体"/>
          <w:i/>
          <w:iCs/>
        </w:rPr>
        <w:t>p</w:t>
      </w:r>
      <w:r w:rsidR="009B2D9D">
        <w:rPr>
          <w:rFonts w:eastAsia="宋体"/>
        </w:rPr>
        <w:t xml:space="preserve"> &lt; </w:t>
      </w:r>
      <w:r w:rsidR="009B2D9D" w:rsidRPr="0032688B">
        <w:rPr>
          <w:rFonts w:eastAsia="宋体"/>
        </w:rPr>
        <w:t>0.0</w:t>
      </w:r>
      <w:r w:rsidR="009B2D9D" w:rsidRPr="009B2D9D">
        <w:rPr>
          <w:rFonts w:eastAsia="宋体"/>
        </w:rPr>
        <w:t>01 vs AAV-</w:t>
      </w:r>
      <w:proofErr w:type="spellStart"/>
      <w:r w:rsidR="009B2D9D" w:rsidRPr="009B2D9D">
        <w:rPr>
          <w:rFonts w:eastAsia="宋体"/>
        </w:rPr>
        <w:t>shNC</w:t>
      </w:r>
      <w:proofErr w:type="spellEnd"/>
      <w:r w:rsidR="009B2D9D" w:rsidRPr="009B2D9D">
        <w:rPr>
          <w:rFonts w:eastAsia="宋体"/>
        </w:rPr>
        <w:t>. AAV-</w:t>
      </w:r>
      <w:proofErr w:type="spellStart"/>
      <w:r w:rsidR="009B2D9D" w:rsidRPr="009B2D9D">
        <w:rPr>
          <w:rFonts w:eastAsia="宋体"/>
        </w:rPr>
        <w:t>shNC</w:t>
      </w:r>
      <w:proofErr w:type="spellEnd"/>
      <w:r w:rsidR="009B2D9D" w:rsidRPr="009B2D9D">
        <w:rPr>
          <w:rFonts w:eastAsia="宋体"/>
        </w:rPr>
        <w:t>,</w:t>
      </w:r>
      <w:r w:rsidR="009B2D9D" w:rsidRPr="009B2D9D">
        <w:t xml:space="preserve"> </w:t>
      </w:r>
      <w:r w:rsidR="009B2D9D" w:rsidRPr="009B2D9D">
        <w:rPr>
          <w:rFonts w:eastAsia="宋体"/>
        </w:rPr>
        <w:t xml:space="preserve">adeno-associated virus-short hairpin RNA </w:t>
      </w:r>
      <w:bookmarkStart w:id="2" w:name="_Hlk179966621"/>
      <w:r w:rsidR="009B2D9D" w:rsidRPr="009B2D9D">
        <w:rPr>
          <w:rFonts w:eastAsia="宋体"/>
        </w:rPr>
        <w:t>negative control</w:t>
      </w:r>
      <w:bookmarkEnd w:id="2"/>
      <w:r w:rsidR="009B2D9D" w:rsidRPr="009B2D9D">
        <w:rPr>
          <w:rFonts w:eastAsia="宋体"/>
        </w:rPr>
        <w:t>; AAV-shHMGB1, adeno-associated virus-short hairpin RNA targeting HMGB1</w:t>
      </w:r>
      <w:r w:rsidR="006B038D">
        <w:rPr>
          <w:rFonts w:eastAsia="宋体"/>
        </w:rPr>
        <w:t>.</w:t>
      </w:r>
    </w:p>
    <w:p w14:paraId="143B1706" w14:textId="1DFBBE50" w:rsidR="00143420" w:rsidRPr="009B2D9D" w:rsidRDefault="00143420">
      <w:pPr>
        <w:ind w:firstLine="480"/>
      </w:pPr>
    </w:p>
    <w:p w14:paraId="4C7CCE4B" w14:textId="77777777" w:rsidR="00D04BBF" w:rsidRDefault="00D04BBF" w:rsidP="006B038D"/>
    <w:p w14:paraId="77795C5D" w14:textId="27A1EB47" w:rsidR="003F1E12" w:rsidRDefault="003F1E12">
      <w:pPr>
        <w:ind w:firstLine="480"/>
      </w:pPr>
      <w:r>
        <w:rPr>
          <w:noProof/>
        </w:rPr>
        <w:lastRenderedPageBreak/>
        <w:drawing>
          <wp:inline distT="0" distB="0" distL="0" distR="0" wp14:anchorId="1E88134A" wp14:editId="5DCA5820">
            <wp:extent cx="5274310" cy="3956050"/>
            <wp:effectExtent l="0" t="0" r="2540" b="6350"/>
            <wp:docPr id="4885854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39D5D" w14:textId="77777777" w:rsidR="00A83228" w:rsidRPr="00704D77" w:rsidRDefault="00DA5DEE" w:rsidP="00A83228">
      <w:pPr>
        <w:ind w:firstLine="480"/>
        <w:rPr>
          <w:bCs/>
          <w:color w:val="auto"/>
          <w:szCs w:val="24"/>
        </w:rPr>
      </w:pPr>
      <w:bookmarkStart w:id="3" w:name="_Hlk179978340"/>
      <w:r w:rsidRPr="00704D77">
        <w:rPr>
          <w:bCs/>
          <w:color w:val="auto"/>
          <w:szCs w:val="24"/>
        </w:rPr>
        <w:t>Supplementary Figure 3</w:t>
      </w:r>
      <w:bookmarkEnd w:id="3"/>
      <w:r w:rsidRPr="00704D77">
        <w:rPr>
          <w:bCs/>
          <w:color w:val="auto"/>
          <w:szCs w:val="24"/>
        </w:rPr>
        <w:t>.</w:t>
      </w:r>
      <w:r w:rsidR="00A83228" w:rsidRPr="00704D77">
        <w:rPr>
          <w:rFonts w:hint="eastAsia"/>
          <w:color w:val="auto"/>
        </w:rPr>
        <w:t xml:space="preserve"> </w:t>
      </w:r>
      <w:bookmarkStart w:id="4" w:name="_Hlk179978324"/>
      <w:r w:rsidRPr="00704D77">
        <w:rPr>
          <w:bCs/>
          <w:color w:val="auto"/>
          <w:szCs w:val="24"/>
        </w:rPr>
        <w:t xml:space="preserve">The variations in animal body weight and </w:t>
      </w:r>
      <w:bookmarkStart w:id="5" w:name="_Hlk179978284"/>
      <w:r w:rsidRPr="00704D77">
        <w:rPr>
          <w:bCs/>
          <w:color w:val="auto"/>
          <w:szCs w:val="24"/>
        </w:rPr>
        <w:t>Disease Activity Index (DAI)</w:t>
      </w:r>
      <w:bookmarkEnd w:id="5"/>
      <w:r w:rsidRPr="00704D77">
        <w:rPr>
          <w:bCs/>
          <w:color w:val="auto"/>
          <w:szCs w:val="24"/>
        </w:rPr>
        <w:t xml:space="preserve"> scores</w:t>
      </w:r>
      <w:r w:rsidR="00A83228" w:rsidRPr="00704D77">
        <w:rPr>
          <w:bCs/>
          <w:color w:val="auto"/>
          <w:szCs w:val="24"/>
        </w:rPr>
        <w:t>.</w:t>
      </w:r>
    </w:p>
    <w:p w14:paraId="0DCD9EC8" w14:textId="24C050A9" w:rsidR="00A83228" w:rsidRPr="001970E2" w:rsidRDefault="00704D77" w:rsidP="001970E2">
      <w:pPr>
        <w:ind w:firstLine="480"/>
      </w:pPr>
      <w:r w:rsidRPr="00704D77">
        <w:rPr>
          <w:bCs/>
          <w:color w:val="auto"/>
          <w:szCs w:val="24"/>
        </w:rPr>
        <w:t>(A and C) The body weight of mice in each group. (B and D) The DAI score of mice in each grou</w:t>
      </w:r>
      <w:r w:rsidRPr="001970E2">
        <w:rPr>
          <w:bCs/>
          <w:color w:val="auto"/>
          <w:szCs w:val="24"/>
        </w:rPr>
        <w:t>p.</w:t>
      </w:r>
      <w:r w:rsidR="001970E2" w:rsidRPr="001970E2">
        <w:rPr>
          <w:color w:val="auto"/>
        </w:rPr>
        <w:t xml:space="preserve"> UC, Ulcerative Colitis; AAV-</w:t>
      </w:r>
      <w:proofErr w:type="spellStart"/>
      <w:r w:rsidR="001970E2" w:rsidRPr="001970E2">
        <w:rPr>
          <w:color w:val="auto"/>
        </w:rPr>
        <w:t>shNC</w:t>
      </w:r>
      <w:proofErr w:type="spellEnd"/>
      <w:r w:rsidR="001970E2" w:rsidRPr="001970E2">
        <w:rPr>
          <w:color w:val="auto"/>
        </w:rPr>
        <w:t>, adeno-associated virus-short hairpin RNA negative control; AAV-shHMGB1, adeno-associated virus-short hairpin RNA targeting HMGB1</w:t>
      </w:r>
      <w:r w:rsidR="001970E2">
        <w:rPr>
          <w:color w:val="auto"/>
        </w:rPr>
        <w:t>;</w:t>
      </w:r>
      <w:r w:rsidR="001970E2" w:rsidRPr="001970E2">
        <w:rPr>
          <w:bCs/>
          <w:color w:val="auto"/>
          <w:szCs w:val="24"/>
        </w:rPr>
        <w:t xml:space="preserve"> </w:t>
      </w:r>
      <w:r w:rsidR="001970E2" w:rsidRPr="00704D77">
        <w:rPr>
          <w:bCs/>
          <w:color w:val="auto"/>
          <w:szCs w:val="24"/>
        </w:rPr>
        <w:t>DAI</w:t>
      </w:r>
      <w:r w:rsidR="001970E2">
        <w:rPr>
          <w:bCs/>
          <w:color w:val="auto"/>
          <w:szCs w:val="24"/>
        </w:rPr>
        <w:t>,</w:t>
      </w:r>
      <w:r w:rsidR="001970E2" w:rsidRPr="001970E2">
        <w:rPr>
          <w:bCs/>
          <w:color w:val="auto"/>
          <w:szCs w:val="24"/>
        </w:rPr>
        <w:t xml:space="preserve"> </w:t>
      </w:r>
      <w:r w:rsidR="001970E2" w:rsidRPr="00704D77">
        <w:rPr>
          <w:bCs/>
          <w:color w:val="auto"/>
          <w:szCs w:val="24"/>
        </w:rPr>
        <w:t>Disease Activity Index</w:t>
      </w:r>
      <w:r w:rsidR="001970E2">
        <w:rPr>
          <w:bCs/>
          <w:color w:val="auto"/>
          <w:szCs w:val="24"/>
        </w:rPr>
        <w:t>.</w:t>
      </w:r>
    </w:p>
    <w:bookmarkEnd w:id="4"/>
    <w:p w14:paraId="068E98D0" w14:textId="77777777" w:rsidR="00D04BBF" w:rsidRDefault="00D04BBF">
      <w:pPr>
        <w:ind w:firstLine="480"/>
      </w:pPr>
    </w:p>
    <w:sectPr w:rsidR="00D04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8E8DDD" w14:textId="77777777" w:rsidR="00AA780F" w:rsidRDefault="00AA780F" w:rsidP="00A743AD">
      <w:r>
        <w:separator/>
      </w:r>
    </w:p>
  </w:endnote>
  <w:endnote w:type="continuationSeparator" w:id="0">
    <w:p w14:paraId="5DE0153B" w14:textId="77777777" w:rsidR="00AA780F" w:rsidRDefault="00AA780F" w:rsidP="00A74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D5ED3B" w14:textId="77777777" w:rsidR="00AA780F" w:rsidRDefault="00AA780F" w:rsidP="00A743AD">
      <w:r>
        <w:separator/>
      </w:r>
    </w:p>
  </w:footnote>
  <w:footnote w:type="continuationSeparator" w:id="0">
    <w:p w14:paraId="55B0E4D5" w14:textId="77777777" w:rsidR="00AA780F" w:rsidRDefault="00AA780F" w:rsidP="00A74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E12"/>
    <w:rsid w:val="000B7FC1"/>
    <w:rsid w:val="00143420"/>
    <w:rsid w:val="00180445"/>
    <w:rsid w:val="001970E2"/>
    <w:rsid w:val="00232C95"/>
    <w:rsid w:val="003F1E12"/>
    <w:rsid w:val="0056045A"/>
    <w:rsid w:val="006B038D"/>
    <w:rsid w:val="00704D77"/>
    <w:rsid w:val="008106ED"/>
    <w:rsid w:val="00822E56"/>
    <w:rsid w:val="009B2D9D"/>
    <w:rsid w:val="00A743AD"/>
    <w:rsid w:val="00A83228"/>
    <w:rsid w:val="00AA780F"/>
    <w:rsid w:val="00AB6EE9"/>
    <w:rsid w:val="00BA6E94"/>
    <w:rsid w:val="00BB1B4D"/>
    <w:rsid w:val="00CB72A0"/>
    <w:rsid w:val="00D04BBF"/>
    <w:rsid w:val="00DA5DEE"/>
    <w:rsid w:val="00DE39FA"/>
    <w:rsid w:val="00ED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5C63E5"/>
  <w15:chartTrackingRefBased/>
  <w15:docId w15:val="{1668A0AC-99BE-45B5-90CE-12B24E1F9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ahoma"/>
        <w:color w:val="000000"/>
        <w:kern w:val="2"/>
        <w:sz w:val="24"/>
        <w:szCs w:val="21"/>
        <w:lang w:val="en-US" w:eastAsia="zh-CN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BA6E94"/>
    <w:pPr>
      <w:widowControl w:val="0"/>
      <w:ind w:firstLineChars="200" w:firstLine="200"/>
      <w:jc w:val="left"/>
    </w:pPr>
    <w:rPr>
      <w:rFonts w:eastAsia="Times New Roman" w:cs="Times New Roman"/>
      <w:color w:val="auto"/>
      <w:sz w:val="21"/>
      <w14:ligatures w14:val="none"/>
    </w:rPr>
  </w:style>
  <w:style w:type="character" w:customStyle="1" w:styleId="a4">
    <w:name w:val="批注文字 字符"/>
    <w:basedOn w:val="a0"/>
    <w:link w:val="a3"/>
    <w:uiPriority w:val="99"/>
    <w:semiHidden/>
    <w:qFormat/>
    <w:rsid w:val="00BA6E94"/>
    <w:rPr>
      <w:rFonts w:eastAsia="Times New Roman" w:cs="Times New Roman"/>
      <w:color w:val="auto"/>
      <w:sz w:val="21"/>
      <w14:ligatures w14:val="none"/>
    </w:rPr>
  </w:style>
  <w:style w:type="character" w:styleId="a5">
    <w:name w:val="annotation reference"/>
    <w:basedOn w:val="a0"/>
    <w:uiPriority w:val="99"/>
    <w:semiHidden/>
    <w:qFormat/>
    <w:rsid w:val="00BA6E94"/>
    <w:rPr>
      <w:sz w:val="21"/>
      <w:szCs w:val="21"/>
    </w:rPr>
  </w:style>
  <w:style w:type="paragraph" w:customStyle="1" w:styleId="Figurecaption">
    <w:name w:val="Figure caption"/>
    <w:uiPriority w:val="14"/>
    <w:qFormat/>
    <w:rsid w:val="00BA6E94"/>
    <w:rPr>
      <w:rFonts w:eastAsia="Times New Roman" w:cs="Times New Roman"/>
      <w:kern w:val="0"/>
      <w:sz w:val="21"/>
      <w:lang w:eastAsia="de-DE" w:bidi="en-US"/>
    </w:rPr>
  </w:style>
  <w:style w:type="paragraph" w:styleId="a6">
    <w:name w:val="header"/>
    <w:basedOn w:val="a"/>
    <w:link w:val="a7"/>
    <w:uiPriority w:val="99"/>
    <w:unhideWhenUsed/>
    <w:rsid w:val="00A743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743A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74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743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260</Words>
  <Characters>1606</Characters>
  <Application>Microsoft Office Word</Application>
  <DocSecurity>0</DocSecurity>
  <Lines>44</Lines>
  <Paragraphs>7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Enolia</cp:lastModifiedBy>
  <cp:revision>7</cp:revision>
  <dcterms:created xsi:type="dcterms:W3CDTF">2024-10-16T06:39:00Z</dcterms:created>
  <dcterms:modified xsi:type="dcterms:W3CDTF">2024-11-15T08:12:00Z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64ccf7b6c73a40b96a34e624c773aa827d29d85f1c44f66718e4b9cd59c986ab</vt:lpwstr>
  </property>
</Properties>
</file>