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A8F" w:rsidRDefault="00964A8F" w:rsidP="00964A8F">
      <w:pPr>
        <w:pStyle w:val="a5"/>
      </w:pPr>
      <w:r>
        <w:t>Supplementary Material</w:t>
      </w:r>
    </w:p>
    <w:p w:rsidR="00964A8F" w:rsidRPr="0024719C" w:rsidRDefault="001D7F40" w:rsidP="0024719C">
      <w:pPr>
        <w:pStyle w:val="Figure"/>
      </w:pPr>
      <w:r>
        <w:rPr>
          <w:noProof/>
          <w:lang w:eastAsia="zh-CN" w:bidi="ar-SA"/>
        </w:rPr>
        <w:t>s</w:t>
      </w:r>
      <w:bookmarkStart w:id="0" w:name="_GoBack"/>
      <w:bookmarkEnd w:id="0"/>
      <w:r w:rsidR="00964A8F">
        <w:rPr>
          <w:noProof/>
          <w:lang w:eastAsia="zh-CN" w:bidi="ar-SA"/>
        </w:rPr>
        <w:drawing>
          <wp:inline distT="0" distB="0" distL="0" distR="0" wp14:anchorId="7C3E32ED" wp14:editId="7934A801">
            <wp:extent cx="4396740" cy="6664714"/>
            <wp:effectExtent l="0" t="0" r="3810" b="3175"/>
            <wp:docPr id="10336842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684229" name="Picture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6" b="1571"/>
                    <a:stretch>
                      <a:fillRect/>
                    </a:stretch>
                  </pic:blipFill>
                  <pic:spPr>
                    <a:xfrm>
                      <a:off x="0" y="0"/>
                      <a:ext cx="4422003" cy="670300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A8F" w:rsidRDefault="0024719C" w:rsidP="00E06954">
      <w:pPr>
        <w:pStyle w:val="Figurecaption"/>
      </w:pPr>
      <w:r w:rsidRPr="0024719C">
        <w:rPr>
          <w:b/>
        </w:rPr>
        <w:t>Supplementary</w:t>
      </w:r>
      <w:r w:rsidRPr="0024719C">
        <w:rPr>
          <w:b/>
          <w:bCs/>
        </w:rPr>
        <w:t xml:space="preserve"> </w:t>
      </w:r>
      <w:r w:rsidR="00964A8F">
        <w:rPr>
          <w:b/>
          <w:bCs/>
        </w:rPr>
        <w:t>Fig.</w:t>
      </w:r>
      <w:r>
        <w:rPr>
          <w:b/>
          <w:bCs/>
        </w:rPr>
        <w:t xml:space="preserve"> </w:t>
      </w:r>
      <w:r w:rsidR="00964A8F">
        <w:rPr>
          <w:b/>
          <w:bCs/>
        </w:rPr>
        <w:t>1A. Gating strategy for identifying activated/cycling CD4</w:t>
      </w:r>
      <w:r w:rsidR="00964A8F">
        <w:rPr>
          <w:b/>
          <w:bCs/>
          <w:vertAlign w:val="superscript"/>
        </w:rPr>
        <w:t>+</w:t>
      </w:r>
      <w:r w:rsidR="00964A8F">
        <w:rPr>
          <w:b/>
          <w:bCs/>
        </w:rPr>
        <w:t xml:space="preserve"> T-cells. </w:t>
      </w:r>
      <w:r w:rsidR="00964A8F">
        <w:t>Initially, single cells were identified. From these, viable cells were selected. The viable single cells were analyzed, and lymphocytes were identified. Subsequently, CD4</w:t>
      </w:r>
      <w:r w:rsidR="00964A8F">
        <w:rPr>
          <w:vertAlign w:val="superscript"/>
        </w:rPr>
        <w:t>+</w:t>
      </w:r>
      <w:r w:rsidR="00964A8F">
        <w:t xml:space="preserve"> T-cells were selected from the lymphocyte population. The proportion of activated/cycling CD4</w:t>
      </w:r>
      <w:r w:rsidR="00964A8F">
        <w:rPr>
          <w:vertAlign w:val="superscript"/>
        </w:rPr>
        <w:t>+</w:t>
      </w:r>
      <w:r w:rsidR="00964A8F">
        <w:t xml:space="preserve"> T-cells was determined based on their CD71 marker expression.</w:t>
      </w:r>
    </w:p>
    <w:p w:rsidR="005D6511" w:rsidRDefault="005D6511" w:rsidP="00964A8F">
      <w:pPr>
        <w:pStyle w:val="a3"/>
        <w:ind w:firstLineChars="0" w:firstLine="0"/>
        <w:rPr>
          <w:rFonts w:eastAsiaTheme="minorEastAsia"/>
        </w:rPr>
      </w:pPr>
    </w:p>
    <w:p w:rsidR="003B2964" w:rsidRPr="003B2964" w:rsidRDefault="003B2964" w:rsidP="00964A8F">
      <w:pPr>
        <w:pStyle w:val="a3"/>
        <w:ind w:firstLineChars="0" w:firstLine="0"/>
        <w:rPr>
          <w:rFonts w:eastAsiaTheme="minorEastAsia"/>
        </w:rPr>
      </w:pPr>
    </w:p>
    <w:p w:rsidR="00964A8F" w:rsidRDefault="00964A8F" w:rsidP="005D6511">
      <w:pPr>
        <w:pStyle w:val="Figure"/>
      </w:pPr>
      <w:r>
        <w:rPr>
          <w:noProof/>
          <w:lang w:eastAsia="zh-CN" w:bidi="ar-SA"/>
        </w:rPr>
        <w:lastRenderedPageBreak/>
        <w:drawing>
          <wp:inline distT="0" distB="0" distL="0" distR="0" wp14:anchorId="741E1C94" wp14:editId="423B6176">
            <wp:extent cx="5940425" cy="3899535"/>
            <wp:effectExtent l="0" t="0" r="3175" b="5715"/>
            <wp:docPr id="15860595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059537" name="Picture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99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A8F" w:rsidRDefault="00E1518F" w:rsidP="005D6511">
      <w:pPr>
        <w:pStyle w:val="Figurecaption"/>
      </w:pPr>
      <w:r w:rsidRPr="005D6511">
        <w:rPr>
          <w:b/>
        </w:rPr>
        <w:t xml:space="preserve">Supplementary </w:t>
      </w:r>
      <w:r w:rsidR="00964A8F" w:rsidRPr="005D6511">
        <w:rPr>
          <w:b/>
        </w:rPr>
        <w:t>Fig.</w:t>
      </w:r>
      <w:r w:rsidRPr="005D6511">
        <w:rPr>
          <w:b/>
        </w:rPr>
        <w:t xml:space="preserve"> </w:t>
      </w:r>
      <w:r w:rsidR="00964A8F" w:rsidRPr="005D6511">
        <w:rPr>
          <w:b/>
        </w:rPr>
        <w:t>1B. Identification of activated/cycling cells within conventional (Tconv) and regulatory (Treg) CD4</w:t>
      </w:r>
      <w:r w:rsidR="00964A8F" w:rsidRPr="005D6511">
        <w:rPr>
          <w:b/>
          <w:vertAlign w:val="superscript"/>
        </w:rPr>
        <w:t>+</w:t>
      </w:r>
      <w:r w:rsidR="00964A8F" w:rsidRPr="005D6511">
        <w:rPr>
          <w:b/>
        </w:rPr>
        <w:t xml:space="preserve"> T-lymphocyte subsets.</w:t>
      </w:r>
      <w:r w:rsidR="00964A8F">
        <w:t xml:space="preserve"> From the CD4</w:t>
      </w:r>
      <w:r w:rsidR="00964A8F">
        <w:rPr>
          <w:vertAlign w:val="superscript"/>
        </w:rPr>
        <w:t>+</w:t>
      </w:r>
      <w:r w:rsidR="00964A8F">
        <w:t xml:space="preserve"> T-cell pool, we identified the CD25</w:t>
      </w:r>
      <w:r w:rsidR="00964A8F">
        <w:rPr>
          <w:vertAlign w:val="superscript"/>
        </w:rPr>
        <w:t>–/lo</w:t>
      </w:r>
      <w:r w:rsidR="00964A8F">
        <w:t>Tconv subset. For the Treg subset, we gated on CD25</w:t>
      </w:r>
      <w:r w:rsidR="00964A8F">
        <w:rPr>
          <w:vertAlign w:val="superscript"/>
        </w:rPr>
        <w:t>+</w:t>
      </w:r>
      <w:r w:rsidR="00964A8F">
        <w:t>CD127</w:t>
      </w:r>
      <w:r w:rsidR="00964A8F">
        <w:rPr>
          <w:vertAlign w:val="superscript"/>
        </w:rPr>
        <w:t>lo</w:t>
      </w:r>
      <w:r w:rsidR="00964A8F">
        <w:t xml:space="preserve"> cells, then identified FOXP3</w:t>
      </w:r>
      <w:r w:rsidR="00964A8F">
        <w:rPr>
          <w:vertAlign w:val="superscript"/>
        </w:rPr>
        <w:t>+</w:t>
      </w:r>
      <w:r w:rsidR="00964A8F">
        <w:t xml:space="preserve"> cells within this population as bona fide Tregs. The frequency of CD71</w:t>
      </w:r>
      <w:r w:rsidR="00964A8F">
        <w:rPr>
          <w:vertAlign w:val="superscript"/>
        </w:rPr>
        <w:t>+</w:t>
      </w:r>
      <w:r w:rsidR="00964A8F">
        <w:t xml:space="preserve"> activated/cycling cells was directly determined within both the Tconv and Treg subsets.</w:t>
      </w:r>
    </w:p>
    <w:p w:rsidR="00964A8F" w:rsidRDefault="00964A8F" w:rsidP="00964A8F">
      <w:pPr>
        <w:ind w:firstLine="480"/>
        <w:jc w:val="center"/>
        <w:rPr>
          <w:sz w:val="24"/>
          <w:szCs w:val="24"/>
          <w:lang w:eastAsia="ru-RU"/>
        </w:rPr>
      </w:pPr>
    </w:p>
    <w:p w:rsidR="00964A8F" w:rsidRDefault="00964A8F" w:rsidP="00A445C3">
      <w:pPr>
        <w:pStyle w:val="Figure"/>
      </w:pPr>
      <w:r>
        <w:rPr>
          <w:noProof/>
          <w:lang w:eastAsia="zh-CN" w:bidi="ar-SA"/>
        </w:rPr>
        <w:lastRenderedPageBreak/>
        <w:drawing>
          <wp:inline distT="0" distB="0" distL="0" distR="0" wp14:anchorId="7B16C3E8" wp14:editId="33668588">
            <wp:extent cx="4343400" cy="7408709"/>
            <wp:effectExtent l="0" t="0" r="0" b="1905"/>
            <wp:docPr id="20141629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162929" name="Picture 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2" b="1287"/>
                    <a:stretch>
                      <a:fillRect/>
                    </a:stretch>
                  </pic:blipFill>
                  <pic:spPr>
                    <a:xfrm>
                      <a:off x="0" y="0"/>
                      <a:ext cx="4358805" cy="743498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A8F" w:rsidRDefault="00A445C3" w:rsidP="00460503">
      <w:pPr>
        <w:pStyle w:val="Figurecaption"/>
      </w:pPr>
      <w:r w:rsidRPr="00F773CD">
        <w:rPr>
          <w:b/>
        </w:rPr>
        <w:t>Supplementary</w:t>
      </w:r>
      <w:r w:rsidRPr="00F773CD">
        <w:rPr>
          <w:b/>
          <w:bCs/>
        </w:rPr>
        <w:t xml:space="preserve"> </w:t>
      </w:r>
      <w:r w:rsidR="00964A8F" w:rsidRPr="00F773CD">
        <w:rPr>
          <w:b/>
          <w:bCs/>
        </w:rPr>
        <w:t>Fig.</w:t>
      </w:r>
      <w:r w:rsidRPr="00F773CD">
        <w:rPr>
          <w:b/>
          <w:bCs/>
        </w:rPr>
        <w:t xml:space="preserve"> </w:t>
      </w:r>
      <w:r w:rsidR="00964A8F" w:rsidRPr="00F773CD">
        <w:rPr>
          <w:b/>
          <w:bCs/>
        </w:rPr>
        <w:t>2. Gating strategy to determine regulatory T-lymphocyte frequency within activated/cycling CD4</w:t>
      </w:r>
      <w:r w:rsidR="00964A8F" w:rsidRPr="00F773CD">
        <w:rPr>
          <w:b/>
          <w:bCs/>
          <w:vertAlign w:val="superscript"/>
        </w:rPr>
        <w:t>+</w:t>
      </w:r>
      <w:r w:rsidR="00964A8F" w:rsidRPr="00F773CD">
        <w:rPr>
          <w:b/>
          <w:bCs/>
        </w:rPr>
        <w:t xml:space="preserve"> T-cell subsets.</w:t>
      </w:r>
      <w:r w:rsidR="00964A8F">
        <w:rPr>
          <w:bCs/>
        </w:rPr>
        <w:t xml:space="preserve"> </w:t>
      </w:r>
      <w:r w:rsidR="00964A8F">
        <w:t>CD4</w:t>
      </w:r>
      <w:r w:rsidR="00964A8F">
        <w:rPr>
          <w:vertAlign w:val="superscript"/>
        </w:rPr>
        <w:t>+</w:t>
      </w:r>
      <w:r w:rsidR="00964A8F">
        <w:t xml:space="preserve"> T-cells were first divided into subsets based on expression of CD45RA and CCR7, identifying naive (CD45RA</w:t>
      </w:r>
      <w:r w:rsidR="00964A8F">
        <w:rPr>
          <w:vertAlign w:val="superscript"/>
        </w:rPr>
        <w:t>+</w:t>
      </w:r>
      <w:r w:rsidR="00964A8F">
        <w:t>CCR7</w:t>
      </w:r>
      <w:r w:rsidR="00964A8F">
        <w:rPr>
          <w:vertAlign w:val="superscript"/>
        </w:rPr>
        <w:t>+</w:t>
      </w:r>
      <w:r w:rsidR="00964A8F">
        <w:t>), central memory (CD45RA</w:t>
      </w:r>
      <w:r w:rsidR="00964A8F">
        <w:rPr>
          <w:vertAlign w:val="superscript"/>
        </w:rPr>
        <w:t>–</w:t>
      </w:r>
      <w:r w:rsidR="00964A8F">
        <w:t>CCR7</w:t>
      </w:r>
      <w:r w:rsidR="00964A8F">
        <w:rPr>
          <w:vertAlign w:val="superscript"/>
        </w:rPr>
        <w:t>+</w:t>
      </w:r>
      <w:r w:rsidR="00964A8F">
        <w:t>), effector memory (CD45RA</w:t>
      </w:r>
      <w:r w:rsidR="00964A8F">
        <w:rPr>
          <w:vertAlign w:val="superscript"/>
        </w:rPr>
        <w:t>–</w:t>
      </w:r>
      <w:r w:rsidR="00964A8F">
        <w:t>CCR7</w:t>
      </w:r>
      <w:r w:rsidR="00964A8F">
        <w:rPr>
          <w:vertAlign w:val="superscript"/>
        </w:rPr>
        <w:t>–</w:t>
      </w:r>
      <w:r w:rsidR="00964A8F">
        <w:t>), and TEMRA (CD45RA</w:t>
      </w:r>
      <w:r w:rsidR="00964A8F">
        <w:rPr>
          <w:vertAlign w:val="superscript"/>
        </w:rPr>
        <w:t>+</w:t>
      </w:r>
      <w:r w:rsidR="00964A8F">
        <w:t>CCR7</w:t>
      </w:r>
      <w:r w:rsidR="00964A8F">
        <w:rPr>
          <w:vertAlign w:val="superscript"/>
        </w:rPr>
        <w:t>–</w:t>
      </w:r>
      <w:r w:rsidR="00964A8F">
        <w:t>) populations. Activated/cycling (CD71</w:t>
      </w:r>
      <w:r w:rsidR="00964A8F">
        <w:rPr>
          <w:vertAlign w:val="superscript"/>
        </w:rPr>
        <w:t>+</w:t>
      </w:r>
      <w:r w:rsidR="00964A8F">
        <w:t>) cells were then identified within each CD4</w:t>
      </w:r>
      <w:r w:rsidR="00964A8F">
        <w:rPr>
          <w:vertAlign w:val="superscript"/>
        </w:rPr>
        <w:t>+</w:t>
      </w:r>
      <w:r w:rsidR="00964A8F">
        <w:t xml:space="preserve"> T-cell subset. Among the activated/cycling cells, CD25</w:t>
      </w:r>
      <w:r w:rsidR="00964A8F">
        <w:rPr>
          <w:vertAlign w:val="superscript"/>
        </w:rPr>
        <w:t>+</w:t>
      </w:r>
      <w:r w:rsidR="00964A8F">
        <w:t>CD127</w:t>
      </w:r>
      <w:r w:rsidR="00964A8F">
        <w:rPr>
          <w:vertAlign w:val="superscript"/>
        </w:rPr>
        <w:t>lo</w:t>
      </w:r>
      <w:r w:rsidR="00964A8F">
        <w:t xml:space="preserve"> cells were first gated, and FOXP3</w:t>
      </w:r>
      <w:r w:rsidR="00964A8F">
        <w:rPr>
          <w:vertAlign w:val="superscript"/>
        </w:rPr>
        <w:t>+</w:t>
      </w:r>
      <w:r w:rsidR="00964A8F">
        <w:t xml:space="preserve"> Tregs were subsequently identified within this population. The frequency of CD25</w:t>
      </w:r>
      <w:r w:rsidR="00964A8F">
        <w:rPr>
          <w:vertAlign w:val="superscript"/>
        </w:rPr>
        <w:t>+</w:t>
      </w:r>
      <w:r w:rsidR="00964A8F">
        <w:t>CD127</w:t>
      </w:r>
      <w:r w:rsidR="00964A8F">
        <w:rPr>
          <w:vertAlign w:val="superscript"/>
        </w:rPr>
        <w:t>lo</w:t>
      </w:r>
      <w:r w:rsidR="00964A8F">
        <w:t>FOXP3</w:t>
      </w:r>
      <w:r w:rsidR="00964A8F">
        <w:rPr>
          <w:vertAlign w:val="superscript"/>
        </w:rPr>
        <w:t>+</w:t>
      </w:r>
      <w:r w:rsidR="00964A8F">
        <w:t xml:space="preserve"> Tregs was subsequently determined among activated/cycling cells within each CD4</w:t>
      </w:r>
      <w:r w:rsidR="00964A8F">
        <w:rPr>
          <w:vertAlign w:val="superscript"/>
        </w:rPr>
        <w:t>+</w:t>
      </w:r>
      <w:r w:rsidR="00964A8F">
        <w:t xml:space="preserve"> T-cell maturation subset.</w:t>
      </w:r>
    </w:p>
    <w:p w:rsidR="00460503" w:rsidRDefault="00460503" w:rsidP="00460503">
      <w:pPr>
        <w:pStyle w:val="Figurecaption"/>
      </w:pPr>
    </w:p>
    <w:p w:rsidR="00A445C3" w:rsidRDefault="00A445C3" w:rsidP="00964A8F">
      <w:pPr>
        <w:pStyle w:val="a3"/>
        <w:ind w:firstLineChars="0" w:firstLine="0"/>
      </w:pPr>
    </w:p>
    <w:p w:rsidR="00964A8F" w:rsidRDefault="00964A8F" w:rsidP="00A445C3">
      <w:pPr>
        <w:pStyle w:val="Figure"/>
      </w:pPr>
      <w:r>
        <w:rPr>
          <w:noProof/>
          <w:lang w:eastAsia="zh-CN" w:bidi="ar-SA"/>
        </w:rPr>
        <w:drawing>
          <wp:inline distT="0" distB="0" distL="0" distR="0" wp14:anchorId="7F1D7BC2" wp14:editId="2921BB03">
            <wp:extent cx="5257800" cy="3908275"/>
            <wp:effectExtent l="0" t="0" r="0" b="0"/>
            <wp:docPr id="165386078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860789" name="Picture 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5133" cy="3913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160" w:rsidRDefault="00A445C3" w:rsidP="00E07219">
      <w:pPr>
        <w:pStyle w:val="Figurecaption"/>
      </w:pPr>
      <w:r w:rsidRPr="00E07219">
        <w:rPr>
          <w:b/>
        </w:rPr>
        <w:t>Supplementary</w:t>
      </w:r>
      <w:r w:rsidRPr="00E07219">
        <w:rPr>
          <w:b/>
          <w:bCs/>
        </w:rPr>
        <w:t xml:space="preserve"> </w:t>
      </w:r>
      <w:r w:rsidR="00964A8F" w:rsidRPr="00E07219">
        <w:rPr>
          <w:b/>
          <w:bCs/>
        </w:rPr>
        <w:t>Fig.</w:t>
      </w:r>
      <w:r w:rsidRPr="00E07219">
        <w:rPr>
          <w:b/>
          <w:bCs/>
        </w:rPr>
        <w:t xml:space="preserve"> </w:t>
      </w:r>
      <w:r w:rsidR="00964A8F" w:rsidRPr="00E07219">
        <w:rPr>
          <w:b/>
          <w:bCs/>
        </w:rPr>
        <w:t>3</w:t>
      </w:r>
      <w:r w:rsidR="00E07219" w:rsidRPr="00E07219">
        <w:rPr>
          <w:b/>
          <w:bCs/>
        </w:rPr>
        <w:t>.</w:t>
      </w:r>
      <w:r w:rsidR="00964A8F" w:rsidRPr="00E07219">
        <w:rPr>
          <w:b/>
          <w:bCs/>
        </w:rPr>
        <w:t xml:space="preserve"> Gating strategy to assess FOXP3 and CD25 expression in activated/cycling naive and memory regulatory T-cells.</w:t>
      </w:r>
      <w:r w:rsidR="00964A8F">
        <w:rPr>
          <w:bCs/>
        </w:rPr>
        <w:t xml:space="preserve"> </w:t>
      </w:r>
      <w:r w:rsidR="00964A8F">
        <w:t>The CD4</w:t>
      </w:r>
      <w:r w:rsidR="00964A8F">
        <w:rPr>
          <w:vertAlign w:val="superscript"/>
        </w:rPr>
        <w:t>+</w:t>
      </w:r>
      <w:r w:rsidR="00964A8F">
        <w:t xml:space="preserve"> T-cell pool was divided into naive (CD45RA</w:t>
      </w:r>
      <w:r w:rsidR="00964A8F">
        <w:rPr>
          <w:vertAlign w:val="superscript"/>
        </w:rPr>
        <w:t>+</w:t>
      </w:r>
      <w:r w:rsidR="00964A8F">
        <w:t>) and memory (CD45RA</w:t>
      </w:r>
      <w:r w:rsidR="00964A8F">
        <w:rPr>
          <w:vertAlign w:val="superscript"/>
        </w:rPr>
        <w:t>–</w:t>
      </w:r>
      <w:r w:rsidR="00964A8F">
        <w:t>) subsets. Within each subset, CD25</w:t>
      </w:r>
      <w:r w:rsidR="00964A8F">
        <w:rPr>
          <w:vertAlign w:val="superscript"/>
        </w:rPr>
        <w:t>+</w:t>
      </w:r>
      <w:r w:rsidR="00964A8F">
        <w:t>CD127</w:t>
      </w:r>
      <w:r w:rsidR="00964A8F">
        <w:rPr>
          <w:vertAlign w:val="superscript"/>
        </w:rPr>
        <w:t>lo</w:t>
      </w:r>
      <w:r w:rsidR="00964A8F">
        <w:t xml:space="preserve"> cells were first identified, and then FOXP3</w:t>
      </w:r>
      <w:r w:rsidR="00964A8F">
        <w:rPr>
          <w:vertAlign w:val="superscript"/>
        </w:rPr>
        <w:t>+</w:t>
      </w:r>
      <w:r w:rsidR="00964A8F">
        <w:t xml:space="preserve"> Tregs were gated. The frequency of activated/cycling (CD71</w:t>
      </w:r>
      <w:r w:rsidR="00964A8F">
        <w:rPr>
          <w:vertAlign w:val="superscript"/>
        </w:rPr>
        <w:t>+</w:t>
      </w:r>
      <w:r w:rsidR="00964A8F">
        <w:t>) cells was determined within the Treg populations, and the expression levels of FOXP3 and CD25 were assessed in these activated/cycling naive and memory Tregs.</w:t>
      </w:r>
    </w:p>
    <w:p w:rsidR="00964A8F" w:rsidRDefault="00964A8F" w:rsidP="00D1282C">
      <w:pPr>
        <w:pStyle w:val="Figure"/>
      </w:pPr>
      <w:r>
        <w:rPr>
          <w:noProof/>
          <w:lang w:eastAsia="zh-CN" w:bidi="ar-SA"/>
        </w:rPr>
        <w:drawing>
          <wp:inline distT="0" distB="0" distL="0" distR="0" wp14:anchorId="0E102D8C" wp14:editId="1DB003F7">
            <wp:extent cx="5940425" cy="2913380"/>
            <wp:effectExtent l="0" t="0" r="3175" b="1270"/>
            <wp:docPr id="4128460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846012" name="Picture 1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1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3EF" w:rsidRPr="00422160" w:rsidRDefault="00D1282C" w:rsidP="00422160">
      <w:pPr>
        <w:pStyle w:val="Figurecaption"/>
        <w:rPr>
          <w:rFonts w:hint="eastAsia"/>
        </w:rPr>
      </w:pPr>
      <w:r w:rsidRPr="00D1282C">
        <w:rPr>
          <w:b/>
        </w:rPr>
        <w:t>Supplementary</w:t>
      </w:r>
      <w:r w:rsidRPr="00D1282C">
        <w:rPr>
          <w:b/>
          <w:bCs/>
        </w:rPr>
        <w:t xml:space="preserve"> </w:t>
      </w:r>
      <w:r w:rsidR="00964A8F" w:rsidRPr="00D1282C">
        <w:rPr>
          <w:b/>
          <w:bCs/>
        </w:rPr>
        <w:t>Fig.</w:t>
      </w:r>
      <w:r w:rsidRPr="00D1282C">
        <w:rPr>
          <w:b/>
          <w:bCs/>
        </w:rPr>
        <w:t xml:space="preserve"> 4</w:t>
      </w:r>
      <w:r w:rsidR="00964A8F" w:rsidRPr="00D1282C">
        <w:rPr>
          <w:b/>
          <w:bCs/>
        </w:rPr>
        <w:t>. Gating strategy to assess mitochondrial characteristics in activated/cycling naive and memory regulatory T-cells.</w:t>
      </w:r>
      <w:r w:rsidR="00964A8F">
        <w:rPr>
          <w:bCs/>
        </w:rPr>
        <w:t xml:space="preserve"> </w:t>
      </w:r>
      <w:r w:rsidR="00964A8F">
        <w:t>CD4</w:t>
      </w:r>
      <w:r w:rsidR="00964A8F">
        <w:rPr>
          <w:vertAlign w:val="superscript"/>
        </w:rPr>
        <w:t>+</w:t>
      </w:r>
      <w:r w:rsidR="00964A8F">
        <w:t xml:space="preserve"> T-cells were first divided into naive (CD45RA</w:t>
      </w:r>
      <w:r w:rsidR="00964A8F">
        <w:rPr>
          <w:vertAlign w:val="superscript"/>
        </w:rPr>
        <w:t>+</w:t>
      </w:r>
      <w:r w:rsidR="00964A8F">
        <w:t>) and memory (CD45RA</w:t>
      </w:r>
      <w:r w:rsidR="00964A8F">
        <w:rPr>
          <w:vertAlign w:val="superscript"/>
        </w:rPr>
        <w:t>–</w:t>
      </w:r>
      <w:r w:rsidR="00964A8F">
        <w:t>) subsets. Within each subset, CD25</w:t>
      </w:r>
      <w:r w:rsidR="00964A8F">
        <w:rPr>
          <w:vertAlign w:val="superscript"/>
        </w:rPr>
        <w:t>+</w:t>
      </w:r>
      <w:r w:rsidR="00964A8F">
        <w:t>CD127</w:t>
      </w:r>
      <w:r w:rsidR="00964A8F">
        <w:rPr>
          <w:vertAlign w:val="superscript"/>
        </w:rPr>
        <w:t>lo</w:t>
      </w:r>
      <w:r w:rsidR="00964A8F">
        <w:t xml:space="preserve"> Tregs were identified. Quiescent (CD71</w:t>
      </w:r>
      <w:r w:rsidR="00964A8F">
        <w:rPr>
          <w:vertAlign w:val="superscript"/>
        </w:rPr>
        <w:t>–</w:t>
      </w:r>
      <w:r w:rsidR="00964A8F">
        <w:t>) and activated/cycling (CD71</w:t>
      </w:r>
      <w:r w:rsidR="00964A8F">
        <w:rPr>
          <w:vertAlign w:val="superscript"/>
        </w:rPr>
        <w:t>+</w:t>
      </w:r>
      <w:r w:rsidR="00964A8F">
        <w:t>) cells were then distinguished within the Treg populations. Mitochondrial mass and transmembrane potential were evaluated in these Treg subsets using MitoTracker Green and MitoTracker Orange dyes, respectively.</w:t>
      </w:r>
    </w:p>
    <w:sectPr w:rsidR="006373EF" w:rsidRPr="00422160" w:rsidSect="002471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1" w:bottom="1134" w:left="851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534A" w:rsidRDefault="00A4534A" w:rsidP="0024719C">
      <w:pPr>
        <w:ind w:firstLine="420"/>
      </w:pPr>
      <w:r>
        <w:separator/>
      </w:r>
    </w:p>
  </w:endnote>
  <w:endnote w:type="continuationSeparator" w:id="0">
    <w:p w:rsidR="00A4534A" w:rsidRDefault="00A4534A" w:rsidP="0024719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719C" w:rsidRDefault="0024719C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719C" w:rsidRDefault="0024719C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719C" w:rsidRDefault="0024719C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534A" w:rsidRDefault="00A4534A" w:rsidP="0024719C">
      <w:pPr>
        <w:ind w:firstLine="420"/>
      </w:pPr>
      <w:r>
        <w:separator/>
      </w:r>
    </w:p>
  </w:footnote>
  <w:footnote w:type="continuationSeparator" w:id="0">
    <w:p w:rsidR="00A4534A" w:rsidRDefault="00A4534A" w:rsidP="0024719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719C" w:rsidRDefault="0024719C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719C" w:rsidRPr="0024719C" w:rsidRDefault="0024719C" w:rsidP="0024719C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719C" w:rsidRDefault="0024719C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  <w:num w:numId="7">
    <w:abstractNumId w:val="0"/>
  </w:num>
  <w:num w:numId="8">
    <w:abstractNumId w:val="0"/>
  </w:num>
  <w:num w:numId="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F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A8F"/>
    <w:rsid w:val="00006680"/>
    <w:rsid w:val="000877FC"/>
    <w:rsid w:val="000C10C2"/>
    <w:rsid w:val="000F567D"/>
    <w:rsid w:val="000F60B7"/>
    <w:rsid w:val="00152EA0"/>
    <w:rsid w:val="001A0711"/>
    <w:rsid w:val="001D7F40"/>
    <w:rsid w:val="0024719C"/>
    <w:rsid w:val="002B6333"/>
    <w:rsid w:val="00304C1C"/>
    <w:rsid w:val="003370A1"/>
    <w:rsid w:val="003B2964"/>
    <w:rsid w:val="00415F84"/>
    <w:rsid w:val="00422160"/>
    <w:rsid w:val="00441AD2"/>
    <w:rsid w:val="00460503"/>
    <w:rsid w:val="004E529B"/>
    <w:rsid w:val="005D6511"/>
    <w:rsid w:val="00600382"/>
    <w:rsid w:val="006373EF"/>
    <w:rsid w:val="00640B65"/>
    <w:rsid w:val="006624B1"/>
    <w:rsid w:val="0071477E"/>
    <w:rsid w:val="007505E7"/>
    <w:rsid w:val="007745D7"/>
    <w:rsid w:val="007B334F"/>
    <w:rsid w:val="007D0CCC"/>
    <w:rsid w:val="00810132"/>
    <w:rsid w:val="00810C47"/>
    <w:rsid w:val="0083031C"/>
    <w:rsid w:val="00875377"/>
    <w:rsid w:val="00896058"/>
    <w:rsid w:val="0090252B"/>
    <w:rsid w:val="00964A8F"/>
    <w:rsid w:val="00965AA5"/>
    <w:rsid w:val="00A277B8"/>
    <w:rsid w:val="00A36E11"/>
    <w:rsid w:val="00A445C3"/>
    <w:rsid w:val="00A4534A"/>
    <w:rsid w:val="00A479E5"/>
    <w:rsid w:val="00A70FA3"/>
    <w:rsid w:val="00B10CCE"/>
    <w:rsid w:val="00B93363"/>
    <w:rsid w:val="00B94C7F"/>
    <w:rsid w:val="00CB2603"/>
    <w:rsid w:val="00CD267D"/>
    <w:rsid w:val="00D1282C"/>
    <w:rsid w:val="00D75792"/>
    <w:rsid w:val="00E06954"/>
    <w:rsid w:val="00E07219"/>
    <w:rsid w:val="00E1353C"/>
    <w:rsid w:val="00E1518F"/>
    <w:rsid w:val="00E16972"/>
    <w:rsid w:val="00E26481"/>
    <w:rsid w:val="00E470AA"/>
    <w:rsid w:val="00E4715E"/>
    <w:rsid w:val="00E6286C"/>
    <w:rsid w:val="00EB2AB2"/>
    <w:rsid w:val="00F16167"/>
    <w:rsid w:val="00F73AB7"/>
    <w:rsid w:val="00F773CD"/>
    <w:rsid w:val="00FC6F3C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A2F5FD0"/>
  <w15:chartTrackingRefBased/>
  <w15:docId w15:val="{79E899BF-8B32-44A5-87EE-12B51FB9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semiHidden="1" w:uiPriority="99" w:qFormat="1"/>
    <w:lsdException w:name="footer" w:semiHidden="1" w:uiPriority="99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 w:uiPriority="99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99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Theme" w:semiHidden="1" w:unhideWhenUsed="1"/>
    <w:lsdException w:name="Placeholder Text" w:semiHidden="1" w:uiPriority="99" w:qFormat="1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A8F"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A277B8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A277B8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A277B8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semiHidden/>
    <w:qFormat/>
    <w:rsid w:val="00A479E5"/>
    <w:pPr>
      <w:keepNext/>
      <w:keepLines/>
      <w:spacing w:before="280" w:after="290" w:line="376" w:lineRule="auto"/>
      <w:ind w:firstLineChars="0" w:firstLine="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6"/>
    </w:pPr>
    <w:rPr>
      <w:rFonts w:asciiTheme="minorHAnsi" w:eastAsiaTheme="minorEastAsia" w:hAnsiTheme="minorHAnsi" w:cstheme="minorBidi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A277B8"/>
    <w:pPr>
      <w:adjustRightInd w:val="0"/>
      <w:snapToGrid w:val="0"/>
      <w:jc w:val="both"/>
    </w:pPr>
    <w:rPr>
      <w:rFonts w:eastAsia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A277B8"/>
    <w:pPr>
      <w:adjustRightInd w:val="0"/>
      <w:snapToGrid w:val="0"/>
    </w:pPr>
    <w:rPr>
      <w:rFonts w:eastAsia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A277B8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A277B8"/>
    <w:pPr>
      <w:numPr>
        <w:numId w:val="9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A277B8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A277B8"/>
    <w:pPr>
      <w:adjustRightInd w:val="0"/>
      <w:snapToGrid w:val="0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A277B8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A277B8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A277B8"/>
    <w:pPr>
      <w:ind w:left="200" w:hangingChars="200" w:hanging="200"/>
      <w:jc w:val="both"/>
    </w:pPr>
    <w:rPr>
      <w:rFonts w:eastAsia="Times New Roman"/>
      <w:snapToGrid w:val="0"/>
      <w:color w:val="000000"/>
      <w:sz w:val="18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A277B8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A277B8"/>
    <w:rPr>
      <w:rFonts w:eastAsia="Times New Roman"/>
      <w:b/>
      <w:bCs/>
      <w:i/>
      <w:noProof/>
      <w:color w:val="00000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A277B8"/>
    <w:rPr>
      <w:rFonts w:eastAsia="Times New Roman"/>
      <w:bCs/>
      <w:i/>
      <w:noProof/>
      <w:color w:val="00000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479E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479E5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479E5"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479E5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479E5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Reference0">
    <w:name w:val="Reference 字符"/>
    <w:basedOn w:val="Keywords0"/>
    <w:link w:val="Reference"/>
    <w:uiPriority w:val="19"/>
    <w:rsid w:val="00A277B8"/>
    <w:rPr>
      <w:rFonts w:eastAsia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A277B8"/>
    <w:pPr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A277B8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A277B8"/>
    <w:pPr>
      <w:ind w:firstLineChars="200" w:firstLine="200"/>
      <w:jc w:val="both"/>
    </w:pPr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A277B8"/>
    <w:rPr>
      <w:rFonts w:eastAsia="Times New Roman"/>
      <w:snapToGrid w:val="0"/>
      <w:color w:val="000000"/>
      <w:sz w:val="21"/>
      <w:szCs w:val="28"/>
      <w:lang w:eastAsia="de-DE" w:bidi="en-US"/>
    </w:rPr>
  </w:style>
  <w:style w:type="paragraph" w:styleId="a3">
    <w:name w:val="Body Text"/>
    <w:basedOn w:val="a"/>
    <w:link w:val="a4"/>
    <w:uiPriority w:val="1"/>
    <w:semiHidden/>
    <w:qFormat/>
    <w:rsid w:val="00964A8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4">
    <w:name w:val="正文文本 字符"/>
    <w:basedOn w:val="a0"/>
    <w:link w:val="a3"/>
    <w:uiPriority w:val="1"/>
    <w:semiHidden/>
    <w:qFormat/>
    <w:rsid w:val="00964A8F"/>
    <w:rPr>
      <w:rFonts w:eastAsia="Times New Roman"/>
      <w:sz w:val="21"/>
      <w:szCs w:val="21"/>
    </w:rPr>
  </w:style>
  <w:style w:type="paragraph" w:customStyle="1" w:styleId="a5">
    <w:name w:val="致谢部分"/>
    <w:basedOn w:val="a3"/>
    <w:link w:val="a6"/>
    <w:semiHidden/>
    <w:qFormat/>
    <w:rsid w:val="00964A8F"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6">
    <w:name w:val="致谢部分 字符"/>
    <w:link w:val="a5"/>
    <w:semiHidden/>
    <w:qFormat/>
    <w:rsid w:val="00964A8F"/>
    <w:rPr>
      <w:rFonts w:eastAsia="Times New Roman"/>
      <w:b/>
      <w:kern w:val="2"/>
      <w:sz w:val="24"/>
      <w:szCs w:val="24"/>
    </w:rPr>
  </w:style>
  <w:style w:type="paragraph" w:styleId="a7">
    <w:name w:val="header"/>
    <w:basedOn w:val="a"/>
    <w:link w:val="a8"/>
    <w:uiPriority w:val="99"/>
    <w:semiHidden/>
    <w:qFormat/>
    <w:rsid w:val="00247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24719C"/>
    <w:rPr>
      <w:rFonts w:eastAsia="Times New Roman"/>
      <w:kern w:val="2"/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rsid w:val="00247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24719C"/>
    <w:rPr>
      <w:rFonts w:eastAsia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Lily- FBL Office</cp:lastModifiedBy>
  <cp:revision>13</cp:revision>
  <dcterms:created xsi:type="dcterms:W3CDTF">2024-11-15T07:54:00Z</dcterms:created>
  <dcterms:modified xsi:type="dcterms:W3CDTF">2024-12-16T02:13:00Z</dcterms:modified>
</cp:coreProperties>
</file>