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18DE" w:rsidRDefault="006618DE" w:rsidP="000F044F">
      <w:pPr>
        <w:ind w:left="-142"/>
        <w:rPr>
          <w:lang w:val="en-US"/>
        </w:rPr>
      </w:pPr>
      <w:r w:rsidRPr="006618DE">
        <w:rPr>
          <w:noProof/>
          <w:lang w:val="en-US" w:eastAsia="zh-CN"/>
        </w:rPr>
        <w:drawing>
          <wp:inline distT="0" distB="0" distL="0" distR="0" wp14:anchorId="11380B00" wp14:editId="3F7FF559">
            <wp:extent cx="4675414" cy="369685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11119" cy="3725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18DE" w:rsidRDefault="006618DE" w:rsidP="000F044F">
      <w:pPr>
        <w:ind w:left="-142"/>
        <w:rPr>
          <w:lang w:val="en-US"/>
        </w:rPr>
      </w:pPr>
      <w:r w:rsidRPr="006618DE">
        <w:rPr>
          <w:noProof/>
          <w:lang w:val="en-US" w:eastAsia="zh-CN"/>
        </w:rPr>
        <w:lastRenderedPageBreak/>
        <w:drawing>
          <wp:inline distT="0" distB="0" distL="0" distR="0" wp14:anchorId="6518AF69" wp14:editId="44B48BBB">
            <wp:extent cx="4572000" cy="3540307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87463" cy="3552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18DE" w:rsidRDefault="006618DE" w:rsidP="000F044F">
      <w:pPr>
        <w:ind w:left="-142"/>
        <w:rPr>
          <w:lang w:val="en-US"/>
        </w:rPr>
      </w:pPr>
      <w:r w:rsidRPr="006618DE">
        <w:rPr>
          <w:noProof/>
          <w:lang w:val="en-US" w:eastAsia="zh-CN"/>
        </w:rPr>
        <w:drawing>
          <wp:inline distT="0" distB="0" distL="0" distR="0" wp14:anchorId="49503074" wp14:editId="306EA504">
            <wp:extent cx="4644425" cy="3701142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49873" cy="3705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3DBD" w:rsidRDefault="00E460B6" w:rsidP="000F044F">
      <w:pPr>
        <w:ind w:left="-142"/>
        <w:rPr>
          <w:lang w:val="en-US"/>
        </w:rPr>
      </w:pPr>
      <w:r w:rsidRPr="00E460B6">
        <w:rPr>
          <w:noProof/>
          <w:lang w:val="en-US" w:eastAsia="zh-CN"/>
        </w:rPr>
        <w:lastRenderedPageBreak/>
        <w:drawing>
          <wp:inline distT="0" distB="0" distL="0" distR="0" wp14:anchorId="34385D18" wp14:editId="6CCF686A">
            <wp:extent cx="4841330" cy="3766457"/>
            <wp:effectExtent l="0" t="0" r="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49886" cy="3773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4AEF" w:rsidRPr="00D521B0" w:rsidRDefault="00A74AEF" w:rsidP="00A74AEF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Fig. 1</w:t>
      </w:r>
      <w:r w:rsidRPr="00D521B0">
        <w:rPr>
          <w:rFonts w:ascii="Times New Roman" w:hAnsi="Times New Roman" w:cs="Times New Roman"/>
          <w:lang w:val="en-US"/>
        </w:rPr>
        <w:t xml:space="preserve">. </w:t>
      </w:r>
      <w:proofErr w:type="spellStart"/>
      <w:r w:rsidRPr="00D521B0">
        <w:rPr>
          <w:rFonts w:ascii="Times New Roman" w:hAnsi="Times New Roman" w:cs="Times New Roman"/>
          <w:lang w:val="en-US"/>
        </w:rPr>
        <w:t>Aproximate</w:t>
      </w:r>
      <w:proofErr w:type="spellEnd"/>
      <w:r w:rsidRPr="00D521B0">
        <w:rPr>
          <w:rFonts w:ascii="Times New Roman" w:hAnsi="Times New Roman" w:cs="Times New Roman"/>
          <w:lang w:val="en-US"/>
        </w:rPr>
        <w:t xml:space="preserve"> logistic function of curves </w:t>
      </w:r>
      <w:proofErr w:type="spellStart"/>
      <w:r w:rsidRPr="00D521B0">
        <w:rPr>
          <w:rFonts w:ascii="Times New Roman" w:hAnsi="Times New Roman" w:cs="Times New Roman"/>
          <w:lang w:val="en-US"/>
        </w:rPr>
        <w:t>resorufin</w:t>
      </w:r>
      <w:proofErr w:type="spellEnd"/>
      <w:r w:rsidRPr="00D521B0">
        <w:rPr>
          <w:rFonts w:ascii="Times New Roman" w:hAnsi="Times New Roman" w:cs="Times New Roman"/>
          <w:lang w:val="en-US"/>
        </w:rPr>
        <w:t xml:space="preserve"> fluorescence of plant secondary metabolites.</w:t>
      </w:r>
    </w:p>
    <w:p w:rsidR="00A74AEF" w:rsidRDefault="00A74AEF" w:rsidP="000F044F">
      <w:pPr>
        <w:ind w:left="-142"/>
        <w:rPr>
          <w:lang w:val="en-US"/>
        </w:rPr>
      </w:pPr>
    </w:p>
    <w:p w:rsidR="002212DE" w:rsidRDefault="002212DE" w:rsidP="001A052F">
      <w:pPr>
        <w:rPr>
          <w:lang w:val="en-US"/>
        </w:rPr>
      </w:pPr>
    </w:p>
    <w:p w:rsidR="00D95167" w:rsidRDefault="00D95167" w:rsidP="000F044F">
      <w:pPr>
        <w:ind w:left="-142"/>
        <w:rPr>
          <w:lang w:val="en-US"/>
        </w:rPr>
      </w:pPr>
      <w:r w:rsidRPr="00D95167">
        <w:rPr>
          <w:noProof/>
          <w:lang w:val="en-US" w:eastAsia="zh-CN"/>
        </w:rPr>
        <w:drawing>
          <wp:inline distT="0" distB="0" distL="0" distR="0" wp14:anchorId="35C66E1A" wp14:editId="3A23D145">
            <wp:extent cx="6029325" cy="6300658"/>
            <wp:effectExtent l="0" t="0" r="0" b="508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52754" cy="6325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4AEF" w:rsidRPr="002212DE" w:rsidRDefault="00A74AEF" w:rsidP="00A74AEF">
      <w:pPr>
        <w:ind w:left="-142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Fig. 2</w:t>
      </w:r>
      <w:r w:rsidRPr="002212DE">
        <w:rPr>
          <w:rFonts w:ascii="Times New Roman" w:hAnsi="Times New Roman" w:cs="Times New Roman"/>
          <w:lang w:val="en-US"/>
        </w:rPr>
        <w:t>. Fluorescence spectra of the PSMs.</w:t>
      </w:r>
    </w:p>
    <w:p w:rsidR="00E56866" w:rsidRDefault="00E56866" w:rsidP="000F044F">
      <w:pPr>
        <w:ind w:left="-142"/>
        <w:rPr>
          <w:lang w:val="en-US"/>
        </w:rPr>
      </w:pPr>
    </w:p>
    <w:p w:rsidR="00E56866" w:rsidRDefault="00E56866" w:rsidP="000F044F">
      <w:pPr>
        <w:ind w:left="-142"/>
        <w:rPr>
          <w:lang w:val="en-US"/>
        </w:rPr>
      </w:pPr>
    </w:p>
    <w:p w:rsidR="00E56866" w:rsidRDefault="00E56866" w:rsidP="000F044F">
      <w:pPr>
        <w:ind w:left="-142"/>
        <w:rPr>
          <w:lang w:val="en-US"/>
        </w:rPr>
      </w:pPr>
    </w:p>
    <w:p w:rsidR="00465070" w:rsidRDefault="00465070" w:rsidP="000F044F">
      <w:pPr>
        <w:ind w:left="-142"/>
        <w:rPr>
          <w:rFonts w:ascii="Times New Roman" w:hAnsi="Times New Roman" w:cs="Times New Roman"/>
          <w:lang w:val="en-US"/>
        </w:rPr>
      </w:pPr>
      <w:r>
        <w:rPr>
          <w:noProof/>
          <w:lang w:val="en-US" w:eastAsia="zh-CN"/>
        </w:rPr>
        <w:drawing>
          <wp:inline distT="0" distB="0" distL="0" distR="0" wp14:anchorId="733FFC9D" wp14:editId="78CB029A">
            <wp:extent cx="3810000" cy="8227294"/>
            <wp:effectExtent l="0" t="0" r="0" b="254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282" cy="82689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74AEF" w:rsidRDefault="00A74AEF" w:rsidP="00A74AEF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Fig. 3</w:t>
      </w:r>
      <w:r w:rsidRPr="00465070">
        <w:rPr>
          <w:rFonts w:ascii="Times New Roman" w:hAnsi="Times New Roman" w:cs="Times New Roman"/>
          <w:lang w:val="en-US"/>
        </w:rPr>
        <w:t>. Structural formulae of plant secondary metabolites.</w:t>
      </w:r>
    </w:p>
    <w:p w:rsidR="00A74AEF" w:rsidRDefault="00A74AEF" w:rsidP="000F044F">
      <w:pPr>
        <w:ind w:left="-142"/>
        <w:rPr>
          <w:rFonts w:ascii="Times New Roman" w:hAnsi="Times New Roman" w:cs="Times New Roman"/>
          <w:lang w:val="en-US"/>
        </w:rPr>
      </w:pPr>
    </w:p>
    <w:p w:rsidR="00465070" w:rsidRPr="00CF2C6F" w:rsidRDefault="00465070" w:rsidP="00465070">
      <w:pPr>
        <w:spacing w:after="0" w:line="240" w:lineRule="auto"/>
        <w:ind w:left="-142"/>
        <w:jc w:val="both"/>
        <w:rPr>
          <w:rFonts w:ascii="Arial" w:hAnsi="Arial" w:cs="Arial"/>
          <w:lang w:val="en-US"/>
        </w:rPr>
      </w:pPr>
      <w:r w:rsidRPr="00CF2C6F">
        <w:rPr>
          <w:rFonts w:ascii="Arial" w:hAnsi="Arial" w:cs="Arial"/>
          <w:lang w:val="en-GB"/>
        </w:rPr>
        <w:t>A.</w:t>
      </w:r>
    </w:p>
    <w:p w:rsidR="00465070" w:rsidRPr="00CF2C6F" w:rsidRDefault="00465070" w:rsidP="00465070">
      <w:pPr>
        <w:spacing w:after="0" w:line="240" w:lineRule="auto"/>
        <w:ind w:left="-142"/>
        <w:jc w:val="both"/>
        <w:rPr>
          <w:rFonts w:ascii="Arial" w:hAnsi="Arial" w:cs="Arial"/>
          <w:lang w:val="en-US"/>
        </w:rPr>
      </w:pPr>
      <w:r w:rsidRPr="00CF2C6F">
        <w:rPr>
          <w:rFonts w:ascii="Arial" w:hAnsi="Arial" w:cs="Arial"/>
          <w:noProof/>
          <w:lang w:val="en-US" w:eastAsia="zh-CN"/>
        </w:rPr>
        <w:drawing>
          <wp:inline distT="0" distB="0" distL="0" distR="0" wp14:anchorId="26288BD5" wp14:editId="7C89233F">
            <wp:extent cx="5940425" cy="13533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353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65070" w:rsidRPr="00CF2C6F" w:rsidRDefault="00465070" w:rsidP="00465070">
      <w:pPr>
        <w:spacing w:after="0" w:line="240" w:lineRule="auto"/>
        <w:ind w:left="-142"/>
        <w:jc w:val="both"/>
        <w:rPr>
          <w:rFonts w:ascii="Arial" w:hAnsi="Arial" w:cs="Arial"/>
          <w:lang w:val="en-US"/>
        </w:rPr>
      </w:pPr>
      <w:r w:rsidRPr="00CF2C6F">
        <w:rPr>
          <w:rFonts w:ascii="Arial" w:hAnsi="Arial" w:cs="Arial"/>
          <w:lang w:val="en-US"/>
        </w:rPr>
        <w:t>B.</w:t>
      </w:r>
    </w:p>
    <w:p w:rsidR="00465070" w:rsidRPr="001A052F" w:rsidRDefault="00465070" w:rsidP="001A052F">
      <w:pPr>
        <w:spacing w:after="0" w:line="240" w:lineRule="auto"/>
        <w:ind w:left="-142"/>
        <w:jc w:val="both"/>
        <w:rPr>
          <w:rFonts w:ascii="Arial" w:hAnsi="Arial" w:cs="Arial"/>
          <w:lang w:val="en-US"/>
        </w:rPr>
      </w:pPr>
      <w:r w:rsidRPr="00CF2C6F">
        <w:rPr>
          <w:rFonts w:ascii="Arial" w:hAnsi="Arial" w:cs="Arial"/>
          <w:noProof/>
          <w:lang w:val="en-US" w:eastAsia="zh-CN"/>
        </w:rPr>
        <w:drawing>
          <wp:inline distT="0" distB="0" distL="0" distR="0" wp14:anchorId="341A22EC" wp14:editId="69BA7519">
            <wp:extent cx="2843338" cy="457263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376" cy="46145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74AEF" w:rsidRDefault="00A74AEF" w:rsidP="00A74AEF">
      <w:pPr>
        <w:ind w:left="-142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Fig. 4.</w:t>
      </w:r>
    </w:p>
    <w:p w:rsidR="00A74AEF" w:rsidRDefault="00A74AEF" w:rsidP="00A74AEF">
      <w:pPr>
        <w:ind w:left="-142"/>
        <w:rPr>
          <w:rFonts w:ascii="Times New Roman" w:hAnsi="Times New Roman" w:cs="Times New Roman"/>
          <w:lang w:val="en-US"/>
        </w:rPr>
      </w:pPr>
      <w:r w:rsidRPr="00465070">
        <w:rPr>
          <w:rFonts w:ascii="Times New Roman" w:hAnsi="Times New Roman" w:cs="Times New Roman"/>
          <w:lang w:val="en-US"/>
        </w:rPr>
        <w:t xml:space="preserve">Depletion of linker histones H1.2 under the treatment of T47D cells with CBL0137 and PSMs. A. Western blotting analysis of the </w:t>
      </w:r>
      <w:proofErr w:type="spellStart"/>
      <w:r w:rsidRPr="00465070">
        <w:rPr>
          <w:rFonts w:ascii="Times New Roman" w:hAnsi="Times New Roman" w:cs="Times New Roman"/>
          <w:lang w:val="en-US"/>
        </w:rPr>
        <w:t>nucleoplasmic</w:t>
      </w:r>
      <w:proofErr w:type="spellEnd"/>
      <w:r w:rsidRPr="00465070">
        <w:rPr>
          <w:rFonts w:ascii="Times New Roman" w:hAnsi="Times New Roman" w:cs="Times New Roman"/>
          <w:lang w:val="en-US"/>
        </w:rPr>
        <w:t xml:space="preserve"> and chromatin fractions of T47D cells treated with PSMs for 24h. (m-protein marker, n. </w:t>
      </w:r>
      <w:proofErr w:type="spellStart"/>
      <w:r w:rsidRPr="00465070">
        <w:rPr>
          <w:rFonts w:ascii="Times New Roman" w:hAnsi="Times New Roman" w:cs="Times New Roman"/>
          <w:lang w:val="en-US"/>
        </w:rPr>
        <w:t>fr</w:t>
      </w:r>
      <w:proofErr w:type="spellEnd"/>
      <w:r w:rsidRPr="00465070">
        <w:rPr>
          <w:rFonts w:ascii="Times New Roman" w:hAnsi="Times New Roman" w:cs="Times New Roman"/>
          <w:lang w:val="en-US"/>
        </w:rPr>
        <w:t xml:space="preserve">- </w:t>
      </w:r>
      <w:proofErr w:type="spellStart"/>
      <w:r w:rsidRPr="00465070">
        <w:rPr>
          <w:rFonts w:ascii="Times New Roman" w:hAnsi="Times New Roman" w:cs="Times New Roman"/>
          <w:lang w:val="en-US"/>
        </w:rPr>
        <w:t>nucleoplasmic</w:t>
      </w:r>
      <w:proofErr w:type="spellEnd"/>
      <w:r w:rsidRPr="00465070">
        <w:rPr>
          <w:rFonts w:ascii="Times New Roman" w:hAnsi="Times New Roman" w:cs="Times New Roman"/>
          <w:lang w:val="en-US"/>
        </w:rPr>
        <w:t xml:space="preserve"> fraction, </w:t>
      </w:r>
      <w:proofErr w:type="spellStart"/>
      <w:r w:rsidRPr="00465070">
        <w:rPr>
          <w:rFonts w:ascii="Times New Roman" w:hAnsi="Times New Roman" w:cs="Times New Roman"/>
          <w:lang w:val="en-US"/>
        </w:rPr>
        <w:t>ch.</w:t>
      </w:r>
      <w:proofErr w:type="spellEnd"/>
      <w:r w:rsidRPr="0046507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465070">
        <w:rPr>
          <w:rFonts w:ascii="Times New Roman" w:hAnsi="Times New Roman" w:cs="Times New Roman"/>
          <w:lang w:val="en-US"/>
        </w:rPr>
        <w:t>fr</w:t>
      </w:r>
      <w:proofErr w:type="spellEnd"/>
      <w:r w:rsidRPr="00465070">
        <w:rPr>
          <w:rFonts w:ascii="Times New Roman" w:hAnsi="Times New Roman" w:cs="Times New Roman"/>
          <w:lang w:val="en-US"/>
        </w:rPr>
        <w:t xml:space="preserve">- chromatin fraction). B. Densitometry analysis of the blots: Mean ± SD; statistically significance of the differences of the relative histone contents (ANOVA test and </w:t>
      </w:r>
      <w:proofErr w:type="spellStart"/>
      <w:r w:rsidRPr="00465070">
        <w:rPr>
          <w:rFonts w:ascii="Times New Roman" w:hAnsi="Times New Roman" w:cs="Times New Roman"/>
          <w:lang w:val="en-US"/>
        </w:rPr>
        <w:t>Dunnett’s</w:t>
      </w:r>
      <w:proofErr w:type="spellEnd"/>
      <w:r w:rsidRPr="00465070">
        <w:rPr>
          <w:rFonts w:ascii="Times New Roman" w:hAnsi="Times New Roman" w:cs="Times New Roman"/>
          <w:lang w:val="en-US"/>
        </w:rPr>
        <w:t xml:space="preserve"> post hoc test): ** – p&lt;0.01, *** – p&lt;0.001, **** – p&lt;0.0001.  </w:t>
      </w:r>
    </w:p>
    <w:p w:rsidR="00465070" w:rsidRDefault="00465070" w:rsidP="000F044F">
      <w:pPr>
        <w:ind w:left="-142"/>
        <w:rPr>
          <w:rFonts w:ascii="Times New Roman" w:hAnsi="Times New Roman" w:cs="Times New Roman"/>
          <w:lang w:val="en-US"/>
        </w:rPr>
      </w:pPr>
    </w:p>
    <w:p w:rsidR="00465070" w:rsidRDefault="00465070" w:rsidP="000F044F">
      <w:pPr>
        <w:ind w:left="-142"/>
        <w:rPr>
          <w:rFonts w:ascii="Times New Roman" w:hAnsi="Times New Roman" w:cs="Times New Roman"/>
          <w:lang w:val="en-US"/>
        </w:rPr>
      </w:pPr>
    </w:p>
    <w:p w:rsidR="00465070" w:rsidRDefault="00465070" w:rsidP="000F044F">
      <w:pPr>
        <w:ind w:left="-142"/>
        <w:rPr>
          <w:rFonts w:ascii="Times New Roman" w:hAnsi="Times New Roman" w:cs="Times New Roman"/>
          <w:lang w:val="en-US"/>
        </w:rPr>
      </w:pPr>
    </w:p>
    <w:p w:rsidR="00465070" w:rsidRDefault="00465070" w:rsidP="000F044F">
      <w:pPr>
        <w:ind w:left="-142"/>
        <w:rPr>
          <w:rFonts w:ascii="Times New Roman" w:hAnsi="Times New Roman" w:cs="Times New Roman"/>
          <w:lang w:val="en-US"/>
        </w:rPr>
      </w:pPr>
    </w:p>
    <w:p w:rsidR="00E56866" w:rsidRDefault="00E56866" w:rsidP="000F044F">
      <w:pPr>
        <w:ind w:left="-142"/>
        <w:rPr>
          <w:lang w:val="en-US"/>
        </w:rPr>
      </w:pPr>
      <w:r w:rsidRPr="00E56866">
        <w:rPr>
          <w:noProof/>
          <w:lang w:val="en-US" w:eastAsia="zh-CN"/>
        </w:rPr>
        <w:drawing>
          <wp:inline distT="0" distB="0" distL="0" distR="0">
            <wp:extent cx="5940425" cy="4238351"/>
            <wp:effectExtent l="0" t="0" r="3175" b="0"/>
            <wp:docPr id="6" name="Рисунок 6" descr="C:\Users\user\Desktop\картинке к статье H1\S\Рисунок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артинке к статье H1\S\Рисунок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38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4AEF" w:rsidRPr="002212DE" w:rsidRDefault="00A74AEF" w:rsidP="00A74AEF">
      <w:pPr>
        <w:ind w:left="-142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Fig. 5.</w:t>
      </w:r>
    </w:p>
    <w:p w:rsidR="00A74AEF" w:rsidRPr="002212DE" w:rsidRDefault="00A74AEF" w:rsidP="00A74AEF">
      <w:pPr>
        <w:ind w:left="-142"/>
        <w:rPr>
          <w:rFonts w:ascii="Times New Roman" w:hAnsi="Times New Roman" w:cs="Times New Roman"/>
          <w:lang w:val="en-US"/>
        </w:rPr>
      </w:pPr>
      <w:r w:rsidRPr="002212DE">
        <w:rPr>
          <w:rFonts w:ascii="Times New Roman" w:hAnsi="Times New Roman" w:cs="Times New Roman"/>
          <w:lang w:val="en-US"/>
        </w:rPr>
        <w:t xml:space="preserve">Flow cytometry results by </w:t>
      </w:r>
      <w:proofErr w:type="spellStart"/>
      <w:r w:rsidRPr="002212DE">
        <w:rPr>
          <w:rFonts w:ascii="Times New Roman" w:hAnsi="Times New Roman" w:cs="Times New Roman"/>
          <w:lang w:val="en-US"/>
        </w:rPr>
        <w:t>EdU</w:t>
      </w:r>
      <w:proofErr w:type="spellEnd"/>
      <w:r w:rsidRPr="002212DE">
        <w:rPr>
          <w:rFonts w:ascii="Times New Roman" w:hAnsi="Times New Roman" w:cs="Times New Roman"/>
          <w:lang w:val="en-US"/>
        </w:rPr>
        <w:t xml:space="preserve"> and cyclin B1 markers for cell cycle distributions </w:t>
      </w:r>
      <w:proofErr w:type="gramStart"/>
      <w:r w:rsidRPr="002212DE">
        <w:rPr>
          <w:rFonts w:ascii="Times New Roman" w:hAnsi="Times New Roman" w:cs="Times New Roman"/>
          <w:lang w:val="en-US"/>
        </w:rPr>
        <w:t>detected  in</w:t>
      </w:r>
      <w:proofErr w:type="gramEnd"/>
      <w:r w:rsidRPr="002212DE">
        <w:rPr>
          <w:rFonts w:ascii="Times New Roman" w:hAnsi="Times New Roman" w:cs="Times New Roman"/>
          <w:lang w:val="en-US"/>
        </w:rPr>
        <w:t xml:space="preserve"> populations of untreated cells and cells treated for 1 hour with 25 µM CBL0137, and with </w:t>
      </w:r>
      <w:proofErr w:type="spellStart"/>
      <w:r w:rsidRPr="002212DE">
        <w:rPr>
          <w:rFonts w:ascii="Times New Roman" w:hAnsi="Times New Roman" w:cs="Times New Roman"/>
          <w:lang w:val="en-US"/>
        </w:rPr>
        <w:t>berberin</w:t>
      </w:r>
      <w:proofErr w:type="spellEnd"/>
      <w:r w:rsidRPr="002212DE">
        <w:rPr>
          <w:rFonts w:ascii="Times New Roman" w:hAnsi="Times New Roman" w:cs="Times New Roman"/>
          <w:lang w:val="en-US"/>
        </w:rPr>
        <w:t xml:space="preserve">, curcumin, and </w:t>
      </w:r>
      <w:proofErr w:type="spellStart"/>
      <w:r w:rsidRPr="002212DE">
        <w:rPr>
          <w:rFonts w:ascii="Times New Roman" w:hAnsi="Times New Roman" w:cs="Times New Roman"/>
          <w:lang w:val="en-US"/>
        </w:rPr>
        <w:t>naringenin</w:t>
      </w:r>
      <w:proofErr w:type="spellEnd"/>
      <w:r w:rsidRPr="002212DE">
        <w:rPr>
          <w:rFonts w:ascii="Times New Roman" w:hAnsi="Times New Roman" w:cs="Times New Roman"/>
          <w:lang w:val="en-US"/>
        </w:rPr>
        <w:t xml:space="preserve"> at the highest non-toxic concentrations.</w:t>
      </w:r>
    </w:p>
    <w:p w:rsidR="00E56866" w:rsidRDefault="00E56866" w:rsidP="000F044F">
      <w:pPr>
        <w:ind w:left="-142"/>
        <w:rPr>
          <w:lang w:val="en-US"/>
        </w:rPr>
      </w:pPr>
    </w:p>
    <w:p w:rsidR="00E56866" w:rsidRDefault="00E56866" w:rsidP="000F044F">
      <w:pPr>
        <w:ind w:left="-142"/>
        <w:rPr>
          <w:lang w:val="en-US"/>
        </w:rPr>
      </w:pPr>
    </w:p>
    <w:p w:rsidR="00E56866" w:rsidRDefault="00E56866" w:rsidP="000F044F">
      <w:pPr>
        <w:ind w:left="-142"/>
        <w:rPr>
          <w:lang w:val="en-US"/>
        </w:rPr>
      </w:pPr>
    </w:p>
    <w:p w:rsidR="00E56866" w:rsidRDefault="00E56866" w:rsidP="000F044F">
      <w:pPr>
        <w:ind w:left="-142"/>
        <w:rPr>
          <w:lang w:val="en-US"/>
        </w:rPr>
      </w:pPr>
    </w:p>
    <w:p w:rsidR="00E56866" w:rsidRDefault="00E56866" w:rsidP="000F044F">
      <w:pPr>
        <w:ind w:left="-142"/>
        <w:rPr>
          <w:lang w:val="en-US"/>
        </w:rPr>
      </w:pPr>
    </w:p>
    <w:p w:rsidR="00E56866" w:rsidRDefault="00E56866" w:rsidP="000F044F">
      <w:pPr>
        <w:ind w:left="-142"/>
        <w:rPr>
          <w:lang w:val="en-US"/>
        </w:rPr>
      </w:pPr>
    </w:p>
    <w:p w:rsidR="00E56866" w:rsidRDefault="00E56866" w:rsidP="000F044F">
      <w:pPr>
        <w:ind w:left="-142"/>
        <w:rPr>
          <w:lang w:val="en-US"/>
        </w:rPr>
      </w:pPr>
    </w:p>
    <w:p w:rsidR="00E56866" w:rsidRDefault="00E56866" w:rsidP="000F044F">
      <w:pPr>
        <w:ind w:left="-142"/>
        <w:rPr>
          <w:lang w:val="en-US"/>
        </w:rPr>
      </w:pPr>
    </w:p>
    <w:p w:rsidR="00E56866" w:rsidRDefault="00E56866" w:rsidP="000F044F">
      <w:pPr>
        <w:ind w:left="-142"/>
        <w:rPr>
          <w:lang w:val="en-US"/>
        </w:rPr>
      </w:pPr>
    </w:p>
    <w:p w:rsidR="00E56866" w:rsidRDefault="00E56866" w:rsidP="000F044F">
      <w:pPr>
        <w:ind w:left="-142"/>
        <w:rPr>
          <w:lang w:val="en-US"/>
        </w:rPr>
      </w:pPr>
    </w:p>
    <w:p w:rsidR="00E56866" w:rsidRDefault="00E56866" w:rsidP="000F044F">
      <w:pPr>
        <w:ind w:left="-142"/>
        <w:rPr>
          <w:lang w:val="en-US"/>
        </w:rPr>
      </w:pPr>
    </w:p>
    <w:p w:rsidR="00E56866" w:rsidRDefault="00E56866" w:rsidP="000F044F">
      <w:pPr>
        <w:ind w:left="-142"/>
        <w:rPr>
          <w:lang w:val="en-US"/>
        </w:rPr>
      </w:pPr>
    </w:p>
    <w:p w:rsidR="00E56866" w:rsidRDefault="00E56866" w:rsidP="000F044F">
      <w:pPr>
        <w:ind w:left="-142"/>
        <w:rPr>
          <w:lang w:val="en-US"/>
        </w:rPr>
      </w:pPr>
    </w:p>
    <w:p w:rsidR="00FE0461" w:rsidRDefault="00FE0461" w:rsidP="000F044F">
      <w:pPr>
        <w:ind w:left="-142"/>
        <w:rPr>
          <w:lang w:val="en-US"/>
        </w:rPr>
      </w:pPr>
      <w:r w:rsidRPr="00FE0461">
        <w:rPr>
          <w:noProof/>
          <w:lang w:val="en-US" w:eastAsia="zh-CN"/>
        </w:rPr>
        <w:drawing>
          <wp:inline distT="0" distB="0" distL="0" distR="0">
            <wp:extent cx="5166033" cy="7139940"/>
            <wp:effectExtent l="0" t="0" r="0" b="3810"/>
            <wp:docPr id="11" name="Рисунок 11" descr="C:\Users\user\Desktop\картинке к статье H1\S\1H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картинке к статье H1\S\1H-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4437" cy="7151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4AEF" w:rsidRDefault="00A74AEF" w:rsidP="00A74AEF">
      <w:pPr>
        <w:ind w:left="-142"/>
        <w:rPr>
          <w:lang w:val="en-US"/>
        </w:rPr>
      </w:pPr>
    </w:p>
    <w:p w:rsidR="00A74AEF" w:rsidRPr="002212DE" w:rsidRDefault="00A74AEF" w:rsidP="00A74AEF">
      <w:pPr>
        <w:ind w:left="-142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Fig. 6</w:t>
      </w:r>
    </w:p>
    <w:p w:rsidR="00A74AEF" w:rsidRPr="002212DE" w:rsidRDefault="00A74AEF" w:rsidP="00A74AEF">
      <w:pPr>
        <w:ind w:left="-142"/>
        <w:rPr>
          <w:rFonts w:ascii="Times New Roman" w:hAnsi="Times New Roman" w:cs="Times New Roman"/>
          <w:lang w:val="en-US"/>
        </w:rPr>
      </w:pPr>
      <w:r w:rsidRPr="002212DE">
        <w:rPr>
          <w:rFonts w:ascii="Times New Roman" w:hAnsi="Times New Roman" w:cs="Times New Roman"/>
          <w:lang w:val="en-US"/>
        </w:rPr>
        <w:t xml:space="preserve">Flow cytometry results by PI marker for cell cycle distributions detected in populations of untreated cells and cells treated for 1 hour with CBL0137, and with </w:t>
      </w:r>
      <w:proofErr w:type="spellStart"/>
      <w:r w:rsidRPr="002212DE">
        <w:rPr>
          <w:rFonts w:ascii="Times New Roman" w:hAnsi="Times New Roman" w:cs="Times New Roman"/>
          <w:lang w:val="en-US"/>
        </w:rPr>
        <w:t>berberin</w:t>
      </w:r>
      <w:proofErr w:type="spellEnd"/>
      <w:r w:rsidRPr="002212DE">
        <w:rPr>
          <w:rFonts w:ascii="Times New Roman" w:hAnsi="Times New Roman" w:cs="Times New Roman"/>
          <w:lang w:val="en-US"/>
        </w:rPr>
        <w:t xml:space="preserve">, curcumin, and </w:t>
      </w:r>
      <w:proofErr w:type="spellStart"/>
      <w:r w:rsidRPr="002212DE">
        <w:rPr>
          <w:rFonts w:ascii="Times New Roman" w:hAnsi="Times New Roman" w:cs="Times New Roman"/>
          <w:lang w:val="en-US"/>
        </w:rPr>
        <w:t>naringenin</w:t>
      </w:r>
      <w:proofErr w:type="spellEnd"/>
      <w:r w:rsidRPr="002212DE">
        <w:rPr>
          <w:rFonts w:ascii="Times New Roman" w:hAnsi="Times New Roman" w:cs="Times New Roman"/>
          <w:lang w:val="en-US"/>
        </w:rPr>
        <w:t xml:space="preserve"> at the IC20 concentrations</w:t>
      </w:r>
    </w:p>
    <w:p w:rsidR="00FE0461" w:rsidRDefault="00FE0461" w:rsidP="000F044F">
      <w:pPr>
        <w:ind w:left="-142"/>
        <w:rPr>
          <w:lang w:val="en-US"/>
        </w:rPr>
      </w:pPr>
    </w:p>
    <w:p w:rsidR="00E56866" w:rsidRDefault="00E56866" w:rsidP="000F044F">
      <w:pPr>
        <w:ind w:left="-142"/>
        <w:rPr>
          <w:lang w:val="en-US"/>
        </w:rPr>
      </w:pPr>
      <w:r w:rsidRPr="00E56866">
        <w:rPr>
          <w:noProof/>
          <w:lang w:val="en-US" w:eastAsia="zh-CN"/>
        </w:rPr>
        <w:drawing>
          <wp:inline distT="0" distB="0" distL="0" distR="0">
            <wp:extent cx="4267200" cy="6081889"/>
            <wp:effectExtent l="0" t="0" r="0" b="0"/>
            <wp:docPr id="8" name="Рисунок 8" descr="C:\Users\user\Desktop\картинке к статье H1\S\24H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картинке к статье H1\S\24H-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5006" cy="6107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866" w:rsidRDefault="00E56866" w:rsidP="000F044F">
      <w:pPr>
        <w:ind w:left="-142"/>
        <w:rPr>
          <w:lang w:val="en-US"/>
        </w:rPr>
      </w:pPr>
      <w:r w:rsidRPr="00E56866">
        <w:rPr>
          <w:noProof/>
          <w:lang w:val="en-US" w:eastAsia="zh-CN"/>
        </w:rPr>
        <w:lastRenderedPageBreak/>
        <w:drawing>
          <wp:inline distT="0" distB="0" distL="0" distR="0">
            <wp:extent cx="4130040" cy="1447699"/>
            <wp:effectExtent l="0" t="0" r="3810" b="635"/>
            <wp:docPr id="9" name="Рисунок 9" descr="C:\Users\user\Desktop\картинке к статье H1\S\24H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картинке к статье H1\S\24H-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2138" cy="1469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4AEF" w:rsidRPr="002212DE" w:rsidRDefault="00A74AEF" w:rsidP="00A74AEF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Fig. 7</w:t>
      </w:r>
    </w:p>
    <w:p w:rsidR="00A74AEF" w:rsidRDefault="00A74AEF" w:rsidP="00A74AEF">
      <w:pPr>
        <w:rPr>
          <w:rFonts w:ascii="Times New Roman" w:hAnsi="Times New Roman" w:cs="Times New Roman"/>
          <w:lang w:val="en-US"/>
        </w:rPr>
      </w:pPr>
      <w:r w:rsidRPr="002212DE">
        <w:rPr>
          <w:rFonts w:ascii="Times New Roman" w:hAnsi="Times New Roman" w:cs="Times New Roman"/>
          <w:lang w:val="en-US"/>
        </w:rPr>
        <w:t xml:space="preserve">Flow cytometry results by PI marker for cell cycle distributions detected in populations of untreated cells and cells treated for 24 hours with CBL0137, and with </w:t>
      </w:r>
      <w:proofErr w:type="spellStart"/>
      <w:r w:rsidRPr="002212DE">
        <w:rPr>
          <w:rFonts w:ascii="Times New Roman" w:hAnsi="Times New Roman" w:cs="Times New Roman"/>
          <w:lang w:val="en-US"/>
        </w:rPr>
        <w:t>berberin</w:t>
      </w:r>
      <w:proofErr w:type="spellEnd"/>
      <w:r w:rsidRPr="002212DE">
        <w:rPr>
          <w:rFonts w:ascii="Times New Roman" w:hAnsi="Times New Roman" w:cs="Times New Roman"/>
          <w:lang w:val="en-US"/>
        </w:rPr>
        <w:t xml:space="preserve">, curcumin, and </w:t>
      </w:r>
      <w:proofErr w:type="spellStart"/>
      <w:r w:rsidRPr="002212DE">
        <w:rPr>
          <w:rFonts w:ascii="Times New Roman" w:hAnsi="Times New Roman" w:cs="Times New Roman"/>
          <w:lang w:val="en-US"/>
        </w:rPr>
        <w:t>naringenin</w:t>
      </w:r>
      <w:proofErr w:type="spellEnd"/>
      <w:r w:rsidRPr="002212DE">
        <w:rPr>
          <w:rFonts w:ascii="Times New Roman" w:hAnsi="Times New Roman" w:cs="Times New Roman"/>
          <w:lang w:val="en-US"/>
        </w:rPr>
        <w:t xml:space="preserve"> at the IC20 concentrations and at the highest non-toxic concentrations</w:t>
      </w:r>
    </w:p>
    <w:p w:rsidR="00A74AEF" w:rsidRDefault="00A74AEF" w:rsidP="00A74AEF">
      <w:pPr>
        <w:rPr>
          <w:rFonts w:ascii="Times New Roman" w:hAnsi="Times New Roman" w:cs="Times New Roman"/>
          <w:lang w:val="en-US"/>
        </w:rPr>
      </w:pPr>
    </w:p>
    <w:p w:rsidR="00A74AEF" w:rsidRDefault="00A74AEF" w:rsidP="00A74AEF">
      <w:pPr>
        <w:rPr>
          <w:rFonts w:ascii="Times New Roman" w:hAnsi="Times New Roman" w:cs="Times New Roman"/>
          <w:lang w:val="en-US"/>
        </w:rPr>
      </w:pPr>
    </w:p>
    <w:p w:rsidR="00A74AEF" w:rsidRPr="00D521B0" w:rsidRDefault="00A74AEF" w:rsidP="00A74AEF">
      <w:pPr>
        <w:ind w:left="-142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</w:t>
      </w:r>
      <w:r w:rsidRPr="00D521B0">
        <w:rPr>
          <w:rFonts w:ascii="Times New Roman" w:hAnsi="Times New Roman" w:cs="Times New Roman"/>
          <w:lang w:val="en-US"/>
        </w:rPr>
        <w:t>Table 1. Fluorescence data of the PSMs.</w:t>
      </w:r>
    </w:p>
    <w:tbl>
      <w:tblPr>
        <w:tblStyle w:val="1"/>
        <w:tblW w:w="9782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0"/>
        <w:gridCol w:w="1179"/>
        <w:gridCol w:w="1148"/>
        <w:gridCol w:w="986"/>
        <w:gridCol w:w="1408"/>
        <w:gridCol w:w="1952"/>
        <w:gridCol w:w="1619"/>
      </w:tblGrid>
      <w:tr w:rsidR="00A74AEF" w:rsidRPr="00465070" w:rsidTr="00BB61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0" w:type="dxa"/>
            <w:vMerge w:val="restart"/>
            <w:tcBorders>
              <w:top w:val="single" w:sz="4" w:space="0" w:color="auto"/>
            </w:tcBorders>
          </w:tcPr>
          <w:p w:rsidR="00A74AEF" w:rsidRPr="00D521B0" w:rsidRDefault="00A74AEF" w:rsidP="00BB6198">
            <w:pPr>
              <w:ind w:left="-262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PSM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</w:tcBorders>
          </w:tcPr>
          <w:p w:rsidR="00A74AEF" w:rsidRPr="00D521B0" w:rsidRDefault="00A74AEF" w:rsidP="00BB61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Excitation, nm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</w:tcBorders>
          </w:tcPr>
          <w:p w:rsidR="00A74AEF" w:rsidRPr="00D521B0" w:rsidRDefault="00A74AEF" w:rsidP="00BB61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Emission, </w:t>
            </w:r>
            <w:bookmarkStart w:id="0" w:name="_GoBack"/>
            <w:bookmarkEnd w:id="0"/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nm</w:t>
            </w:r>
          </w:p>
        </w:tc>
        <w:tc>
          <w:tcPr>
            <w:tcW w:w="986" w:type="dxa"/>
            <w:vMerge w:val="restart"/>
            <w:tcBorders>
              <w:top w:val="single" w:sz="4" w:space="0" w:color="auto"/>
            </w:tcBorders>
          </w:tcPr>
          <w:p w:rsidR="00A74AEF" w:rsidRPr="00D521B0" w:rsidRDefault="00A74AEF" w:rsidP="00BB61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Laser voltage, v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</w:tcBorders>
          </w:tcPr>
          <w:p w:rsidR="00A74AEF" w:rsidRPr="00D521B0" w:rsidRDefault="00A74AEF" w:rsidP="00BB61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Fluorescence</w:t>
            </w:r>
          </w:p>
        </w:tc>
        <w:tc>
          <w:tcPr>
            <w:tcW w:w="3571" w:type="dxa"/>
            <w:gridSpan w:val="2"/>
            <w:tcBorders>
              <w:top w:val="single" w:sz="4" w:space="0" w:color="auto"/>
            </w:tcBorders>
          </w:tcPr>
          <w:p w:rsidR="00A74AEF" w:rsidRPr="00D521B0" w:rsidRDefault="00A74AEF" w:rsidP="00BB61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Effect on fluorescence in experiment</w:t>
            </w:r>
          </w:p>
        </w:tc>
      </w:tr>
      <w:tr w:rsidR="00A74AEF" w:rsidRPr="00D521B0" w:rsidTr="00BB6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0" w:type="dxa"/>
            <w:vMerge/>
            <w:tcBorders>
              <w:bottom w:val="single" w:sz="4" w:space="0" w:color="auto"/>
            </w:tcBorders>
          </w:tcPr>
          <w:p w:rsidR="00A74AEF" w:rsidRPr="00D521B0" w:rsidRDefault="00A74AEF" w:rsidP="00BB6198">
            <w:pPr>
              <w:ind w:left="-262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9" w:type="dxa"/>
            <w:vMerge/>
            <w:tcBorders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48" w:type="dxa"/>
            <w:vMerge/>
            <w:tcBorders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6" w:type="dxa"/>
            <w:vMerge/>
            <w:tcBorders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08" w:type="dxa"/>
            <w:vMerge/>
            <w:tcBorders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52" w:type="dxa"/>
            <w:tcBorders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D521B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mCherry</w:t>
            </w:r>
            <w:proofErr w:type="spellEnd"/>
          </w:p>
        </w:tc>
        <w:tc>
          <w:tcPr>
            <w:tcW w:w="1619" w:type="dxa"/>
            <w:tcBorders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AlexaFluor-647</w:t>
            </w:r>
          </w:p>
        </w:tc>
      </w:tr>
      <w:tr w:rsidR="00A74AEF" w:rsidRPr="00D521B0" w:rsidTr="00BB6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Sanguinarine</w:t>
            </w:r>
            <w:proofErr w:type="spellEnd"/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480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600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900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 level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concentration &gt; IC20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74AEF" w:rsidRPr="00D521B0" w:rsidTr="00BB6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Resveratrol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319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400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900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 level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74AEF" w:rsidRPr="00D521B0" w:rsidTr="00BB6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Fisetin</w:t>
            </w:r>
            <w:proofErr w:type="spellEnd"/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280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567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900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 level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concentration &gt; IC20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74AEF" w:rsidRPr="00D521B0" w:rsidTr="00BB6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Berberin</w:t>
            </w:r>
            <w:proofErr w:type="spellEnd"/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458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550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900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 level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concentration &gt; IC50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</w:tr>
      <w:tr w:rsidR="00A74AEF" w:rsidRPr="00D521B0" w:rsidTr="00BB6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Delphinidin</w:t>
            </w:r>
            <w:proofErr w:type="spellEnd"/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310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381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900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 level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74AEF" w:rsidRPr="00D521B0" w:rsidTr="00BB6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EGCG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328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391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900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 level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74AEF" w:rsidRPr="00D521B0" w:rsidTr="00BB6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Quercetin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74AEF" w:rsidRPr="00D521B0" w:rsidTr="00BB6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Kaempferol</w:t>
            </w:r>
            <w:proofErr w:type="spellEnd"/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74AEF" w:rsidRPr="00D521B0" w:rsidTr="00BB6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Thymoquinon</w:t>
            </w:r>
            <w:proofErr w:type="spellEnd"/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74AEF" w:rsidRPr="00D521B0" w:rsidTr="00BB6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Curcumin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</w:tr>
      <w:tr w:rsidR="00A74AEF" w:rsidRPr="00D521B0" w:rsidTr="00BB6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Apigenin</w:t>
            </w:r>
            <w:proofErr w:type="spellEnd"/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74AEF" w:rsidRPr="00D521B0" w:rsidTr="00BB6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Coumarin</w:t>
            </w:r>
            <w:proofErr w:type="spellEnd"/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74AEF" w:rsidRPr="00D521B0" w:rsidTr="00BB6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Genistein</w:t>
            </w:r>
            <w:proofErr w:type="spellEnd"/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74AEF" w:rsidRPr="00D521B0" w:rsidTr="00BB6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Naringenin</w:t>
            </w:r>
            <w:proofErr w:type="spellEnd"/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</w:tr>
      <w:tr w:rsidR="00A74AEF" w:rsidRPr="00D521B0" w:rsidTr="00BB6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Ginsenoside</w:t>
            </w:r>
            <w:proofErr w:type="spellEnd"/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Rb1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21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</w:tcPr>
          <w:p w:rsidR="00A74AEF" w:rsidRPr="00D521B0" w:rsidRDefault="00A74AEF" w:rsidP="00BB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A74AEF" w:rsidRDefault="00A74AEF" w:rsidP="00A74AEF">
      <w:pPr>
        <w:ind w:left="-142"/>
        <w:rPr>
          <w:lang w:val="en-US"/>
        </w:rPr>
      </w:pPr>
    </w:p>
    <w:p w:rsidR="00A74AEF" w:rsidRPr="002212DE" w:rsidRDefault="00A74AEF" w:rsidP="00A74AEF">
      <w:pPr>
        <w:rPr>
          <w:rFonts w:ascii="Times New Roman" w:hAnsi="Times New Roman" w:cs="Times New Roman"/>
          <w:lang w:val="en-US"/>
        </w:rPr>
      </w:pPr>
    </w:p>
    <w:p w:rsidR="00FE0461" w:rsidRPr="00FE0461" w:rsidRDefault="00FE0461" w:rsidP="00FE0461">
      <w:pPr>
        <w:rPr>
          <w:lang w:val="en-US"/>
        </w:rPr>
      </w:pPr>
    </w:p>
    <w:sectPr w:rsidR="00FE0461" w:rsidRPr="00FE0461" w:rsidSect="00A74AE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4AEF" w:rsidRDefault="00A74AEF" w:rsidP="00A74AEF">
      <w:pPr>
        <w:spacing w:after="0" w:line="240" w:lineRule="auto"/>
      </w:pPr>
      <w:r>
        <w:separator/>
      </w:r>
    </w:p>
  </w:endnote>
  <w:endnote w:type="continuationSeparator" w:id="0">
    <w:p w:rsidR="00A74AEF" w:rsidRDefault="00A74AEF" w:rsidP="00A74A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4AEF" w:rsidRDefault="00A74AEF" w:rsidP="00A74AEF">
      <w:pPr>
        <w:spacing w:after="0" w:line="240" w:lineRule="auto"/>
      </w:pPr>
      <w:r>
        <w:separator/>
      </w:r>
    </w:p>
  </w:footnote>
  <w:footnote w:type="continuationSeparator" w:id="0">
    <w:p w:rsidR="00A74AEF" w:rsidRDefault="00A74AEF" w:rsidP="00A74A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72"/>
    <w:rsid w:val="000F044F"/>
    <w:rsid w:val="0010411C"/>
    <w:rsid w:val="00116F37"/>
    <w:rsid w:val="001A052F"/>
    <w:rsid w:val="001B460B"/>
    <w:rsid w:val="001B5A1A"/>
    <w:rsid w:val="001D6C62"/>
    <w:rsid w:val="001F07D4"/>
    <w:rsid w:val="002212DE"/>
    <w:rsid w:val="00233635"/>
    <w:rsid w:val="00465070"/>
    <w:rsid w:val="00504B0D"/>
    <w:rsid w:val="00505237"/>
    <w:rsid w:val="00611080"/>
    <w:rsid w:val="006618DE"/>
    <w:rsid w:val="0073121E"/>
    <w:rsid w:val="00776FB8"/>
    <w:rsid w:val="008C6EA6"/>
    <w:rsid w:val="008F4074"/>
    <w:rsid w:val="00A74AEF"/>
    <w:rsid w:val="00B21D68"/>
    <w:rsid w:val="00BA5B72"/>
    <w:rsid w:val="00BD3DBD"/>
    <w:rsid w:val="00C52759"/>
    <w:rsid w:val="00D521B0"/>
    <w:rsid w:val="00D95167"/>
    <w:rsid w:val="00E460B6"/>
    <w:rsid w:val="00E56866"/>
    <w:rsid w:val="00EA740D"/>
    <w:rsid w:val="00EC3437"/>
    <w:rsid w:val="00FE0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5D8E8"/>
  <w15:chartTrackingRefBased/>
  <w15:docId w15:val="{DBBFC355-4FBC-4C83-B665-68DE4CE4A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52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50523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header"/>
    <w:basedOn w:val="a"/>
    <w:link w:val="a5"/>
    <w:uiPriority w:val="99"/>
    <w:unhideWhenUsed/>
    <w:rsid w:val="00A74A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74AE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74AE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74A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DAA921-6CD1-441E-A911-111425AE7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Lily- FBL Office</cp:lastModifiedBy>
  <cp:revision>5</cp:revision>
  <dcterms:created xsi:type="dcterms:W3CDTF">2024-06-08T07:29:00Z</dcterms:created>
  <dcterms:modified xsi:type="dcterms:W3CDTF">2024-07-18T02:13:00Z</dcterms:modified>
</cp:coreProperties>
</file>