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BD5865" w14:textId="77777777" w:rsidR="00A801D6" w:rsidRPr="00DB11C0" w:rsidRDefault="00EA761A" w:rsidP="004F3BE5">
      <w:pPr>
        <w:spacing w:before="240" w:after="240" w:line="288" w:lineRule="auto"/>
        <w:ind w:firstLineChars="0" w:firstLine="170"/>
        <w:jc w:val="left"/>
        <w:rPr>
          <w:b/>
          <w:sz w:val="18"/>
        </w:rPr>
      </w:pPr>
      <w:r>
        <w:rPr>
          <w:b/>
          <w:sz w:val="18"/>
        </w:rPr>
        <w:t>Supplementary Table 1.</w:t>
      </w:r>
      <w:r w:rsidR="00A801D6" w:rsidRPr="00DB11C0">
        <w:rPr>
          <w:b/>
          <w:sz w:val="18"/>
        </w:rPr>
        <w:t xml:space="preserve"> The properties of used qPCR primers.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15"/>
        <w:gridCol w:w="1521"/>
        <w:gridCol w:w="1518"/>
        <w:gridCol w:w="3346"/>
        <w:gridCol w:w="761"/>
        <w:gridCol w:w="914"/>
        <w:gridCol w:w="914"/>
        <w:gridCol w:w="567"/>
      </w:tblGrid>
      <w:tr w:rsidR="004F74E3" w:rsidRPr="004F74E3" w14:paraId="7CD9474C" w14:textId="77777777" w:rsidTr="0059747E">
        <w:tc>
          <w:tcPr>
            <w:tcW w:w="437" w:type="pct"/>
            <w:noWrap/>
            <w:tcMar>
              <w:left w:w="0" w:type="dxa"/>
              <w:right w:w="0" w:type="dxa"/>
            </w:tcMar>
            <w:vAlign w:val="center"/>
          </w:tcPr>
          <w:p w14:paraId="58F52502" w14:textId="77777777" w:rsidR="004F74E3" w:rsidRPr="004F74E3" w:rsidRDefault="004F74E3" w:rsidP="004F3BE5">
            <w:pPr>
              <w:spacing w:before="240" w:after="240" w:line="288" w:lineRule="auto"/>
              <w:ind w:firstLineChars="0" w:firstLine="0"/>
              <w:jc w:val="left"/>
              <w:rPr>
                <w:b/>
                <w:bCs/>
                <w:sz w:val="18"/>
                <w:szCs w:val="18"/>
                <w:lang w:val="ru-RU"/>
              </w:rPr>
            </w:pPr>
            <w:r w:rsidRPr="004F74E3">
              <w:rPr>
                <w:b/>
                <w:bCs/>
                <w:sz w:val="18"/>
                <w:szCs w:val="18"/>
              </w:rPr>
              <w:t>Gene</w:t>
            </w:r>
          </w:p>
          <w:p w14:paraId="4F99A38E"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Symbol</w:t>
            </w:r>
          </w:p>
        </w:tc>
        <w:tc>
          <w:tcPr>
            <w:tcW w:w="727" w:type="pct"/>
            <w:tcMar>
              <w:left w:w="0" w:type="dxa"/>
              <w:right w:w="0" w:type="dxa"/>
            </w:tcMar>
            <w:vAlign w:val="center"/>
          </w:tcPr>
          <w:p w14:paraId="542452A8" w14:textId="77777777" w:rsidR="004F74E3" w:rsidRPr="004F74E3" w:rsidRDefault="004F74E3" w:rsidP="004F3BE5">
            <w:pPr>
              <w:spacing w:before="240" w:after="240" w:line="288" w:lineRule="auto"/>
              <w:ind w:firstLineChars="0" w:firstLine="0"/>
              <w:jc w:val="left"/>
              <w:rPr>
                <w:b/>
                <w:bCs/>
                <w:sz w:val="18"/>
                <w:szCs w:val="18"/>
                <w:lang w:val="ru-RU"/>
              </w:rPr>
            </w:pPr>
            <w:proofErr w:type="spellStart"/>
            <w:r w:rsidRPr="004F74E3">
              <w:rPr>
                <w:b/>
                <w:bCs/>
                <w:sz w:val="18"/>
                <w:szCs w:val="18"/>
              </w:rPr>
              <w:t>RefSeq</w:t>
            </w:r>
            <w:proofErr w:type="spellEnd"/>
          </w:p>
          <w:p w14:paraId="1083C93B" w14:textId="77777777" w:rsidR="004F74E3" w:rsidRPr="004F74E3" w:rsidRDefault="004F74E3" w:rsidP="004F3BE5">
            <w:pPr>
              <w:spacing w:before="240" w:after="240" w:line="288" w:lineRule="auto"/>
              <w:ind w:firstLineChars="0" w:firstLine="0"/>
              <w:jc w:val="left"/>
              <w:rPr>
                <w:b/>
                <w:bCs/>
                <w:sz w:val="18"/>
                <w:szCs w:val="18"/>
                <w:lang w:val="ru-RU"/>
              </w:rPr>
            </w:pPr>
            <w:r w:rsidRPr="004F74E3">
              <w:rPr>
                <w:b/>
                <w:bCs/>
                <w:sz w:val="18"/>
                <w:szCs w:val="18"/>
              </w:rPr>
              <w:t>Accession</w:t>
            </w:r>
          </w:p>
          <w:p w14:paraId="2ACB99E0"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number</w:t>
            </w:r>
          </w:p>
        </w:tc>
        <w:tc>
          <w:tcPr>
            <w:tcW w:w="726" w:type="pct"/>
            <w:tcMar>
              <w:left w:w="0" w:type="dxa"/>
              <w:right w:w="0" w:type="dxa"/>
            </w:tcMar>
            <w:vAlign w:val="center"/>
          </w:tcPr>
          <w:p w14:paraId="5FDAFE1D" w14:textId="77777777" w:rsidR="004F74E3" w:rsidRPr="004F74E3" w:rsidRDefault="004F74E3" w:rsidP="004F3BE5">
            <w:pPr>
              <w:spacing w:before="240" w:after="240" w:line="288" w:lineRule="auto"/>
              <w:ind w:firstLineChars="0" w:firstLine="0"/>
              <w:jc w:val="left"/>
              <w:rPr>
                <w:b/>
                <w:bCs/>
                <w:sz w:val="18"/>
                <w:szCs w:val="18"/>
                <w:lang w:val="ru-RU"/>
              </w:rPr>
            </w:pPr>
            <w:r w:rsidRPr="004F74E3">
              <w:rPr>
                <w:b/>
                <w:bCs/>
                <w:sz w:val="18"/>
                <w:szCs w:val="18"/>
              </w:rPr>
              <w:t>Encoded</w:t>
            </w:r>
          </w:p>
          <w:p w14:paraId="6F539345"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protein/RNA</w:t>
            </w:r>
          </w:p>
        </w:tc>
        <w:tc>
          <w:tcPr>
            <w:tcW w:w="1600" w:type="pct"/>
            <w:tcMar>
              <w:left w:w="0" w:type="dxa"/>
              <w:right w:w="0" w:type="dxa"/>
            </w:tcMar>
            <w:vAlign w:val="center"/>
          </w:tcPr>
          <w:p w14:paraId="7445BE1E"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Forward primer</w:t>
            </w:r>
          </w:p>
          <w:p w14:paraId="329B6F13"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Reverse primer</w:t>
            </w:r>
          </w:p>
          <w:p w14:paraId="1000EE38"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5’-3’</w:t>
            </w:r>
          </w:p>
        </w:tc>
        <w:tc>
          <w:tcPr>
            <w:tcW w:w="364" w:type="pct"/>
            <w:tcMar>
              <w:left w:w="0" w:type="dxa"/>
              <w:right w:w="0" w:type="dxa"/>
            </w:tcMar>
            <w:vAlign w:val="center"/>
          </w:tcPr>
          <w:p w14:paraId="0EBF844F"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Exon location</w:t>
            </w:r>
          </w:p>
        </w:tc>
        <w:tc>
          <w:tcPr>
            <w:tcW w:w="437" w:type="pct"/>
            <w:tcMar>
              <w:left w:w="0" w:type="dxa"/>
              <w:right w:w="0" w:type="dxa"/>
            </w:tcMar>
            <w:vAlign w:val="center"/>
          </w:tcPr>
          <w:p w14:paraId="64437362"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Amplicon length</w:t>
            </w:r>
          </w:p>
        </w:tc>
        <w:tc>
          <w:tcPr>
            <w:tcW w:w="437" w:type="pct"/>
            <w:tcMar>
              <w:left w:w="0" w:type="dxa"/>
              <w:right w:w="0" w:type="dxa"/>
            </w:tcMar>
            <w:vAlign w:val="center"/>
          </w:tcPr>
          <w:p w14:paraId="0AAE68A5"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Efficiency;</w:t>
            </w:r>
          </w:p>
          <w:p w14:paraId="5FF146F3"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R</w:t>
            </w:r>
            <w:r w:rsidRPr="004F74E3">
              <w:rPr>
                <w:b/>
                <w:bCs/>
                <w:sz w:val="18"/>
                <w:szCs w:val="18"/>
                <w:vertAlign w:val="superscript"/>
              </w:rPr>
              <w:t>2</w:t>
            </w:r>
          </w:p>
        </w:tc>
        <w:tc>
          <w:tcPr>
            <w:tcW w:w="271" w:type="pct"/>
            <w:tcMar>
              <w:left w:w="0" w:type="dxa"/>
              <w:right w:w="0" w:type="dxa"/>
            </w:tcMar>
            <w:vAlign w:val="center"/>
          </w:tcPr>
          <w:p w14:paraId="463BBD48" w14:textId="77777777" w:rsidR="004F74E3" w:rsidRPr="004F74E3" w:rsidRDefault="004F74E3" w:rsidP="004F3BE5">
            <w:pPr>
              <w:spacing w:before="240" w:after="240" w:line="288" w:lineRule="auto"/>
              <w:ind w:firstLineChars="0" w:firstLine="0"/>
              <w:jc w:val="left"/>
              <w:rPr>
                <w:b/>
                <w:bCs/>
                <w:sz w:val="18"/>
                <w:szCs w:val="18"/>
              </w:rPr>
            </w:pPr>
            <w:r w:rsidRPr="004F74E3">
              <w:rPr>
                <w:b/>
                <w:bCs/>
                <w:sz w:val="18"/>
                <w:szCs w:val="18"/>
              </w:rPr>
              <w:t>Ref.</w:t>
            </w:r>
          </w:p>
        </w:tc>
      </w:tr>
      <w:tr w:rsidR="004F74E3" w:rsidRPr="004F74E3" w14:paraId="0FA9ED76" w14:textId="77777777" w:rsidTr="0059747E">
        <w:tc>
          <w:tcPr>
            <w:tcW w:w="437" w:type="pct"/>
            <w:tcMar>
              <w:left w:w="0" w:type="dxa"/>
              <w:right w:w="0" w:type="dxa"/>
            </w:tcMar>
            <w:vAlign w:val="center"/>
          </w:tcPr>
          <w:p w14:paraId="36912E23" w14:textId="77777777" w:rsidR="004F74E3" w:rsidRPr="004F74E3" w:rsidRDefault="004F74E3" w:rsidP="004F3BE5">
            <w:pPr>
              <w:spacing w:before="240" w:after="240" w:line="288" w:lineRule="auto"/>
              <w:ind w:firstLineChars="0" w:firstLine="0"/>
              <w:jc w:val="left"/>
              <w:rPr>
                <w:b/>
                <w:bCs/>
                <w:sz w:val="18"/>
                <w:szCs w:val="18"/>
              </w:rPr>
            </w:pPr>
            <w:r w:rsidRPr="004F74E3">
              <w:rPr>
                <w:b/>
                <w:i/>
                <w:sz w:val="18"/>
                <w:szCs w:val="18"/>
              </w:rPr>
              <w:t>B2M</w:t>
            </w:r>
          </w:p>
        </w:tc>
        <w:tc>
          <w:tcPr>
            <w:tcW w:w="727" w:type="pct"/>
            <w:tcMar>
              <w:left w:w="0" w:type="dxa"/>
              <w:right w:w="0" w:type="dxa"/>
            </w:tcMar>
            <w:vAlign w:val="center"/>
          </w:tcPr>
          <w:p w14:paraId="7AA3D48B"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NM_004048.4</w:t>
            </w:r>
          </w:p>
        </w:tc>
        <w:tc>
          <w:tcPr>
            <w:tcW w:w="726" w:type="pct"/>
            <w:tcMar>
              <w:left w:w="0" w:type="dxa"/>
              <w:right w:w="0" w:type="dxa"/>
            </w:tcMar>
            <w:vAlign w:val="center"/>
          </w:tcPr>
          <w:p w14:paraId="7A1DE4E9"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β2-</w:t>
            </w:r>
          </w:p>
          <w:p w14:paraId="67E3A7C4" w14:textId="77777777" w:rsidR="004F74E3" w:rsidRPr="004F74E3" w:rsidRDefault="004F74E3" w:rsidP="004F3BE5">
            <w:pPr>
              <w:spacing w:before="240" w:after="240" w:line="288" w:lineRule="auto"/>
              <w:ind w:firstLineChars="0" w:firstLine="0"/>
              <w:jc w:val="left"/>
              <w:rPr>
                <w:sz w:val="18"/>
                <w:szCs w:val="18"/>
              </w:rPr>
            </w:pPr>
            <w:proofErr w:type="spellStart"/>
            <w:r w:rsidRPr="004F74E3">
              <w:rPr>
                <w:sz w:val="18"/>
                <w:szCs w:val="18"/>
              </w:rPr>
              <w:t>microglobulin</w:t>
            </w:r>
            <w:proofErr w:type="spellEnd"/>
          </w:p>
        </w:tc>
        <w:tc>
          <w:tcPr>
            <w:tcW w:w="1600" w:type="pct"/>
            <w:tcMar>
              <w:left w:w="0" w:type="dxa"/>
              <w:right w:w="0" w:type="dxa"/>
            </w:tcMar>
            <w:vAlign w:val="center"/>
          </w:tcPr>
          <w:p w14:paraId="23A8046A"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CCACTGAAAAAGATGAGTATGCCT</w:t>
            </w:r>
          </w:p>
          <w:p w14:paraId="7FBE13C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CCAATCCAAATGCGGCATCTTCA</w:t>
            </w:r>
          </w:p>
        </w:tc>
        <w:tc>
          <w:tcPr>
            <w:tcW w:w="364" w:type="pct"/>
            <w:tcMar>
              <w:left w:w="0" w:type="dxa"/>
              <w:right w:w="0" w:type="dxa"/>
            </w:tcMar>
            <w:vAlign w:val="center"/>
          </w:tcPr>
          <w:p w14:paraId="3A0A6947"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E2</w:t>
            </w:r>
            <w:r w:rsidRPr="004F74E3">
              <w:rPr>
                <w:sz w:val="18"/>
                <w:szCs w:val="18"/>
              </w:rPr>
              <w:br/>
              <w:t>E4</w:t>
            </w:r>
          </w:p>
        </w:tc>
        <w:tc>
          <w:tcPr>
            <w:tcW w:w="437" w:type="pct"/>
            <w:tcMar>
              <w:left w:w="0" w:type="dxa"/>
              <w:right w:w="0" w:type="dxa"/>
            </w:tcMar>
            <w:vAlign w:val="center"/>
          </w:tcPr>
          <w:p w14:paraId="3C759F7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126</w:t>
            </w:r>
          </w:p>
        </w:tc>
        <w:tc>
          <w:tcPr>
            <w:tcW w:w="437" w:type="pct"/>
            <w:tcMar>
              <w:left w:w="0" w:type="dxa"/>
              <w:right w:w="0" w:type="dxa"/>
            </w:tcMar>
            <w:vAlign w:val="center"/>
          </w:tcPr>
          <w:p w14:paraId="077437F5"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94.9;</w:t>
            </w:r>
          </w:p>
          <w:p w14:paraId="109378AA"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0.993</w:t>
            </w:r>
          </w:p>
        </w:tc>
        <w:tc>
          <w:tcPr>
            <w:tcW w:w="271" w:type="pct"/>
            <w:tcMar>
              <w:left w:w="0" w:type="dxa"/>
              <w:right w:w="0" w:type="dxa"/>
            </w:tcMar>
            <w:vAlign w:val="center"/>
          </w:tcPr>
          <w:p w14:paraId="0488D04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w:t>
            </w:r>
          </w:p>
        </w:tc>
      </w:tr>
      <w:tr w:rsidR="004F74E3" w:rsidRPr="004F74E3" w14:paraId="73536A6F" w14:textId="77777777" w:rsidTr="0059747E">
        <w:trPr>
          <w:trHeight w:val="550"/>
        </w:trPr>
        <w:tc>
          <w:tcPr>
            <w:tcW w:w="437" w:type="pct"/>
            <w:tcMar>
              <w:left w:w="0" w:type="dxa"/>
              <w:right w:w="0" w:type="dxa"/>
            </w:tcMar>
            <w:vAlign w:val="center"/>
          </w:tcPr>
          <w:p w14:paraId="050782EA"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t>EIF2B1</w:t>
            </w:r>
          </w:p>
        </w:tc>
        <w:tc>
          <w:tcPr>
            <w:tcW w:w="727" w:type="pct"/>
            <w:tcMar>
              <w:left w:w="0" w:type="dxa"/>
              <w:right w:w="0" w:type="dxa"/>
            </w:tcMar>
            <w:vAlign w:val="center"/>
          </w:tcPr>
          <w:p w14:paraId="0C360395"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NM_001414.4</w:t>
            </w:r>
          </w:p>
        </w:tc>
        <w:tc>
          <w:tcPr>
            <w:tcW w:w="726" w:type="pct"/>
            <w:tcMar>
              <w:left w:w="0" w:type="dxa"/>
              <w:right w:w="0" w:type="dxa"/>
            </w:tcMar>
            <w:vAlign w:val="center"/>
          </w:tcPr>
          <w:p w14:paraId="0F3423EE"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translation</w:t>
            </w:r>
          </w:p>
          <w:p w14:paraId="5E5308C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initiation factor 2B subunit alpha (EIF2B1)</w:t>
            </w:r>
          </w:p>
        </w:tc>
        <w:tc>
          <w:tcPr>
            <w:tcW w:w="1600" w:type="pct"/>
            <w:tcMar>
              <w:left w:w="0" w:type="dxa"/>
              <w:right w:w="0" w:type="dxa"/>
            </w:tcMar>
            <w:vAlign w:val="center"/>
          </w:tcPr>
          <w:p w14:paraId="328561D0"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GCCATGGACGACAAGGAGTT</w:t>
            </w:r>
          </w:p>
          <w:p w14:paraId="42062B06"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ACCCTGGATTGTCTCCCCTT</w:t>
            </w:r>
          </w:p>
        </w:tc>
        <w:tc>
          <w:tcPr>
            <w:tcW w:w="364" w:type="pct"/>
            <w:tcMar>
              <w:left w:w="0" w:type="dxa"/>
              <w:right w:w="0" w:type="dxa"/>
            </w:tcMar>
            <w:vAlign w:val="center"/>
          </w:tcPr>
          <w:p w14:paraId="01AD6372"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E1/E2</w:t>
            </w:r>
            <w:r w:rsidRPr="004F74E3">
              <w:rPr>
                <w:sz w:val="18"/>
                <w:szCs w:val="18"/>
              </w:rPr>
              <w:br/>
              <w:t>E2/E3</w:t>
            </w:r>
          </w:p>
        </w:tc>
        <w:tc>
          <w:tcPr>
            <w:tcW w:w="437" w:type="pct"/>
            <w:tcMar>
              <w:left w:w="0" w:type="dxa"/>
              <w:right w:w="0" w:type="dxa"/>
            </w:tcMar>
            <w:vAlign w:val="center"/>
          </w:tcPr>
          <w:p w14:paraId="73CCACDB"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135</w:t>
            </w:r>
          </w:p>
        </w:tc>
        <w:tc>
          <w:tcPr>
            <w:tcW w:w="437" w:type="pct"/>
            <w:tcMar>
              <w:left w:w="0" w:type="dxa"/>
              <w:right w:w="0" w:type="dxa"/>
            </w:tcMar>
            <w:vAlign w:val="center"/>
          </w:tcPr>
          <w:p w14:paraId="0E10405B"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109.5;</w:t>
            </w:r>
          </w:p>
          <w:p w14:paraId="208191BE"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0.995</w:t>
            </w:r>
          </w:p>
        </w:tc>
        <w:tc>
          <w:tcPr>
            <w:tcW w:w="271" w:type="pct"/>
            <w:tcMar>
              <w:left w:w="0" w:type="dxa"/>
              <w:right w:w="0" w:type="dxa"/>
            </w:tcMar>
            <w:vAlign w:val="center"/>
          </w:tcPr>
          <w:p w14:paraId="25C0DFB8"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This article</w:t>
            </w:r>
          </w:p>
        </w:tc>
      </w:tr>
      <w:tr w:rsidR="004F74E3" w:rsidRPr="004F74E3" w14:paraId="2802AEB8" w14:textId="77777777" w:rsidTr="0059747E">
        <w:trPr>
          <w:trHeight w:val="550"/>
        </w:trPr>
        <w:tc>
          <w:tcPr>
            <w:tcW w:w="437" w:type="pct"/>
            <w:tcMar>
              <w:left w:w="0" w:type="dxa"/>
              <w:right w:w="0" w:type="dxa"/>
            </w:tcMar>
            <w:vAlign w:val="center"/>
          </w:tcPr>
          <w:p w14:paraId="6227274C"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t>GAPDH</w:t>
            </w:r>
          </w:p>
        </w:tc>
        <w:tc>
          <w:tcPr>
            <w:tcW w:w="727" w:type="pct"/>
            <w:tcMar>
              <w:left w:w="0" w:type="dxa"/>
              <w:right w:w="0" w:type="dxa"/>
            </w:tcMar>
            <w:vAlign w:val="center"/>
          </w:tcPr>
          <w:p w14:paraId="131B7BEF"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NM_002046.7</w:t>
            </w:r>
          </w:p>
          <w:p w14:paraId="206E33D4"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NM_001289746.2</w:t>
            </w:r>
          </w:p>
          <w:p w14:paraId="3EC701B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NM_001289745.3</w:t>
            </w:r>
          </w:p>
          <w:p w14:paraId="739A9290"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NM_001357943.2</w:t>
            </w:r>
          </w:p>
          <w:p w14:paraId="0BF59587"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NR_152150.2</w:t>
            </w:r>
          </w:p>
        </w:tc>
        <w:tc>
          <w:tcPr>
            <w:tcW w:w="726" w:type="pct"/>
            <w:tcMar>
              <w:left w:w="0" w:type="dxa"/>
              <w:right w:w="0" w:type="dxa"/>
            </w:tcMar>
            <w:vAlign w:val="center"/>
          </w:tcPr>
          <w:p w14:paraId="67760F38"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Glyceraldehyde-</w:t>
            </w:r>
          </w:p>
          <w:p w14:paraId="3732B382"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3-phosphate dehydrogenase</w:t>
            </w:r>
          </w:p>
        </w:tc>
        <w:tc>
          <w:tcPr>
            <w:tcW w:w="1600" w:type="pct"/>
            <w:tcMar>
              <w:left w:w="0" w:type="dxa"/>
              <w:right w:w="0" w:type="dxa"/>
            </w:tcMar>
            <w:vAlign w:val="center"/>
          </w:tcPr>
          <w:p w14:paraId="2F1D45B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GAGGTCAATGAAGGGGTCAT</w:t>
            </w:r>
          </w:p>
          <w:p w14:paraId="11093064"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AGTCAACGGATTTGGTCGTA</w:t>
            </w:r>
          </w:p>
        </w:tc>
        <w:tc>
          <w:tcPr>
            <w:tcW w:w="364" w:type="pct"/>
            <w:tcMar>
              <w:left w:w="0" w:type="dxa"/>
              <w:right w:w="0" w:type="dxa"/>
            </w:tcMar>
            <w:vAlign w:val="center"/>
          </w:tcPr>
          <w:p w14:paraId="28921FCE"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E1/E2</w:t>
            </w:r>
            <w:r w:rsidRPr="004F74E3">
              <w:rPr>
                <w:sz w:val="18"/>
                <w:szCs w:val="18"/>
              </w:rPr>
              <w:br/>
              <w:t>E2</w:t>
            </w:r>
          </w:p>
        </w:tc>
        <w:tc>
          <w:tcPr>
            <w:tcW w:w="437" w:type="pct"/>
            <w:tcMar>
              <w:left w:w="0" w:type="dxa"/>
              <w:right w:w="0" w:type="dxa"/>
            </w:tcMar>
            <w:vAlign w:val="center"/>
          </w:tcPr>
          <w:p w14:paraId="08DAF383"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100</w:t>
            </w:r>
          </w:p>
        </w:tc>
        <w:tc>
          <w:tcPr>
            <w:tcW w:w="437" w:type="pct"/>
            <w:tcMar>
              <w:left w:w="0" w:type="dxa"/>
              <w:right w:w="0" w:type="dxa"/>
            </w:tcMar>
            <w:vAlign w:val="center"/>
          </w:tcPr>
          <w:p w14:paraId="52BC9B9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101.8;</w:t>
            </w:r>
          </w:p>
          <w:p w14:paraId="28AACAA0"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0.997</w:t>
            </w:r>
          </w:p>
        </w:tc>
        <w:tc>
          <w:tcPr>
            <w:tcW w:w="271" w:type="pct"/>
            <w:tcMar>
              <w:left w:w="0" w:type="dxa"/>
              <w:right w:w="0" w:type="dxa"/>
            </w:tcMar>
            <w:vAlign w:val="center"/>
          </w:tcPr>
          <w:p w14:paraId="3B2C27E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w:t>
            </w:r>
            <w:r w:rsidR="00395A73">
              <w:rPr>
                <w:sz w:val="18"/>
                <w:szCs w:val="18"/>
              </w:rPr>
              <w:t>2</w:t>
            </w:r>
            <w:r w:rsidRPr="004F74E3">
              <w:rPr>
                <w:sz w:val="18"/>
                <w:szCs w:val="18"/>
              </w:rPr>
              <w:t>]</w:t>
            </w:r>
          </w:p>
        </w:tc>
      </w:tr>
      <w:tr w:rsidR="004F74E3" w:rsidRPr="004F74E3" w14:paraId="06CA1D07" w14:textId="77777777" w:rsidTr="0059747E">
        <w:trPr>
          <w:trHeight w:val="550"/>
        </w:trPr>
        <w:tc>
          <w:tcPr>
            <w:tcW w:w="437" w:type="pct"/>
            <w:tcMar>
              <w:left w:w="0" w:type="dxa"/>
              <w:right w:w="0" w:type="dxa"/>
            </w:tcMar>
            <w:vAlign w:val="center"/>
          </w:tcPr>
          <w:p w14:paraId="09F5835E"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t>HPRT1</w:t>
            </w:r>
          </w:p>
        </w:tc>
        <w:tc>
          <w:tcPr>
            <w:tcW w:w="727" w:type="pct"/>
            <w:tcMar>
              <w:left w:w="0" w:type="dxa"/>
              <w:right w:w="0" w:type="dxa"/>
            </w:tcMar>
            <w:vAlign w:val="center"/>
          </w:tcPr>
          <w:p w14:paraId="2ABD5B4E"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NM_000194.3</w:t>
            </w:r>
          </w:p>
        </w:tc>
        <w:tc>
          <w:tcPr>
            <w:tcW w:w="726" w:type="pct"/>
            <w:tcMar>
              <w:left w:w="0" w:type="dxa"/>
              <w:right w:w="0" w:type="dxa"/>
            </w:tcMar>
            <w:vAlign w:val="center"/>
          </w:tcPr>
          <w:p w14:paraId="3D6494FB"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Hypoxanthine phosphoribosyl-transferase 1</w:t>
            </w:r>
          </w:p>
        </w:tc>
        <w:tc>
          <w:tcPr>
            <w:tcW w:w="1600" w:type="pct"/>
            <w:tcMar>
              <w:left w:w="0" w:type="dxa"/>
              <w:right w:w="0" w:type="dxa"/>
            </w:tcMar>
            <w:vAlign w:val="center"/>
          </w:tcPr>
          <w:p w14:paraId="56B42C43"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GACCAGTCAACAGGGGACAT</w:t>
            </w:r>
          </w:p>
          <w:p w14:paraId="5912E054"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CCTGACCAAGGAAAGCAAAG</w:t>
            </w:r>
          </w:p>
        </w:tc>
        <w:tc>
          <w:tcPr>
            <w:tcW w:w="364" w:type="pct"/>
            <w:tcMar>
              <w:left w:w="0" w:type="dxa"/>
              <w:right w:w="0" w:type="dxa"/>
            </w:tcMar>
            <w:vAlign w:val="center"/>
          </w:tcPr>
          <w:p w14:paraId="4434D620"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E4</w:t>
            </w:r>
          </w:p>
          <w:p w14:paraId="3A075AC6"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E6</w:t>
            </w:r>
          </w:p>
        </w:tc>
        <w:tc>
          <w:tcPr>
            <w:tcW w:w="437" w:type="pct"/>
            <w:tcMar>
              <w:left w:w="0" w:type="dxa"/>
              <w:right w:w="0" w:type="dxa"/>
            </w:tcMar>
            <w:vAlign w:val="center"/>
          </w:tcPr>
          <w:p w14:paraId="47322CE7"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132</w:t>
            </w:r>
          </w:p>
        </w:tc>
        <w:tc>
          <w:tcPr>
            <w:tcW w:w="437" w:type="pct"/>
            <w:tcMar>
              <w:left w:w="0" w:type="dxa"/>
              <w:right w:w="0" w:type="dxa"/>
            </w:tcMar>
            <w:vAlign w:val="center"/>
          </w:tcPr>
          <w:p w14:paraId="6AF184F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104.9;</w:t>
            </w:r>
          </w:p>
          <w:p w14:paraId="4E87CD67"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0.991</w:t>
            </w:r>
          </w:p>
        </w:tc>
        <w:tc>
          <w:tcPr>
            <w:tcW w:w="271" w:type="pct"/>
            <w:tcMar>
              <w:left w:w="0" w:type="dxa"/>
              <w:right w:w="0" w:type="dxa"/>
            </w:tcMar>
            <w:vAlign w:val="center"/>
          </w:tcPr>
          <w:p w14:paraId="4ADFCD0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w:t>
            </w:r>
            <w:r w:rsidR="00395A73">
              <w:rPr>
                <w:sz w:val="18"/>
                <w:szCs w:val="18"/>
              </w:rPr>
              <w:t>3</w:t>
            </w:r>
            <w:r w:rsidRPr="004F74E3">
              <w:rPr>
                <w:sz w:val="18"/>
                <w:szCs w:val="18"/>
              </w:rPr>
              <w:t>]</w:t>
            </w:r>
          </w:p>
        </w:tc>
      </w:tr>
      <w:tr w:rsidR="004F74E3" w:rsidRPr="004F74E3" w14:paraId="59558205" w14:textId="77777777" w:rsidTr="0059747E">
        <w:trPr>
          <w:trHeight w:val="550"/>
        </w:trPr>
        <w:tc>
          <w:tcPr>
            <w:tcW w:w="437" w:type="pct"/>
            <w:tcMar>
              <w:left w:w="0" w:type="dxa"/>
              <w:right w:w="0" w:type="dxa"/>
            </w:tcMar>
            <w:vAlign w:val="center"/>
          </w:tcPr>
          <w:p w14:paraId="12C85CF4"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t>POP4</w:t>
            </w:r>
          </w:p>
        </w:tc>
        <w:tc>
          <w:tcPr>
            <w:tcW w:w="727" w:type="pct"/>
            <w:tcMar>
              <w:left w:w="0" w:type="dxa"/>
              <w:right w:w="0" w:type="dxa"/>
            </w:tcMar>
            <w:vAlign w:val="center"/>
          </w:tcPr>
          <w:p w14:paraId="2BA2B417"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NM_006627.3</w:t>
            </w:r>
          </w:p>
        </w:tc>
        <w:tc>
          <w:tcPr>
            <w:tcW w:w="726" w:type="pct"/>
            <w:tcMar>
              <w:left w:w="0" w:type="dxa"/>
              <w:right w:w="0" w:type="dxa"/>
            </w:tcMar>
            <w:vAlign w:val="center"/>
          </w:tcPr>
          <w:p w14:paraId="1BE399B8" w14:textId="77777777" w:rsidR="004F74E3" w:rsidRPr="004F74E3" w:rsidRDefault="004F74E3" w:rsidP="004F3BE5">
            <w:pPr>
              <w:spacing w:before="240" w:after="240" w:line="288" w:lineRule="auto"/>
              <w:ind w:firstLineChars="0" w:firstLine="0"/>
              <w:jc w:val="left"/>
              <w:rPr>
                <w:sz w:val="18"/>
                <w:szCs w:val="18"/>
              </w:rPr>
            </w:pPr>
            <w:proofErr w:type="spellStart"/>
            <w:r w:rsidRPr="004F74E3">
              <w:rPr>
                <w:sz w:val="18"/>
                <w:szCs w:val="18"/>
              </w:rPr>
              <w:t>RibonucleaseP</w:t>
            </w:r>
            <w:proofErr w:type="spellEnd"/>
            <w:r w:rsidRPr="004F74E3">
              <w:rPr>
                <w:sz w:val="18"/>
                <w:szCs w:val="18"/>
              </w:rPr>
              <w:t>/</w:t>
            </w:r>
          </w:p>
          <w:p w14:paraId="058CE6A3"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MRP subunit (POP4)</w:t>
            </w:r>
          </w:p>
        </w:tc>
        <w:tc>
          <w:tcPr>
            <w:tcW w:w="1600" w:type="pct"/>
            <w:tcMar>
              <w:left w:w="0" w:type="dxa"/>
              <w:right w:w="0" w:type="dxa"/>
            </w:tcMar>
            <w:vAlign w:val="center"/>
          </w:tcPr>
          <w:p w14:paraId="0978B6F0"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ACCAGAGCAGCAGAGATACA</w:t>
            </w:r>
          </w:p>
          <w:p w14:paraId="770EBFBE"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ATCTGCCTTTAAGAGCTTGGC</w:t>
            </w:r>
          </w:p>
        </w:tc>
        <w:tc>
          <w:tcPr>
            <w:tcW w:w="364" w:type="pct"/>
            <w:tcMar>
              <w:left w:w="0" w:type="dxa"/>
              <w:right w:w="0" w:type="dxa"/>
            </w:tcMar>
            <w:vAlign w:val="center"/>
          </w:tcPr>
          <w:p w14:paraId="0BDEE2D3"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E3/E4</w:t>
            </w:r>
            <w:r w:rsidRPr="004F74E3">
              <w:rPr>
                <w:sz w:val="18"/>
                <w:szCs w:val="18"/>
              </w:rPr>
              <w:br/>
              <w:t>E5</w:t>
            </w:r>
          </w:p>
        </w:tc>
        <w:tc>
          <w:tcPr>
            <w:tcW w:w="437" w:type="pct"/>
            <w:tcMar>
              <w:left w:w="0" w:type="dxa"/>
              <w:right w:w="0" w:type="dxa"/>
            </w:tcMar>
            <w:vAlign w:val="center"/>
          </w:tcPr>
          <w:p w14:paraId="00B0637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133</w:t>
            </w:r>
          </w:p>
        </w:tc>
        <w:tc>
          <w:tcPr>
            <w:tcW w:w="437" w:type="pct"/>
            <w:tcMar>
              <w:left w:w="0" w:type="dxa"/>
              <w:right w:w="0" w:type="dxa"/>
            </w:tcMar>
            <w:vAlign w:val="center"/>
          </w:tcPr>
          <w:p w14:paraId="09E38EAA"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98.9;</w:t>
            </w:r>
          </w:p>
          <w:p w14:paraId="79E4D477"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0.998</w:t>
            </w:r>
          </w:p>
        </w:tc>
        <w:tc>
          <w:tcPr>
            <w:tcW w:w="271" w:type="pct"/>
            <w:tcMar>
              <w:left w:w="0" w:type="dxa"/>
              <w:right w:w="0" w:type="dxa"/>
            </w:tcMar>
            <w:vAlign w:val="center"/>
          </w:tcPr>
          <w:p w14:paraId="5AB7D439"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This article</w:t>
            </w:r>
          </w:p>
        </w:tc>
      </w:tr>
      <w:tr w:rsidR="004F74E3" w:rsidRPr="004F74E3" w14:paraId="6AA3F8DA" w14:textId="77777777" w:rsidTr="0059747E">
        <w:trPr>
          <w:trHeight w:val="550"/>
        </w:trPr>
        <w:tc>
          <w:tcPr>
            <w:tcW w:w="437" w:type="pct"/>
            <w:tcMar>
              <w:left w:w="0" w:type="dxa"/>
              <w:right w:w="0" w:type="dxa"/>
            </w:tcMar>
            <w:vAlign w:val="center"/>
          </w:tcPr>
          <w:p w14:paraId="4069E890"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t>RPL13A</w:t>
            </w:r>
          </w:p>
        </w:tc>
        <w:tc>
          <w:tcPr>
            <w:tcW w:w="727" w:type="pct"/>
            <w:tcMar>
              <w:left w:w="0" w:type="dxa"/>
              <w:right w:w="0" w:type="dxa"/>
            </w:tcMar>
            <w:vAlign w:val="center"/>
          </w:tcPr>
          <w:p w14:paraId="3A0BA19F"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NM_012423.4</w:t>
            </w:r>
          </w:p>
          <w:p w14:paraId="6B442B46"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NM_001270491.2</w:t>
            </w:r>
          </w:p>
        </w:tc>
        <w:tc>
          <w:tcPr>
            <w:tcW w:w="726" w:type="pct"/>
            <w:tcMar>
              <w:left w:w="0" w:type="dxa"/>
              <w:right w:w="0" w:type="dxa"/>
            </w:tcMar>
            <w:vAlign w:val="center"/>
          </w:tcPr>
          <w:p w14:paraId="313D0674"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Ribosomal protein L13A</w:t>
            </w:r>
          </w:p>
        </w:tc>
        <w:tc>
          <w:tcPr>
            <w:tcW w:w="1600" w:type="pct"/>
            <w:tcMar>
              <w:left w:w="0" w:type="dxa"/>
              <w:right w:w="0" w:type="dxa"/>
            </w:tcMar>
            <w:vAlign w:val="center"/>
          </w:tcPr>
          <w:p w14:paraId="0D2D6AE2"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CCTGGAGGAGAAGAGGAAAGAGA</w:t>
            </w:r>
          </w:p>
          <w:p w14:paraId="226A124E"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TTGAGGACCTCTGTGTATTTGTCAA</w:t>
            </w:r>
          </w:p>
        </w:tc>
        <w:tc>
          <w:tcPr>
            <w:tcW w:w="364" w:type="pct"/>
            <w:tcMar>
              <w:left w:w="0" w:type="dxa"/>
              <w:right w:w="0" w:type="dxa"/>
            </w:tcMar>
            <w:vAlign w:val="center"/>
          </w:tcPr>
          <w:p w14:paraId="5A4D08A2"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E7</w:t>
            </w:r>
          </w:p>
          <w:p w14:paraId="585127EF"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E8</w:t>
            </w:r>
          </w:p>
        </w:tc>
        <w:tc>
          <w:tcPr>
            <w:tcW w:w="437" w:type="pct"/>
            <w:tcMar>
              <w:left w:w="0" w:type="dxa"/>
              <w:right w:w="0" w:type="dxa"/>
            </w:tcMar>
            <w:vAlign w:val="center"/>
          </w:tcPr>
          <w:p w14:paraId="3C75EA0B"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126</w:t>
            </w:r>
          </w:p>
        </w:tc>
        <w:tc>
          <w:tcPr>
            <w:tcW w:w="437" w:type="pct"/>
            <w:tcMar>
              <w:left w:w="0" w:type="dxa"/>
              <w:right w:w="0" w:type="dxa"/>
            </w:tcMar>
            <w:vAlign w:val="center"/>
          </w:tcPr>
          <w:p w14:paraId="12A08942"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95.7;</w:t>
            </w:r>
          </w:p>
          <w:p w14:paraId="33BE539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0.995</w:t>
            </w:r>
          </w:p>
        </w:tc>
        <w:tc>
          <w:tcPr>
            <w:tcW w:w="271" w:type="pct"/>
            <w:tcMar>
              <w:left w:w="0" w:type="dxa"/>
              <w:right w:w="0" w:type="dxa"/>
            </w:tcMar>
            <w:vAlign w:val="center"/>
          </w:tcPr>
          <w:p w14:paraId="279A6F13"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w:t>
            </w:r>
            <w:r w:rsidR="00395A73">
              <w:rPr>
                <w:sz w:val="18"/>
                <w:szCs w:val="18"/>
              </w:rPr>
              <w:t>4</w:t>
            </w:r>
            <w:r w:rsidRPr="004F74E3">
              <w:rPr>
                <w:sz w:val="18"/>
                <w:szCs w:val="18"/>
              </w:rPr>
              <w:t>]</w:t>
            </w:r>
          </w:p>
        </w:tc>
      </w:tr>
      <w:tr w:rsidR="004F74E3" w:rsidRPr="004F74E3" w14:paraId="51BF6CE8" w14:textId="77777777" w:rsidTr="0059747E">
        <w:trPr>
          <w:trHeight w:val="550"/>
        </w:trPr>
        <w:tc>
          <w:tcPr>
            <w:tcW w:w="437" w:type="pct"/>
            <w:tcMar>
              <w:left w:w="0" w:type="dxa"/>
              <w:right w:w="0" w:type="dxa"/>
            </w:tcMar>
            <w:vAlign w:val="center"/>
          </w:tcPr>
          <w:p w14:paraId="2F8EB1F1"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t>YWHAZ</w:t>
            </w:r>
          </w:p>
        </w:tc>
        <w:tc>
          <w:tcPr>
            <w:tcW w:w="727" w:type="pct"/>
            <w:tcMar>
              <w:left w:w="0" w:type="dxa"/>
              <w:right w:w="0" w:type="dxa"/>
            </w:tcMar>
            <w:vAlign w:val="center"/>
          </w:tcPr>
          <w:p w14:paraId="104D2FD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NM_003406.4</w:t>
            </w:r>
          </w:p>
        </w:tc>
        <w:tc>
          <w:tcPr>
            <w:tcW w:w="726" w:type="pct"/>
            <w:tcMar>
              <w:left w:w="0" w:type="dxa"/>
              <w:right w:w="0" w:type="dxa"/>
            </w:tcMar>
            <w:vAlign w:val="center"/>
          </w:tcPr>
          <w:p w14:paraId="7C31E56F"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Tyrosine 3-monooxygenase/</w:t>
            </w:r>
          </w:p>
          <w:p w14:paraId="213BBD5A"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tryptophan 5-monooxygenase activation protein, zeta polypeptide, KCIP-1</w:t>
            </w:r>
          </w:p>
        </w:tc>
        <w:tc>
          <w:tcPr>
            <w:tcW w:w="1600" w:type="pct"/>
            <w:tcMar>
              <w:left w:w="0" w:type="dxa"/>
              <w:right w:w="0" w:type="dxa"/>
            </w:tcMar>
            <w:vAlign w:val="center"/>
          </w:tcPr>
          <w:p w14:paraId="0BDBDA13"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CGAAGCTGAAGCAGGAGAAG</w:t>
            </w:r>
          </w:p>
          <w:p w14:paraId="0C49BD1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TTTGTGGGACAGCATGGATG</w:t>
            </w:r>
          </w:p>
        </w:tc>
        <w:tc>
          <w:tcPr>
            <w:tcW w:w="364" w:type="pct"/>
            <w:tcMar>
              <w:left w:w="0" w:type="dxa"/>
              <w:right w:w="0" w:type="dxa"/>
            </w:tcMar>
            <w:vAlign w:val="center"/>
          </w:tcPr>
          <w:p w14:paraId="03E8831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E6</w:t>
            </w:r>
          </w:p>
        </w:tc>
        <w:tc>
          <w:tcPr>
            <w:tcW w:w="437" w:type="pct"/>
            <w:tcMar>
              <w:left w:w="0" w:type="dxa"/>
              <w:right w:w="0" w:type="dxa"/>
            </w:tcMar>
            <w:vAlign w:val="center"/>
          </w:tcPr>
          <w:p w14:paraId="09FA9BE5"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110</w:t>
            </w:r>
          </w:p>
        </w:tc>
        <w:tc>
          <w:tcPr>
            <w:tcW w:w="437" w:type="pct"/>
            <w:tcMar>
              <w:left w:w="0" w:type="dxa"/>
              <w:right w:w="0" w:type="dxa"/>
            </w:tcMar>
            <w:vAlign w:val="center"/>
          </w:tcPr>
          <w:p w14:paraId="6E3B680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112.0;</w:t>
            </w:r>
          </w:p>
          <w:p w14:paraId="7813759D"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0.991</w:t>
            </w:r>
          </w:p>
        </w:tc>
        <w:tc>
          <w:tcPr>
            <w:tcW w:w="271" w:type="pct"/>
            <w:tcMar>
              <w:left w:w="0" w:type="dxa"/>
              <w:right w:w="0" w:type="dxa"/>
            </w:tcMar>
            <w:vAlign w:val="center"/>
          </w:tcPr>
          <w:p w14:paraId="1D93FF8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w:t>
            </w:r>
            <w:r w:rsidR="00395A73">
              <w:rPr>
                <w:sz w:val="18"/>
                <w:szCs w:val="18"/>
              </w:rPr>
              <w:t>5</w:t>
            </w:r>
            <w:r w:rsidRPr="004F74E3">
              <w:rPr>
                <w:sz w:val="18"/>
                <w:szCs w:val="18"/>
              </w:rPr>
              <w:t>]</w:t>
            </w:r>
          </w:p>
        </w:tc>
      </w:tr>
      <w:tr w:rsidR="004F74E3" w:rsidRPr="004F74E3" w14:paraId="74BCCA66" w14:textId="77777777" w:rsidTr="0059747E">
        <w:trPr>
          <w:trHeight w:val="550"/>
        </w:trPr>
        <w:tc>
          <w:tcPr>
            <w:tcW w:w="437" w:type="pct"/>
            <w:tcMar>
              <w:left w:w="0" w:type="dxa"/>
              <w:right w:w="0" w:type="dxa"/>
            </w:tcMar>
            <w:vAlign w:val="center"/>
          </w:tcPr>
          <w:p w14:paraId="37C1F253"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t xml:space="preserve">RNA18SN5 </w:t>
            </w:r>
            <w:r w:rsidRPr="004F74E3">
              <w:rPr>
                <w:b/>
                <w:i/>
                <w:sz w:val="18"/>
                <w:szCs w:val="18"/>
              </w:rPr>
              <w:lastRenderedPageBreak/>
              <w:t>(18S)</w:t>
            </w:r>
          </w:p>
        </w:tc>
        <w:tc>
          <w:tcPr>
            <w:tcW w:w="727" w:type="pct"/>
            <w:tcMar>
              <w:left w:w="0" w:type="dxa"/>
              <w:right w:w="0" w:type="dxa"/>
            </w:tcMar>
            <w:vAlign w:val="center"/>
          </w:tcPr>
          <w:p w14:paraId="267A1F2A"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lastRenderedPageBreak/>
              <w:t>NR_145820.1</w:t>
            </w:r>
          </w:p>
          <w:p w14:paraId="360A4CE6"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lastRenderedPageBreak/>
              <w:t>NR_003286.4</w:t>
            </w:r>
          </w:p>
        </w:tc>
        <w:tc>
          <w:tcPr>
            <w:tcW w:w="726" w:type="pct"/>
            <w:tcMar>
              <w:left w:w="0" w:type="dxa"/>
              <w:right w:w="0" w:type="dxa"/>
            </w:tcMar>
            <w:vAlign w:val="center"/>
          </w:tcPr>
          <w:p w14:paraId="4434E7B3"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lastRenderedPageBreak/>
              <w:t>18S ribosomal RNA</w:t>
            </w:r>
          </w:p>
        </w:tc>
        <w:tc>
          <w:tcPr>
            <w:tcW w:w="1600" w:type="pct"/>
            <w:tcMar>
              <w:left w:w="0" w:type="dxa"/>
              <w:right w:w="0" w:type="dxa"/>
            </w:tcMar>
            <w:vAlign w:val="center"/>
          </w:tcPr>
          <w:p w14:paraId="3CA9973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GAAACTGCGAATGGCTCATTAA</w:t>
            </w:r>
          </w:p>
          <w:p w14:paraId="511A127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lastRenderedPageBreak/>
              <w:t>GAATTACCACAGTTATCCAAGTAGGA</w:t>
            </w:r>
          </w:p>
        </w:tc>
        <w:tc>
          <w:tcPr>
            <w:tcW w:w="364" w:type="pct"/>
            <w:tcMar>
              <w:left w:w="0" w:type="dxa"/>
              <w:right w:w="0" w:type="dxa"/>
            </w:tcMar>
            <w:vAlign w:val="center"/>
          </w:tcPr>
          <w:p w14:paraId="7043F729"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lastRenderedPageBreak/>
              <w:t>E1</w:t>
            </w:r>
          </w:p>
        </w:tc>
        <w:tc>
          <w:tcPr>
            <w:tcW w:w="437" w:type="pct"/>
            <w:tcMar>
              <w:left w:w="0" w:type="dxa"/>
              <w:right w:w="0" w:type="dxa"/>
            </w:tcMar>
            <w:vAlign w:val="center"/>
          </w:tcPr>
          <w:p w14:paraId="7A6DD11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81</w:t>
            </w:r>
          </w:p>
        </w:tc>
        <w:tc>
          <w:tcPr>
            <w:tcW w:w="437" w:type="pct"/>
            <w:tcMar>
              <w:left w:w="0" w:type="dxa"/>
              <w:right w:w="0" w:type="dxa"/>
            </w:tcMar>
            <w:vAlign w:val="center"/>
          </w:tcPr>
          <w:p w14:paraId="61FC0AB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99.8;</w:t>
            </w:r>
          </w:p>
          <w:p w14:paraId="1D331B5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lastRenderedPageBreak/>
              <w:t>0.993</w:t>
            </w:r>
          </w:p>
        </w:tc>
        <w:tc>
          <w:tcPr>
            <w:tcW w:w="271" w:type="pct"/>
            <w:tcMar>
              <w:left w:w="0" w:type="dxa"/>
              <w:right w:w="0" w:type="dxa"/>
            </w:tcMar>
            <w:vAlign w:val="center"/>
          </w:tcPr>
          <w:p w14:paraId="4CABC54C"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lastRenderedPageBreak/>
              <w:t>[</w:t>
            </w:r>
            <w:r w:rsidR="00395A73">
              <w:rPr>
                <w:sz w:val="18"/>
                <w:szCs w:val="18"/>
              </w:rPr>
              <w:t>6</w:t>
            </w:r>
            <w:r w:rsidRPr="004F74E3">
              <w:rPr>
                <w:sz w:val="18"/>
                <w:szCs w:val="18"/>
              </w:rPr>
              <w:t>]</w:t>
            </w:r>
          </w:p>
        </w:tc>
      </w:tr>
      <w:tr w:rsidR="004F74E3" w:rsidRPr="004F74E3" w14:paraId="340AEFC7" w14:textId="77777777" w:rsidTr="0059747E">
        <w:trPr>
          <w:trHeight w:val="550"/>
        </w:trPr>
        <w:tc>
          <w:tcPr>
            <w:tcW w:w="437" w:type="pct"/>
            <w:tcMar>
              <w:left w:w="0" w:type="dxa"/>
              <w:right w:w="0" w:type="dxa"/>
            </w:tcMar>
            <w:vAlign w:val="center"/>
          </w:tcPr>
          <w:p w14:paraId="09ADAA70" w14:textId="77777777" w:rsidR="004F74E3" w:rsidRPr="004F74E3" w:rsidRDefault="004F74E3" w:rsidP="004F3BE5">
            <w:pPr>
              <w:spacing w:before="240" w:after="240" w:line="288" w:lineRule="auto"/>
              <w:ind w:firstLineChars="0" w:firstLine="0"/>
              <w:jc w:val="left"/>
              <w:rPr>
                <w:b/>
                <w:i/>
                <w:sz w:val="18"/>
                <w:szCs w:val="18"/>
              </w:rPr>
            </w:pPr>
            <w:r w:rsidRPr="004F74E3">
              <w:rPr>
                <w:b/>
                <w:i/>
                <w:sz w:val="18"/>
                <w:szCs w:val="18"/>
              </w:rPr>
              <w:lastRenderedPageBreak/>
              <w:t>EGFR</w:t>
            </w:r>
          </w:p>
        </w:tc>
        <w:tc>
          <w:tcPr>
            <w:tcW w:w="727" w:type="pct"/>
            <w:tcMar>
              <w:left w:w="0" w:type="dxa"/>
              <w:right w:w="0" w:type="dxa"/>
            </w:tcMar>
            <w:vAlign w:val="center"/>
          </w:tcPr>
          <w:p w14:paraId="66703612"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NM_201284.2</w:t>
            </w:r>
            <w:r w:rsidRPr="004F74E3">
              <w:rPr>
                <w:sz w:val="18"/>
                <w:szCs w:val="18"/>
              </w:rPr>
              <w:br/>
              <w:t>NM_201283.2</w:t>
            </w:r>
            <w:r w:rsidRPr="004F74E3">
              <w:rPr>
                <w:sz w:val="18"/>
                <w:szCs w:val="18"/>
              </w:rPr>
              <w:br/>
              <w:t>NM_001346899.2</w:t>
            </w:r>
            <w:r w:rsidRPr="004F74E3">
              <w:rPr>
                <w:sz w:val="18"/>
                <w:szCs w:val="18"/>
              </w:rPr>
              <w:br/>
              <w:t>NM_001346897.2</w:t>
            </w:r>
            <w:r w:rsidRPr="004F74E3">
              <w:rPr>
                <w:sz w:val="18"/>
                <w:szCs w:val="18"/>
              </w:rPr>
              <w:br/>
              <w:t>NM_201282.2</w:t>
            </w:r>
            <w:r w:rsidRPr="004F74E3">
              <w:rPr>
                <w:sz w:val="18"/>
                <w:szCs w:val="18"/>
              </w:rPr>
              <w:br/>
              <w:t>NM_001346900.2</w:t>
            </w:r>
            <w:r w:rsidRPr="004F74E3">
              <w:rPr>
                <w:sz w:val="18"/>
                <w:szCs w:val="18"/>
              </w:rPr>
              <w:br/>
              <w:t>NM_001346898.2</w:t>
            </w:r>
            <w:r w:rsidRPr="004F74E3">
              <w:rPr>
                <w:sz w:val="18"/>
                <w:szCs w:val="18"/>
              </w:rPr>
              <w:br/>
              <w:t>NM_005228.5</w:t>
            </w:r>
          </w:p>
        </w:tc>
        <w:tc>
          <w:tcPr>
            <w:tcW w:w="726" w:type="pct"/>
            <w:tcMar>
              <w:left w:w="0" w:type="dxa"/>
              <w:right w:w="0" w:type="dxa"/>
            </w:tcMar>
            <w:vAlign w:val="center"/>
          </w:tcPr>
          <w:p w14:paraId="79D730E5"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epidermal growth factor receptor</w:t>
            </w:r>
          </w:p>
        </w:tc>
        <w:tc>
          <w:tcPr>
            <w:tcW w:w="1600" w:type="pct"/>
            <w:tcMar>
              <w:left w:w="0" w:type="dxa"/>
              <w:right w:w="0" w:type="dxa"/>
            </w:tcMar>
            <w:vAlign w:val="center"/>
          </w:tcPr>
          <w:p w14:paraId="4F7BB1A8"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GGAGAACTGCCAGAAACTGACC</w:t>
            </w:r>
          </w:p>
          <w:p w14:paraId="575B6C98"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GCCTGCAGCACACTGGTTG</w:t>
            </w:r>
          </w:p>
        </w:tc>
        <w:tc>
          <w:tcPr>
            <w:tcW w:w="364" w:type="pct"/>
            <w:tcMar>
              <w:left w:w="0" w:type="dxa"/>
              <w:right w:w="0" w:type="dxa"/>
            </w:tcMar>
            <w:vAlign w:val="center"/>
          </w:tcPr>
          <w:p w14:paraId="6961F90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E5/E6</w:t>
            </w:r>
          </w:p>
          <w:p w14:paraId="6E9A89E1"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E6</w:t>
            </w:r>
          </w:p>
        </w:tc>
        <w:tc>
          <w:tcPr>
            <w:tcW w:w="437" w:type="pct"/>
            <w:tcMar>
              <w:left w:w="0" w:type="dxa"/>
              <w:right w:w="0" w:type="dxa"/>
            </w:tcMar>
            <w:vAlign w:val="center"/>
          </w:tcPr>
          <w:p w14:paraId="39A879DF"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106</w:t>
            </w:r>
          </w:p>
        </w:tc>
        <w:tc>
          <w:tcPr>
            <w:tcW w:w="437" w:type="pct"/>
            <w:tcMar>
              <w:left w:w="0" w:type="dxa"/>
              <w:right w:w="0" w:type="dxa"/>
            </w:tcMar>
            <w:vAlign w:val="center"/>
          </w:tcPr>
          <w:p w14:paraId="0F5820AE"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93,3;</w:t>
            </w:r>
            <w:r w:rsidRPr="004F74E3">
              <w:rPr>
                <w:sz w:val="18"/>
                <w:szCs w:val="18"/>
              </w:rPr>
              <w:br/>
              <w:t>0.993</w:t>
            </w:r>
          </w:p>
        </w:tc>
        <w:tc>
          <w:tcPr>
            <w:tcW w:w="271" w:type="pct"/>
            <w:tcMar>
              <w:left w:w="0" w:type="dxa"/>
              <w:right w:w="0" w:type="dxa"/>
            </w:tcMar>
            <w:vAlign w:val="center"/>
          </w:tcPr>
          <w:p w14:paraId="42EA5D52" w14:textId="77777777" w:rsidR="004F74E3" w:rsidRPr="004F74E3" w:rsidRDefault="004F74E3" w:rsidP="004F3BE5">
            <w:pPr>
              <w:spacing w:before="240" w:after="240" w:line="288" w:lineRule="auto"/>
              <w:ind w:firstLineChars="0" w:firstLine="0"/>
              <w:jc w:val="left"/>
              <w:rPr>
                <w:sz w:val="18"/>
                <w:szCs w:val="18"/>
              </w:rPr>
            </w:pPr>
            <w:r w:rsidRPr="004F74E3">
              <w:rPr>
                <w:sz w:val="18"/>
                <w:szCs w:val="18"/>
              </w:rPr>
              <w:t>[</w:t>
            </w:r>
            <w:r w:rsidR="00395A73">
              <w:rPr>
                <w:sz w:val="18"/>
                <w:szCs w:val="18"/>
              </w:rPr>
              <w:t>7</w:t>
            </w:r>
            <w:r w:rsidRPr="004F74E3">
              <w:rPr>
                <w:sz w:val="18"/>
                <w:szCs w:val="18"/>
              </w:rPr>
              <w:t>]</w:t>
            </w:r>
          </w:p>
        </w:tc>
      </w:tr>
    </w:tbl>
    <w:p w14:paraId="229D68BB" w14:textId="77777777" w:rsidR="006E56D1" w:rsidRDefault="006E56D1" w:rsidP="004F3BE5">
      <w:pPr>
        <w:pStyle w:val="a3"/>
        <w:ind w:firstLine="420"/>
        <w:jc w:val="left"/>
      </w:pPr>
    </w:p>
    <w:p w14:paraId="0BC793B2" w14:textId="77777777" w:rsidR="0059747E" w:rsidRPr="0050207F" w:rsidRDefault="0059747E" w:rsidP="004F3BE5">
      <w:pPr>
        <w:pStyle w:val="a3"/>
        <w:ind w:firstLine="420"/>
        <w:jc w:val="left"/>
      </w:pPr>
      <w:r w:rsidRPr="0050207F">
        <w:t>[</w:t>
      </w:r>
      <w:r w:rsidR="00395A73">
        <w:t>1</w:t>
      </w:r>
      <w:r w:rsidRPr="0050207F">
        <w:t>]</w:t>
      </w:r>
      <w:r w:rsidRPr="0050207F">
        <w:tab/>
      </w:r>
      <w:proofErr w:type="spellStart"/>
      <w:r w:rsidRPr="0050207F">
        <w:t>Zarei</w:t>
      </w:r>
      <w:proofErr w:type="spellEnd"/>
      <w:r w:rsidRPr="0050207F">
        <w:t xml:space="preserve"> M, </w:t>
      </w:r>
      <w:proofErr w:type="spellStart"/>
      <w:r w:rsidRPr="0050207F">
        <w:t>Hasanzadeh</w:t>
      </w:r>
      <w:proofErr w:type="spellEnd"/>
      <w:r w:rsidRPr="0050207F">
        <w:t xml:space="preserve"> Azar M, </w:t>
      </w:r>
      <w:proofErr w:type="spellStart"/>
      <w:r w:rsidRPr="0050207F">
        <w:t>Sayedain</w:t>
      </w:r>
      <w:proofErr w:type="spellEnd"/>
      <w:r w:rsidRPr="0050207F">
        <w:t xml:space="preserve"> SS, et al. Material extrusion additive manufacturing of </w:t>
      </w:r>
      <w:proofErr w:type="gramStart"/>
      <w:r w:rsidRPr="0050207F">
        <w:t>poly(</w:t>
      </w:r>
      <w:proofErr w:type="gramEnd"/>
      <w:r w:rsidRPr="0050207F">
        <w:t>lactic acid)/Ti6Al4V@calcium phosphate core-shell nanocomposite scaffolds for bone tissue applications. International Journal of Biological Macromolecules 2024; 255: 128040. doi:10.1016/j.ijbiomac.2023.128040</w:t>
      </w:r>
    </w:p>
    <w:p w14:paraId="0279CB44" w14:textId="77777777" w:rsidR="0059747E" w:rsidRPr="0050207F" w:rsidRDefault="0059747E" w:rsidP="004F3BE5">
      <w:pPr>
        <w:pStyle w:val="a3"/>
        <w:ind w:firstLine="420"/>
        <w:jc w:val="left"/>
      </w:pPr>
      <w:r w:rsidRPr="0050207F">
        <w:t>[</w:t>
      </w:r>
      <w:r w:rsidR="00395A73">
        <w:t>2</w:t>
      </w:r>
      <w:r w:rsidRPr="0050207F">
        <w:t>]</w:t>
      </w:r>
      <w:r w:rsidRPr="0050207F">
        <w:tab/>
      </w:r>
      <w:proofErr w:type="spellStart"/>
      <w:r w:rsidRPr="0050207F">
        <w:t>Domnina</w:t>
      </w:r>
      <w:proofErr w:type="spellEnd"/>
      <w:r w:rsidRPr="0050207F">
        <w:t xml:space="preserve"> A, </w:t>
      </w:r>
      <w:proofErr w:type="spellStart"/>
      <w:r w:rsidRPr="0050207F">
        <w:t>Ivanova</w:t>
      </w:r>
      <w:proofErr w:type="spellEnd"/>
      <w:r w:rsidRPr="0050207F">
        <w:t xml:space="preserve"> J, </w:t>
      </w:r>
      <w:proofErr w:type="spellStart"/>
      <w:r w:rsidRPr="0050207F">
        <w:t>Alekseenko</w:t>
      </w:r>
      <w:proofErr w:type="spellEnd"/>
      <w:r w:rsidRPr="0050207F">
        <w:t xml:space="preserve"> L, et al. Three-Dimensional Compaction Switches Stress Response Programs and Enhances Therapeutic Efficacy of Endometrial Mesenchymal Stem/Stromal Cells. Front Cell Dev Biol 2020; 8: 473. doi:10.3389/fcell.2020.00473</w:t>
      </w:r>
    </w:p>
    <w:p w14:paraId="15779AA4" w14:textId="77777777" w:rsidR="0059747E" w:rsidRPr="0050207F" w:rsidRDefault="0059747E" w:rsidP="004F3BE5">
      <w:pPr>
        <w:pStyle w:val="a3"/>
        <w:ind w:firstLine="420"/>
        <w:jc w:val="left"/>
      </w:pPr>
      <w:r w:rsidRPr="0050207F">
        <w:t>[</w:t>
      </w:r>
      <w:r w:rsidR="00395A73">
        <w:t>3</w:t>
      </w:r>
      <w:r w:rsidRPr="0050207F">
        <w:t>]</w:t>
      </w:r>
      <w:r w:rsidRPr="0050207F">
        <w:tab/>
        <w:t>Wang XN, Yang QW, Du ZW, et al. Evaluation of the stability of reference genes in bone mesenchymal stem cells from patients with avascular necrosis of the femoral head. Genet Mol Res 2016; 15: 2430–2437. doi:10.4238/gmr.15027926</w:t>
      </w:r>
    </w:p>
    <w:p w14:paraId="28743C21" w14:textId="77777777" w:rsidR="0059747E" w:rsidRPr="0050207F" w:rsidRDefault="0059747E" w:rsidP="004F3BE5">
      <w:pPr>
        <w:pStyle w:val="a3"/>
        <w:ind w:firstLine="420"/>
        <w:jc w:val="left"/>
      </w:pPr>
      <w:r w:rsidRPr="0050207F">
        <w:t>[</w:t>
      </w:r>
      <w:r w:rsidR="00395A73">
        <w:t>4</w:t>
      </w:r>
      <w:r w:rsidRPr="0050207F">
        <w:t>]</w:t>
      </w:r>
      <w:r w:rsidRPr="0050207F">
        <w:tab/>
      </w:r>
      <w:proofErr w:type="spellStart"/>
      <w:r w:rsidRPr="0050207F">
        <w:t>Lédée</w:t>
      </w:r>
      <w:proofErr w:type="spellEnd"/>
      <w:r w:rsidRPr="0050207F">
        <w:t xml:space="preserve"> N, </w:t>
      </w:r>
      <w:proofErr w:type="spellStart"/>
      <w:r w:rsidRPr="0050207F">
        <w:t>Petitbarat</w:t>
      </w:r>
      <w:proofErr w:type="spellEnd"/>
      <w:r w:rsidRPr="0050207F">
        <w:t xml:space="preserve"> M, </w:t>
      </w:r>
      <w:proofErr w:type="spellStart"/>
      <w:r w:rsidRPr="0050207F">
        <w:t>Chevrier</w:t>
      </w:r>
      <w:proofErr w:type="spellEnd"/>
      <w:r w:rsidRPr="0050207F">
        <w:t xml:space="preserve"> L, et al. The Uterine Immune Profile May Help Women </w:t>
      </w:r>
      <w:proofErr w:type="gramStart"/>
      <w:r w:rsidRPr="0050207F">
        <w:t>With</w:t>
      </w:r>
      <w:proofErr w:type="gramEnd"/>
      <w:r w:rsidRPr="0050207F">
        <w:t xml:space="preserve"> Repeated Unexplained Embryo Implantation Failure After </w:t>
      </w:r>
      <w:r w:rsidRPr="0050207F">
        <w:rPr>
          <w:i/>
          <w:iCs/>
        </w:rPr>
        <w:t>In Vitro</w:t>
      </w:r>
      <w:r w:rsidRPr="0050207F">
        <w:t xml:space="preserve"> Fertilization. American J Rep Immunol 2016; 75: 388–401. doi:10.1111/aji.12483</w:t>
      </w:r>
    </w:p>
    <w:p w14:paraId="0E339176" w14:textId="77777777" w:rsidR="0059747E" w:rsidRPr="0050207F" w:rsidRDefault="0059747E" w:rsidP="004F3BE5">
      <w:pPr>
        <w:pStyle w:val="a3"/>
        <w:ind w:firstLine="420"/>
        <w:jc w:val="left"/>
      </w:pPr>
      <w:r w:rsidRPr="0050207F">
        <w:t>[</w:t>
      </w:r>
      <w:r w:rsidR="00395A73">
        <w:t>5</w:t>
      </w:r>
      <w:r w:rsidRPr="0050207F">
        <w:t>]</w:t>
      </w:r>
      <w:r w:rsidRPr="0050207F">
        <w:tab/>
        <w:t>Steel L, Ansell DM, Amaya E, et al. PPIA and YWHAZ Constitute a Stable Pair of Reference Genes during Electrical Stimulation in Mesenchymal Stem Cells. Applied Sciences 2021; 12: 153. doi:10.3390/app12010153</w:t>
      </w:r>
    </w:p>
    <w:p w14:paraId="6B601CAE" w14:textId="77777777" w:rsidR="0059747E" w:rsidRPr="0050207F" w:rsidRDefault="0059747E" w:rsidP="004F3BE5">
      <w:pPr>
        <w:pStyle w:val="a3"/>
        <w:ind w:firstLine="420"/>
        <w:jc w:val="left"/>
      </w:pPr>
      <w:r w:rsidRPr="0050207F">
        <w:t>[</w:t>
      </w:r>
      <w:r w:rsidR="00395A73">
        <w:t>6</w:t>
      </w:r>
      <w:r w:rsidRPr="0050207F">
        <w:t>]</w:t>
      </w:r>
      <w:r w:rsidRPr="0050207F">
        <w:tab/>
        <w:t>Couse JF, Yates MM, Rodriguez KF, et al. The Intraovarian Actions of Estrogen Receptor-α Are Necessary to Repress the Formation of Morphological and Functional Leydig-Like Cells in the Female Gonad. Endocrinology 2006; 147: 3666–3678. doi:10.1210/en.2006-0276</w:t>
      </w:r>
    </w:p>
    <w:p w14:paraId="61391D9E" w14:textId="77777777" w:rsidR="0059747E" w:rsidRPr="0050207F" w:rsidRDefault="0059747E" w:rsidP="004F3BE5">
      <w:pPr>
        <w:pStyle w:val="a3"/>
        <w:ind w:firstLine="420"/>
        <w:jc w:val="left"/>
      </w:pPr>
      <w:r w:rsidRPr="0050207F">
        <w:t>[</w:t>
      </w:r>
      <w:r w:rsidR="00395A73">
        <w:t>7</w:t>
      </w:r>
      <w:r w:rsidRPr="0050207F">
        <w:t>]</w:t>
      </w:r>
      <w:r w:rsidRPr="0050207F">
        <w:tab/>
      </w:r>
      <w:proofErr w:type="spellStart"/>
      <w:r w:rsidRPr="0050207F">
        <w:t>Moghbeli</w:t>
      </w:r>
      <w:proofErr w:type="spellEnd"/>
      <w:r w:rsidRPr="0050207F">
        <w:t xml:space="preserve"> M, </w:t>
      </w:r>
      <w:proofErr w:type="spellStart"/>
      <w:r w:rsidRPr="0050207F">
        <w:t>Makhdoumi</w:t>
      </w:r>
      <w:proofErr w:type="spellEnd"/>
      <w:r w:rsidRPr="0050207F">
        <w:t xml:space="preserve"> Y, </w:t>
      </w:r>
      <w:proofErr w:type="spellStart"/>
      <w:r w:rsidRPr="0050207F">
        <w:t>Soltani</w:t>
      </w:r>
      <w:proofErr w:type="spellEnd"/>
      <w:r w:rsidRPr="0050207F">
        <w:t xml:space="preserve"> </w:t>
      </w:r>
      <w:proofErr w:type="spellStart"/>
      <w:r w:rsidRPr="0050207F">
        <w:t>Delgosha</w:t>
      </w:r>
      <w:proofErr w:type="spellEnd"/>
      <w:r w:rsidRPr="0050207F">
        <w:t xml:space="preserve"> M, et al. ErbB1 and ErbB3 co-over expression as a prognostic factor in gastric cancer. Biol Res 2019; 52: 2. doi:10.1186/s40659-018-0208-1</w:t>
      </w:r>
    </w:p>
    <w:p w14:paraId="67323181" w14:textId="77777777" w:rsidR="0047314C" w:rsidRDefault="0047314C" w:rsidP="004F3BE5">
      <w:pPr>
        <w:spacing w:before="240" w:after="240" w:line="288" w:lineRule="auto"/>
        <w:ind w:left="-1134" w:firstLineChars="0" w:firstLine="0"/>
        <w:jc w:val="left"/>
      </w:pPr>
      <w:bookmarkStart w:id="0" w:name="_GoBack"/>
      <w:bookmarkEnd w:id="0"/>
    </w:p>
    <w:sectPr w:rsidR="0047314C" w:rsidSect="002401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bordersDoNotSurroundHeader/>
  <w:bordersDoNotSurroundFooter/>
  <w:proofState w:spelling="clean" w:grammar="clean"/>
  <w:defaultTabStop w:val="708"/>
  <w:drawingGridHorizontalSpacing w:val="105"/>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52F"/>
    <w:rsid w:val="001D752F"/>
    <w:rsid w:val="002401A0"/>
    <w:rsid w:val="00395A73"/>
    <w:rsid w:val="0047314C"/>
    <w:rsid w:val="004F3BE5"/>
    <w:rsid w:val="004F74E3"/>
    <w:rsid w:val="0059747E"/>
    <w:rsid w:val="0063484F"/>
    <w:rsid w:val="006E56D1"/>
    <w:rsid w:val="007D55BA"/>
    <w:rsid w:val="0085002F"/>
    <w:rsid w:val="00A801D6"/>
    <w:rsid w:val="00C45588"/>
    <w:rsid w:val="00D9786C"/>
    <w:rsid w:val="00DF39D2"/>
    <w:rsid w:val="00EA761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73D403"/>
  <w15:docId w15:val="{3A195721-D041-4027-B341-60D259FBE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55BA"/>
    <w:pPr>
      <w:widowControl w:val="0"/>
      <w:spacing w:after="0" w:line="240" w:lineRule="auto"/>
      <w:ind w:firstLineChars="200" w:firstLine="200"/>
      <w:jc w:val="both"/>
    </w:pPr>
    <w:rPr>
      <w:rFonts w:ascii="Times New Roman" w:eastAsia="Times New Roman" w:hAnsi="Times New Roman" w:cs="Times New Roman"/>
      <w:kern w:val="2"/>
      <w:sz w:val="21"/>
      <w:szCs w:val="21"/>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ibliography"/>
    <w:basedOn w:val="a"/>
    <w:next w:val="a"/>
    <w:uiPriority w:val="37"/>
    <w:semiHidden/>
    <w:unhideWhenUsed/>
    <w:rsid w:val="0059747E"/>
  </w:style>
  <w:style w:type="character" w:styleId="a4">
    <w:name w:val="annotation reference"/>
    <w:basedOn w:val="a0"/>
    <w:uiPriority w:val="99"/>
    <w:semiHidden/>
    <w:unhideWhenUsed/>
    <w:rsid w:val="0085002F"/>
    <w:rPr>
      <w:sz w:val="21"/>
      <w:szCs w:val="21"/>
    </w:rPr>
  </w:style>
  <w:style w:type="paragraph" w:styleId="a5">
    <w:name w:val="annotation text"/>
    <w:basedOn w:val="a"/>
    <w:link w:val="a6"/>
    <w:uiPriority w:val="99"/>
    <w:semiHidden/>
    <w:unhideWhenUsed/>
    <w:rsid w:val="0085002F"/>
    <w:pPr>
      <w:jc w:val="left"/>
    </w:pPr>
  </w:style>
  <w:style w:type="character" w:customStyle="1" w:styleId="a6">
    <w:name w:val="批注文字 字符"/>
    <w:basedOn w:val="a0"/>
    <w:link w:val="a5"/>
    <w:uiPriority w:val="99"/>
    <w:semiHidden/>
    <w:rsid w:val="0085002F"/>
    <w:rPr>
      <w:rFonts w:ascii="Times New Roman" w:eastAsia="Times New Roman" w:hAnsi="Times New Roman" w:cs="Times New Roman"/>
      <w:kern w:val="2"/>
      <w:sz w:val="21"/>
      <w:szCs w:val="21"/>
      <w:lang w:val="en-US" w:eastAsia="zh-CN"/>
    </w:rPr>
  </w:style>
  <w:style w:type="paragraph" w:styleId="a7">
    <w:name w:val="annotation subject"/>
    <w:basedOn w:val="a5"/>
    <w:next w:val="a5"/>
    <w:link w:val="a8"/>
    <w:uiPriority w:val="99"/>
    <w:semiHidden/>
    <w:unhideWhenUsed/>
    <w:rsid w:val="0085002F"/>
    <w:rPr>
      <w:b/>
      <w:bCs/>
    </w:rPr>
  </w:style>
  <w:style w:type="character" w:customStyle="1" w:styleId="a8">
    <w:name w:val="批注主题 字符"/>
    <w:basedOn w:val="a6"/>
    <w:link w:val="a7"/>
    <w:uiPriority w:val="99"/>
    <w:semiHidden/>
    <w:rsid w:val="0085002F"/>
    <w:rPr>
      <w:rFonts w:ascii="Times New Roman" w:eastAsia="Times New Roman" w:hAnsi="Times New Roman" w:cs="Times New Roman"/>
      <w:b/>
      <w:bCs/>
      <w:kern w:val="2"/>
      <w:sz w:val="21"/>
      <w:szCs w:val="21"/>
      <w:lang w:val="en-US" w:eastAsia="zh-CN"/>
    </w:rPr>
  </w:style>
  <w:style w:type="paragraph" w:styleId="a9">
    <w:name w:val="Balloon Text"/>
    <w:basedOn w:val="a"/>
    <w:link w:val="aa"/>
    <w:uiPriority w:val="99"/>
    <w:semiHidden/>
    <w:unhideWhenUsed/>
    <w:rsid w:val="0085002F"/>
    <w:rPr>
      <w:sz w:val="18"/>
      <w:szCs w:val="18"/>
    </w:rPr>
  </w:style>
  <w:style w:type="character" w:customStyle="1" w:styleId="aa">
    <w:name w:val="批注框文本 字符"/>
    <w:basedOn w:val="a0"/>
    <w:link w:val="a9"/>
    <w:uiPriority w:val="99"/>
    <w:semiHidden/>
    <w:rsid w:val="0085002F"/>
    <w:rPr>
      <w:rFonts w:ascii="Times New Roman" w:eastAsia="Times New Roman" w:hAnsi="Times New Roman" w:cs="Times New Roman"/>
      <w:kern w:val="2"/>
      <w:sz w:val="18"/>
      <w:szCs w:val="1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406</Words>
  <Characters>2883</Characters>
  <Application>Microsoft Office Word</Application>
  <DocSecurity>0</DocSecurity>
  <Lines>24</Lines>
  <Paragraphs>6</Paragraphs>
  <ScaleCrop>false</ScaleCrop>
  <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Lily- FBL Office</cp:lastModifiedBy>
  <cp:revision>4</cp:revision>
  <dcterms:created xsi:type="dcterms:W3CDTF">2024-11-25T01:27:00Z</dcterms:created>
  <dcterms:modified xsi:type="dcterms:W3CDTF">2024-12-05T02:16:00Z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id="tmC9itCX"/&gt;&lt;style id="http://www.zotero.org/styles/experimental-and-clinical-endocrinology-and-diabetes" hasBibliography="1" bibliographyStyleHasBeenSet="0"/&gt;&lt;prefs&gt;&lt;pref name="fieldType" value="</vt:lpwstr>
  </property>
  <property fmtid="{D5CDD505-2E9C-101B-9397-08002B2CF9AE}" pid="3" name="ZOTERO_PREF_2">
    <vt:lpwstr>Field"/&gt;&lt;/prefs&gt;&lt;/data&gt;</vt:lpwstr>
  </property>
  <property fmtid="{D5CDD505-2E9C-101B-9397-08002B2CF9AE}" pid="4" name="GrammarlyDocumentId">
    <vt:lpwstr>e9c31359199071a6a3ec4afbea6844fd9d5309517116fc000a000784bc99e981</vt:lpwstr>
  </property>
</Properties>
</file>