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586" w:rsidRDefault="00BC5586">
      <w:pPr>
        <w:rPr>
          <w:rFonts w:ascii="Times New Roman" w:hAnsi="Times New Roman"/>
          <w:b/>
          <w:sz w:val="21"/>
          <w:szCs w:val="21"/>
        </w:rPr>
      </w:pPr>
      <w:r w:rsidRPr="00335FFD">
        <w:rPr>
          <w:rFonts w:ascii="Times New Roman" w:eastAsia="Malgun Gothic" w:hAnsi="Times New Roman" w:cs="Times New Roman"/>
          <w:b/>
          <w:sz w:val="28"/>
          <w:szCs w:val="28"/>
          <w:u w:val="single"/>
        </w:rPr>
        <w:t>SUPPLEMENTAL MATERIAL</w:t>
      </w:r>
      <w:r>
        <w:rPr>
          <w:rFonts w:ascii="Times New Roman" w:eastAsia="Malgun Gothic" w:hAnsi="Times New Roman" w:cs="Times New Roman"/>
          <w:b/>
          <w:sz w:val="28"/>
          <w:szCs w:val="28"/>
          <w:u w:val="single"/>
        </w:rPr>
        <w:t xml:space="preserve"> </w:t>
      </w:r>
    </w:p>
    <w:p w:rsidR="00BC5586" w:rsidRDefault="00BC5586">
      <w:pPr>
        <w:rPr>
          <w:rFonts w:ascii="Times New Roman" w:hAnsi="Times New Roman"/>
          <w:b/>
          <w:sz w:val="21"/>
          <w:szCs w:val="21"/>
        </w:rPr>
      </w:pPr>
    </w:p>
    <w:p w:rsidR="00BC5586" w:rsidRPr="00676AA7" w:rsidRDefault="00BC5586" w:rsidP="00BC5586">
      <w:pPr>
        <w:spacing w:line="288" w:lineRule="auto"/>
        <w:rPr>
          <w:rFonts w:ascii="Times New Roman" w:hAnsi="Times New Roman" w:cs="Times New Roman"/>
          <w:b/>
          <w:sz w:val="21"/>
          <w:szCs w:val="21"/>
        </w:rPr>
      </w:pPr>
      <w:r w:rsidRPr="00676AA7">
        <w:rPr>
          <w:rFonts w:ascii="Times New Roman" w:hAnsi="Times New Roman" w:cs="Times New Roman" w:hint="eastAsia"/>
          <w:b/>
          <w:sz w:val="21"/>
          <w:szCs w:val="21"/>
        </w:rPr>
        <w:t xml:space="preserve">Title: </w:t>
      </w:r>
      <w:r w:rsidRPr="00676AA7">
        <w:rPr>
          <w:rFonts w:ascii="Times New Roman" w:hAnsi="Times New Roman" w:cs="Times New Roman"/>
          <w:b/>
          <w:sz w:val="21"/>
          <w:szCs w:val="21"/>
        </w:rPr>
        <w:t>R</w:t>
      </w:r>
      <w:r w:rsidRPr="00676AA7">
        <w:rPr>
          <w:rFonts w:ascii="Times New Roman" w:hAnsi="Times New Roman" w:cs="Times New Roman" w:hint="eastAsia"/>
          <w:b/>
          <w:sz w:val="21"/>
          <w:szCs w:val="21"/>
        </w:rPr>
        <w:t>elationship between the consc</w:t>
      </w:r>
      <w:r w:rsidRPr="00676AA7">
        <w:rPr>
          <w:rFonts w:ascii="Times New Roman" w:hAnsi="Times New Roman" w:cs="Times New Roman"/>
          <w:b/>
          <w:sz w:val="21"/>
          <w:szCs w:val="21"/>
        </w:rPr>
        <w:t>iousness</w:t>
      </w:r>
      <w:r w:rsidRPr="00676AA7">
        <w:rPr>
          <w:rFonts w:ascii="Times New Roman" w:hAnsi="Times New Roman" w:cs="Times New Roman" w:hint="eastAsia"/>
          <w:b/>
          <w:sz w:val="21"/>
          <w:szCs w:val="21"/>
        </w:rPr>
        <w:t xml:space="preserve"> state</w:t>
      </w:r>
      <w:r w:rsidRPr="00676AA7">
        <w:rPr>
          <w:rFonts w:ascii="Times New Roman" w:hAnsi="Times New Roman" w:cs="Times New Roman"/>
          <w:b/>
          <w:sz w:val="21"/>
          <w:szCs w:val="21"/>
        </w:rPr>
        <w:t xml:space="preserve"> and the default mode network in traumatic brain injury</w:t>
      </w:r>
    </w:p>
    <w:p w:rsidR="00BC5586" w:rsidRDefault="00BC5586">
      <w:pPr>
        <w:rPr>
          <w:rFonts w:ascii="Times New Roman" w:hAnsi="Times New Roman"/>
          <w:b/>
          <w:sz w:val="21"/>
          <w:szCs w:val="21"/>
        </w:rPr>
      </w:pPr>
    </w:p>
    <w:p w:rsidR="00BC5586" w:rsidRDefault="00BC5586">
      <w:pPr>
        <w:rPr>
          <w:rFonts w:ascii="Times New Roman" w:hAnsi="Times New Roman"/>
          <w:b/>
          <w:sz w:val="21"/>
          <w:szCs w:val="21"/>
        </w:rPr>
      </w:pPr>
    </w:p>
    <w:tbl>
      <w:tblPr>
        <w:tblStyle w:val="a3"/>
        <w:tblpPr w:leftFromText="142" w:rightFromText="142" w:vertAnchor="page" w:horzAnchor="margin" w:tblpY="4974"/>
        <w:tblW w:w="9256" w:type="dxa"/>
        <w:tblBorders>
          <w:top w:val="double" w:sz="4" w:space="0" w:color="auto"/>
          <w:bottom w:val="doub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611"/>
        <w:gridCol w:w="620"/>
        <w:gridCol w:w="1456"/>
        <w:gridCol w:w="1346"/>
        <w:gridCol w:w="1347"/>
        <w:gridCol w:w="284"/>
        <w:gridCol w:w="1408"/>
        <w:gridCol w:w="1408"/>
        <w:gridCol w:w="236"/>
      </w:tblGrid>
      <w:tr w:rsidR="00BC5586" w:rsidRPr="006C5926" w:rsidTr="00BC5586">
        <w:trPr>
          <w:trHeight w:val="301"/>
        </w:trPr>
        <w:tc>
          <w:tcPr>
            <w:tcW w:w="54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No.</w:t>
            </w:r>
          </w:p>
        </w:tc>
        <w:tc>
          <w:tcPr>
            <w:tcW w:w="611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sex</w:t>
            </w:r>
          </w:p>
        </w:tc>
        <w:tc>
          <w:tcPr>
            <w:tcW w:w="62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1456" w:type="dxa"/>
            <w:vMerge w:val="restar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CRS-R score</w:t>
            </w:r>
          </w:p>
        </w:tc>
        <w:tc>
          <w:tcPr>
            <w:tcW w:w="2693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C5926">
              <w:rPr>
                <w:rFonts w:ascii="Times New Roman" w:hAnsi="Times New Roman" w:cs="Times New Roman"/>
                <w:sz w:val="22"/>
              </w:rPr>
              <w:t>mPFC-PCun</w:t>
            </w:r>
            <w:proofErr w:type="spellEnd"/>
          </w:p>
        </w:tc>
        <w:tc>
          <w:tcPr>
            <w:tcW w:w="28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16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C5926">
              <w:rPr>
                <w:rFonts w:ascii="Times New Roman" w:hAnsi="Times New Roman" w:cs="Times New Roman"/>
                <w:sz w:val="22"/>
              </w:rPr>
              <w:t>mPFC</w:t>
            </w:r>
            <w:proofErr w:type="spellEnd"/>
            <w:r w:rsidRPr="006C5926">
              <w:rPr>
                <w:rFonts w:ascii="Times New Roman" w:hAnsi="Times New Roman" w:cs="Times New Roman"/>
                <w:sz w:val="22"/>
              </w:rPr>
              <w:t>-PCC</w:t>
            </w:r>
          </w:p>
        </w:tc>
        <w:tc>
          <w:tcPr>
            <w:tcW w:w="236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68"/>
        </w:trPr>
        <w:tc>
          <w:tcPr>
            <w:tcW w:w="5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FA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TV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FA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TV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46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0.30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471.00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0.29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115.50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0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0.28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823.50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633.50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751.50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21.50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70.00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0.28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24.50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0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829.50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0.45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425.50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43.50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0.29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178.00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0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998.50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663.50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68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1017.00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968.50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341.00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211.00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0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1112.50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1135.50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159.50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189.50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668.50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181.00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0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1316.00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49.00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48.00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29.50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0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147.00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0.28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297.00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51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0.40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1080.50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0.42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440.00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932.50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0.34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278.50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0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0.24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31.50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29.00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276.00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267.50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102.00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0.13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79.50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0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1133.00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401.00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4134.50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248.00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01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52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245.00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0.25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78.50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619.00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239.00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C5586" w:rsidRPr="006C5926" w:rsidTr="00BC5586">
        <w:trPr>
          <w:trHeight w:val="317"/>
        </w:trPr>
        <w:tc>
          <w:tcPr>
            <w:tcW w:w="54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611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74</w:t>
            </w:r>
          </w:p>
        </w:tc>
        <w:tc>
          <w:tcPr>
            <w:tcW w:w="1456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346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0.13</w:t>
            </w:r>
          </w:p>
        </w:tc>
        <w:tc>
          <w:tcPr>
            <w:tcW w:w="1347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189.50</w:t>
            </w:r>
          </w:p>
        </w:tc>
        <w:tc>
          <w:tcPr>
            <w:tcW w:w="284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0.33</w:t>
            </w:r>
          </w:p>
        </w:tc>
        <w:tc>
          <w:tcPr>
            <w:tcW w:w="140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C5926">
              <w:rPr>
                <w:rFonts w:ascii="Times New Roman" w:hAnsi="Times New Roman" w:cs="Times New Roman"/>
                <w:sz w:val="22"/>
              </w:rPr>
              <w:t>391.00</w:t>
            </w:r>
          </w:p>
        </w:tc>
        <w:tc>
          <w:tcPr>
            <w:tcW w:w="23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BC5586" w:rsidRPr="006C5926" w:rsidRDefault="00BC5586" w:rsidP="00BC558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9E3C2E" w:rsidRDefault="00B46DFE">
      <w:pPr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Supplementary </w:t>
      </w:r>
      <w:bookmarkStart w:id="0" w:name="_GoBack"/>
      <w:bookmarkEnd w:id="0"/>
      <w:r w:rsidR="00BC5586" w:rsidRPr="00676AA7">
        <w:rPr>
          <w:rFonts w:ascii="Times New Roman" w:hAnsi="Times New Roman"/>
          <w:b/>
          <w:sz w:val="21"/>
          <w:szCs w:val="21"/>
        </w:rPr>
        <w:t xml:space="preserve">Table </w:t>
      </w:r>
      <w:r w:rsidR="00BC5586" w:rsidRPr="00676AA7">
        <w:rPr>
          <w:rFonts w:ascii="Times New Roman" w:hAnsi="Times New Roman" w:hint="eastAsia"/>
          <w:b/>
          <w:sz w:val="21"/>
          <w:szCs w:val="21"/>
        </w:rPr>
        <w:t>1</w:t>
      </w:r>
      <w:r w:rsidR="00BC5586">
        <w:rPr>
          <w:rFonts w:ascii="Times New Roman" w:hAnsi="Times New Roman" w:hint="eastAsia"/>
          <w:b/>
          <w:sz w:val="21"/>
          <w:szCs w:val="21"/>
        </w:rPr>
        <w:t xml:space="preserve"> </w:t>
      </w:r>
      <w:r w:rsidR="00BC5586" w:rsidRPr="00BC5586">
        <w:rPr>
          <w:rFonts w:ascii="Times New Roman" w:hAnsi="Times New Roman"/>
          <w:sz w:val="21"/>
          <w:szCs w:val="21"/>
        </w:rPr>
        <w:t>clinical characteristics and distributions of DTT parameters of the patients</w:t>
      </w:r>
    </w:p>
    <w:p w:rsidR="00BC5586" w:rsidRPr="00676AA7" w:rsidRDefault="00BC5586" w:rsidP="00BC5586">
      <w:pPr>
        <w:spacing w:after="0" w:line="288" w:lineRule="auto"/>
        <w:rPr>
          <w:rFonts w:ascii="Times New Roman" w:eastAsia="Malgun Gothic" w:hAnsi="Times New Roman" w:cs="Times New Roman"/>
          <w:color w:val="000000" w:themeColor="text1"/>
          <w:sz w:val="21"/>
          <w:szCs w:val="21"/>
        </w:rPr>
      </w:pPr>
      <w:r w:rsidRPr="00676AA7">
        <w:rPr>
          <w:rFonts w:ascii="Times New Roman" w:eastAsia="Malgun Gothic" w:hAnsi="Times New Roman" w:cs="Times New Roman"/>
          <w:color w:val="000000" w:themeColor="text1"/>
          <w:sz w:val="21"/>
          <w:szCs w:val="21"/>
        </w:rPr>
        <w:t xml:space="preserve">CRS-R: Coma Recovery Scale-Revised, </w:t>
      </w:r>
      <w:proofErr w:type="spellStart"/>
      <w:r w:rsidRPr="00676AA7">
        <w:rPr>
          <w:rFonts w:ascii="Times New Roman" w:eastAsia="Malgun Gothic" w:hAnsi="Times New Roman" w:cs="Times New Roman"/>
          <w:color w:val="000000" w:themeColor="text1"/>
          <w:sz w:val="21"/>
          <w:szCs w:val="21"/>
        </w:rPr>
        <w:t>mPFC</w:t>
      </w:r>
      <w:proofErr w:type="spellEnd"/>
      <w:r w:rsidRPr="00676AA7">
        <w:rPr>
          <w:rFonts w:ascii="Times New Roman" w:eastAsia="Malgun Gothic" w:hAnsi="Times New Roman" w:cs="Times New Roman"/>
          <w:color w:val="000000" w:themeColor="text1"/>
          <w:sz w:val="21"/>
          <w:szCs w:val="21"/>
        </w:rPr>
        <w:t xml:space="preserve">: medial prefrontal cortex, </w:t>
      </w:r>
      <w:proofErr w:type="spellStart"/>
      <w:r w:rsidRPr="00676AA7">
        <w:rPr>
          <w:rFonts w:ascii="Times New Roman" w:eastAsia="Malgun Gothic" w:hAnsi="Times New Roman" w:cs="Times New Roman"/>
          <w:color w:val="000000" w:themeColor="text1"/>
          <w:sz w:val="21"/>
          <w:szCs w:val="21"/>
        </w:rPr>
        <w:t>PCun</w:t>
      </w:r>
      <w:proofErr w:type="spellEnd"/>
      <w:r w:rsidRPr="00676AA7">
        <w:rPr>
          <w:rFonts w:ascii="Times New Roman" w:eastAsia="Malgun Gothic" w:hAnsi="Times New Roman" w:cs="Times New Roman"/>
          <w:color w:val="000000" w:themeColor="text1"/>
          <w:sz w:val="21"/>
          <w:szCs w:val="21"/>
        </w:rPr>
        <w:t xml:space="preserve">: </w:t>
      </w:r>
      <w:proofErr w:type="spellStart"/>
      <w:r w:rsidRPr="00676AA7">
        <w:rPr>
          <w:rFonts w:ascii="Times New Roman" w:eastAsia="Malgun Gothic" w:hAnsi="Times New Roman" w:cs="Times New Roman"/>
          <w:color w:val="000000" w:themeColor="text1"/>
          <w:sz w:val="21"/>
          <w:szCs w:val="21"/>
        </w:rPr>
        <w:t>precuneus</w:t>
      </w:r>
      <w:proofErr w:type="spellEnd"/>
      <w:r w:rsidRPr="00676AA7">
        <w:rPr>
          <w:rFonts w:ascii="Times New Roman" w:eastAsia="Malgun Gothic" w:hAnsi="Times New Roman" w:cs="Times New Roman"/>
          <w:color w:val="000000" w:themeColor="text1"/>
          <w:sz w:val="21"/>
          <w:szCs w:val="21"/>
        </w:rPr>
        <w:t>, PCC: posterior cingulate cortex, FA: fractional anisotropy, TV: tract volume.</w:t>
      </w:r>
    </w:p>
    <w:p w:rsidR="00BC5586" w:rsidRPr="00BC5586" w:rsidRDefault="00BC5586">
      <w:pPr>
        <w:rPr>
          <w:rFonts w:ascii="Times New Roman" w:hAnsi="Times New Roman"/>
          <w:sz w:val="21"/>
          <w:szCs w:val="21"/>
        </w:rPr>
      </w:pPr>
    </w:p>
    <w:sectPr w:rsidR="00BC5586" w:rsidRPr="00BC558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586"/>
    <w:rsid w:val="009E3C2E"/>
    <w:rsid w:val="00B46DFE"/>
    <w:rsid w:val="00BC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88CCF"/>
  <w15:docId w15:val="{3CA15B51-530E-40D0-BBA2-3B48BC9EA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5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Akira</cp:lastModifiedBy>
  <cp:revision>2</cp:revision>
  <dcterms:created xsi:type="dcterms:W3CDTF">2022-10-26T17:36:00Z</dcterms:created>
  <dcterms:modified xsi:type="dcterms:W3CDTF">2022-11-11T06:07:00Z</dcterms:modified>
</cp:coreProperties>
</file>