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imes New Roman" w:hAnsi="Times New Roman" w:cs="Times New Roman"/>
          <w:b/>
          <w:color w:val="auto"/>
          <w:lang w:val="en-US" w:eastAsia="zh-CN"/>
        </w:rPr>
      </w:pPr>
      <w:r>
        <w:rPr>
          <w:rFonts w:hint="default" w:ascii="Times New Roman" w:hAnsi="Times New Roman" w:cs="Times New Roman"/>
          <w:b/>
          <w:color w:val="auto"/>
        </w:rPr>
        <w:t>Supplementary Material</w:t>
      </w:r>
      <w:r>
        <w:rPr>
          <w:rFonts w:hint="eastAsia" w:ascii="Times New Roman" w:hAnsi="Times New Roman" w:cs="Times New Roman"/>
          <w:b/>
          <w:color w:val="auto"/>
          <w:lang w:val="en-US" w:eastAsia="zh-CN"/>
        </w:rPr>
        <w:t xml:space="preserve"> </w:t>
      </w:r>
    </w:p>
    <w:p>
      <w:pPr>
        <w:jc w:val="both"/>
        <w:rPr>
          <w:rFonts w:hint="default" w:ascii="Times New Roman" w:hAnsi="Times New Roman" w:cs="Times New Roman"/>
          <w:b/>
          <w:color w:val="auto"/>
          <w:lang w:val="en-US" w:eastAsia="zh-CN"/>
        </w:rPr>
      </w:pPr>
    </w:p>
    <w:p>
      <w:pPr>
        <w:spacing w:line="360" w:lineRule="auto"/>
        <w:jc w:val="both"/>
        <w:rPr>
          <w:rFonts w:hint="default" w:ascii="Times New Roman" w:hAnsi="Times New Roman" w:cs="Times New Roman"/>
          <w:b/>
          <w:bCs/>
          <w:color w:val="auto"/>
        </w:rPr>
      </w:pPr>
      <w:r>
        <w:rPr>
          <w:rFonts w:hint="default" w:ascii="Times New Roman" w:hAnsi="Times New Roman" w:cs="Times New Roman"/>
          <w:b/>
          <w:bCs/>
          <w:color w:val="auto"/>
        </w:rPr>
        <w:t>Overnight abstinence, ventrostriatal-insular connectivity, and tridimensional personality traits in cigarette smokers</w:t>
      </w:r>
    </w:p>
    <w:p>
      <w:pPr>
        <w:spacing w:line="360" w:lineRule="auto"/>
        <w:jc w:val="both"/>
        <w:rPr>
          <w:rFonts w:hint="default" w:ascii="Times New Roman" w:hAnsi="Times New Roman" w:cs="Times New Roman"/>
          <w:color w:val="auto"/>
        </w:rPr>
      </w:pPr>
    </w:p>
    <w:p>
      <w:pPr>
        <w:spacing w:line="360" w:lineRule="auto"/>
        <w:jc w:val="both"/>
        <w:rPr>
          <w:rFonts w:hint="default" w:ascii="Times New Roman" w:hAnsi="Times New Roman" w:cs="Times New Roman"/>
          <w:b/>
          <w:bCs/>
          <w:color w:val="auto"/>
        </w:rPr>
      </w:pPr>
      <w:bookmarkStart w:id="0" w:name="OLE_LINK1"/>
      <w:r>
        <w:rPr>
          <w:rFonts w:hint="default" w:ascii="Times New Roman" w:hAnsi="Times New Roman" w:cs="Times New Roman"/>
          <w:b/>
          <w:bCs/>
          <w:color w:val="auto"/>
        </w:rPr>
        <w:t>Methods</w:t>
      </w:r>
      <w:bookmarkEnd w:id="0"/>
      <w:bookmarkStart w:id="2" w:name="_GoBack"/>
      <w:bookmarkEnd w:id="2"/>
    </w:p>
    <w:p>
      <w:pPr>
        <w:spacing w:line="360" w:lineRule="auto"/>
        <w:jc w:val="both"/>
        <w:rPr>
          <w:rFonts w:hint="default" w:ascii="Times New Roman" w:hAnsi="Times New Roman" w:cs="Times New Roman"/>
          <w:b/>
          <w:bCs/>
          <w:i/>
          <w:iCs/>
          <w:color w:val="auto"/>
        </w:rPr>
      </w:pPr>
      <w:r>
        <w:rPr>
          <w:rFonts w:hint="default" w:ascii="Times New Roman" w:hAnsi="Times New Roman" w:cs="Times New Roman"/>
          <w:i/>
          <w:color w:val="auto"/>
        </w:rPr>
        <w:t>Subjects</w:t>
      </w:r>
      <w:r>
        <w:rPr>
          <w:rFonts w:hint="default" w:ascii="Times New Roman" w:hAnsi="Times New Roman" w:cs="Times New Roman"/>
          <w:i/>
          <w:iCs/>
          <w:color w:val="auto"/>
        </w:rPr>
        <w:t>, informed consent, and assessment</w:t>
      </w:r>
    </w:p>
    <w:p>
      <w:pPr>
        <w:spacing w:line="360" w:lineRule="auto"/>
        <w:ind w:firstLine="720"/>
        <w:jc w:val="both"/>
        <w:rPr>
          <w:rFonts w:hint="default" w:ascii="Times New Roman" w:hAnsi="Times New Roman" w:cs="Times New Roman"/>
          <w:bCs/>
          <w:color w:val="auto"/>
        </w:rPr>
      </w:pPr>
      <w:r>
        <w:rPr>
          <w:rFonts w:hint="default" w:ascii="Times New Roman" w:hAnsi="Times New Roman" w:cs="Times New Roman"/>
          <w:bCs/>
          <w:color w:val="auto"/>
        </w:rPr>
        <w:t>Thirty-nine regular smokers (age 24-55 years) participated in the current study. All subjects completed a brief pre-screening survey over phone and met eligibility criteria, including smoking at least 5 cigarettes daily for at least 2 years. Exclusion criteria included a history of or current major medical condition, head injury or brain concussion that resulted in loss of consciousness, history of or current Axis I psychiatric diagnosis including substance (except nicotine) use disorder according to DSM-IV, and current using of any psychotropic medications. We excluded 11 participants from analysis due to incomplete scan (n = 5), no resting state fMRI data (n = 2), smoking in the abstinence session (n = 2), or excessive head motion during MR imaging (n = 2).</w:t>
      </w:r>
    </w:p>
    <w:p>
      <w:pPr>
        <w:spacing w:line="360" w:lineRule="auto"/>
        <w:ind w:firstLine="720"/>
        <w:jc w:val="both"/>
        <w:rPr>
          <w:rFonts w:hint="default" w:ascii="Times New Roman" w:hAnsi="Times New Roman" w:cs="Times New Roman"/>
          <w:bCs/>
          <w:color w:val="auto"/>
        </w:rPr>
      </w:pPr>
      <w:r>
        <w:rPr>
          <w:rFonts w:hint="default" w:ascii="Times New Roman" w:hAnsi="Times New Roman" w:cs="Times New Roman"/>
          <w:bCs/>
          <w:color w:val="auto"/>
        </w:rPr>
        <w:t xml:space="preserve">Participants completed two fMRI sessions, 1-2 weeks apart, each when they were sated with smoking and when they were overnight abstinent from smoking, with the order counter-balanced across subjects. Exhaled breath carbon monoxide (CO) level was verified using a Bedfont Micro+® breath CO monitor with abstinence defined by a CO &lt; 10 ppm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&lt;EndNote&gt;&lt;Cite&gt;&lt;Author&gt;Ernst&lt;/Author&gt;&lt;Year&gt;2001&lt;/Year&gt;&lt;RecNum&gt;995&lt;/RecNum&gt;&lt;DisplayText&gt;[1]&lt;/DisplayText&gt;&lt;record&gt;&lt;rec-number&gt;995&lt;/rec-number&gt;&lt;foreign-keys&gt;&lt;key app="EN" db-id="tfvpzv99k5dap3erxp8xt2xws5vxwxxtxvzz" timestamp="1640047589"&gt;995&lt;/key&gt;&lt;/foreign-keys&gt;&lt;ref-type name="Journal Article"&gt;17&lt;/ref-type&gt;&lt;contributors&gt;&lt;authors&gt;&lt;author&gt;Ernst, M.&lt;/author&gt;&lt;author&gt;Matochik, J. A.&lt;/author&gt;&lt;author&gt;Heishman, S. J.&lt;/author&gt;&lt;author&gt;Van Horn, J. D.&lt;/author&gt;&lt;author&gt;Jons, P. H.&lt;/author&gt;&lt;author&gt;Henningfield, J. E.&lt;/author&gt;&lt;author&gt;London, E. D.&lt;/author&gt;&lt;/authors&gt;&lt;/contributors&gt;&lt;auth-address&gt;Brain Imaging Center and Clinical Pharmacology and Therapeutics Branch, National Institute on Drug Abuse, Baltimore, MD 21224, USA. mernst@intra.nida.nih.gov&lt;/auth-address&gt;&lt;titles&gt;&lt;title&gt;Effect of nicotine on brain activation during performance of a working memory task&lt;/title&gt;&lt;secondary-title&gt;Proc Natl Acad Sci U S A&lt;/secondary-title&gt;&lt;/titles&gt;&lt;periodical&gt;&lt;full-title&gt;Proc Natl Acad Sci U S A&lt;/full-title&gt;&lt;/periodical&gt;&lt;pages&gt;4728-33&lt;/pages&gt;&lt;volume&gt;98&lt;/volume&gt;&lt;number&gt;8&lt;/number&gt;&lt;edition&gt;2001/03/29&lt;/edition&gt;&lt;keywords&gt;&lt;keyword&gt;Adult&lt;/keyword&gt;&lt;keyword&gt;Brain/blood supply/diagnostic imaging/*drug effects/physiology&lt;/keyword&gt;&lt;keyword&gt;Cognition&lt;/keyword&gt;&lt;keyword&gt;Female&lt;/keyword&gt;&lt;keyword&gt;Humans&lt;/keyword&gt;&lt;keyword&gt;Male&lt;/keyword&gt;&lt;keyword&gt;Memory/*drug effects&lt;/keyword&gt;&lt;keyword&gt;Middle Aged&lt;/keyword&gt;&lt;keyword&gt;Nicotine/*pharmacology&lt;/keyword&gt;&lt;keyword&gt;Placebos&lt;/keyword&gt;&lt;keyword&gt;Tomography, Emission-Computed&lt;/keyword&gt;&lt;/keywords&gt;&lt;dates&gt;&lt;year&gt;2001&lt;/year&gt;&lt;pub-dates&gt;&lt;date&gt;Apr 10&lt;/date&gt;&lt;/pub-dates&gt;&lt;/dates&gt;&lt;isbn&gt;0027-8424 (Print)&amp;#xD;0027-8424 (Linking)&lt;/isbn&gt;&lt;accession-num&gt;11274349&lt;/accession-num&gt;&lt;urls&gt;&lt;related-urls&gt;&lt;url&gt;https://www.ncbi.nlm.nih.gov/pubmed/11274349&lt;/url&gt;&lt;/related-urls&gt;&lt;/urls&gt;&lt;custom2&gt;PMC31902&lt;/custom2&gt;&lt;electronic-resource-num&gt;10.1073/pnas.061369098&lt;/electronic-resource-num&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[1]</w:t>
      </w:r>
      <w:r>
        <w:rPr>
          <w:rFonts w:hint="default" w:ascii="Times New Roman" w:hAnsi="Times New Roman" w:cs="Times New Roman"/>
          <w:bCs/>
          <w:color w:val="auto"/>
        </w:rPr>
        <w:fldChar w:fldCharType="end"/>
      </w:r>
      <w:r>
        <w:rPr>
          <w:rFonts w:hint="default" w:ascii="Times New Roman" w:hAnsi="Times New Roman" w:cs="Times New Roman"/>
          <w:bCs/>
          <w:color w:val="auto"/>
        </w:rPr>
        <w:t xml:space="preserve">. For the satiety session, participants were not required to remain abstinent prior to the scan. Prior to each scan participants also received urine toxicology tests for illicit substances and to quantify the levels of cotinine. The NicAlert™ test strip has seven numbered zones (0-6); level 0 (0-10 ng/mL), level 1 (10-30), level 2 (30-100), level 3 (100-200), level 4 (200-500), level 5 (500-1000), and level 6 (&gt;1000). The result was identified by locating the lowest level where a red band appeared. A reading of 3 or greater was considered positive, with a cotinine concentration &gt; 100 ng/mL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&lt;EndNote&gt;&lt;Cite&gt;&lt;Author&gt;Gruzdys&lt;/Author&gt;&lt;Year&gt;2020&lt;/Year&gt;&lt;RecNum&gt;1040&lt;/RecNum&gt;&lt;DisplayText&gt;[2]&lt;/DisplayText&gt;&lt;record&gt;&lt;rec-number&gt;1040&lt;/rec-number&gt;&lt;foreign-keys&gt;&lt;key app="EN" db-id="tfvpzv99k5dap3erxp8xt2xws5vxwxxtxvzz" timestamp="1640717129"&gt;1040&lt;/key&gt;&lt;/foreign-keys&gt;&lt;ref-type name="Journal Article"&gt;17&lt;/ref-type&gt;&lt;contributors&gt;&lt;authors&gt;&lt;author&gt;Gruzdys, Valentinas&lt;/author&gt;&lt;author&gt;Signorelli, Heather&lt;/author&gt;&lt;author&gt;Johnson-Davis, Kamisha L&lt;/author&gt;&lt;/authors&gt;&lt;/contributors&gt;&lt;titles&gt;&lt;title&gt;NicAlert™ test strip performance comparison with LC-MS/MS and immunoassay methods for nicotine and cotinine&lt;/title&gt;&lt;secondary-title&gt;Archives of Clinical Toxicology&lt;/secondary-title&gt;&lt;/titles&gt;&lt;periodical&gt;&lt;full-title&gt;Archives of Clinical Toxicology&lt;/full-title&gt;&lt;/periodical&gt;&lt;pages&gt;19-24&lt;/pages&gt;&lt;volume&gt;2&lt;/volume&gt;&lt;number&gt;2&lt;/number&gt;&lt;dates&gt;&lt;year&gt;2020&lt;/year&gt;&lt;/dates&gt;&lt;urls&gt;&lt;/urls&gt;&lt;/record&gt;&lt;/Cite&gt;&lt;/EndNote&gt;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[2]</w:t>
      </w:r>
      <w:r>
        <w:rPr>
          <w:rFonts w:hint="default" w:ascii="Times New Roman" w:hAnsi="Times New Roman" w:cs="Times New Roman"/>
          <w:bCs/>
          <w:color w:val="auto"/>
        </w:rPr>
        <w:fldChar w:fldCharType="end"/>
      </w:r>
      <w:r>
        <w:rPr>
          <w:rFonts w:hint="default" w:ascii="Times New Roman" w:hAnsi="Times New Roman" w:cs="Times New Roman"/>
          <w:bCs/>
          <w:color w:val="auto"/>
        </w:rPr>
        <w:t>.</w:t>
      </w:r>
    </w:p>
    <w:p>
      <w:pPr>
        <w:spacing w:line="360" w:lineRule="auto"/>
        <w:ind w:firstLine="720"/>
        <w:jc w:val="both"/>
        <w:rPr>
          <w:rFonts w:hint="default" w:ascii="Times New Roman" w:hAnsi="Times New Roman" w:cs="Times New Roman"/>
          <w:bCs/>
          <w:color w:val="auto"/>
        </w:rPr>
      </w:pPr>
      <w:r>
        <w:rPr>
          <w:rFonts w:hint="default" w:ascii="Times New Roman" w:hAnsi="Times New Roman" w:cs="Times New Roman"/>
          <w:bCs/>
          <w:color w:val="auto"/>
        </w:rPr>
        <w:t xml:space="preserve">Participants were assessed for nicotine use metrics and other clinical characteristics before the first MR scan, including daily consumption of cigarettes, years of smoking, and nicotine addiction severity using the Fagerström Test for Nicotine Dependence (FTND; range 0-10), with a higher score indicating more severe dependence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&lt;EndNote&gt;&lt;Cite&gt;&lt;Author&gt;Heatherton&lt;/Author&gt;&lt;Year&gt;1991&lt;/Year&gt;&lt;RecNum&gt;1168&lt;/RecNum&gt;&lt;DisplayText&gt;[3]&lt;/DisplayText&gt;&lt;record&gt;&lt;rec-number&gt;1168&lt;/rec-number&gt;&lt;foreign-keys&gt;&lt;key app="EN" db-id="tfvpzv99k5dap3erxp8xt2xws5vxwxxtxvzz" timestamp="1652809018"&gt;1168&lt;/key&gt;&lt;/foreign-keys&gt;&lt;ref-type name="Journal Article"&gt;17&lt;/ref-type&gt;&lt;contributors&gt;&lt;authors&gt;&lt;author&gt;Heatherton, Todd F&lt;/author&gt;&lt;author&gt;Kozlowski, Lynn T&lt;/author&gt;&lt;author&gt;Frecker, Richard C&lt;/author&gt;&lt;author&gt;Fagerstrom, KarL‐Olov&lt;/author&gt;&lt;/authors&gt;&lt;/contributors&gt;&lt;titles&gt;&lt;title&gt;The Fagerström test for nicotine dependence: a revision of the Fagerstrom Tolerance Questionnaire&lt;/title&gt;&lt;secondary-title&gt;British journal of addiction&lt;/secondary-title&gt;&lt;/titles&gt;&lt;periodical&gt;&lt;full-title&gt;British journal of addiction&lt;/full-title&gt;&lt;/periodical&gt;&lt;pages&gt;1119-1127&lt;/pages&gt;&lt;volume&gt;86&lt;/volume&gt;&lt;number&gt;9&lt;/number&gt;&lt;dates&gt;&lt;year&gt;1991&lt;/year&gt;&lt;/dates&gt;&lt;isbn&gt;0952-0481&lt;/isbn&gt;&lt;urls&gt;&lt;/urls&gt;&lt;electronic-resource-num&gt;10.1111/j.1360-0443.1991.tb01879.x&lt;/electronic-resource-num&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[3]</w:t>
      </w:r>
      <w:r>
        <w:rPr>
          <w:rFonts w:hint="default" w:ascii="Times New Roman" w:hAnsi="Times New Roman" w:cs="Times New Roman"/>
          <w:bCs/>
          <w:color w:val="auto"/>
        </w:rPr>
        <w:fldChar w:fldCharType="end"/>
      </w:r>
      <w:r>
        <w:rPr>
          <w:rFonts w:hint="default" w:ascii="Times New Roman" w:hAnsi="Times New Roman" w:cs="Times New Roman"/>
          <w:bCs/>
          <w:color w:val="auto"/>
        </w:rPr>
        <w:t xml:space="preserve">. Pack years of each participant were calculated by multiplying the number of packs of cigarettes smoked per day by the number of years of smoking to reflect lifetime exposure to tobacco. The Tridimensional Personality Questionnaire (TPQ) was used to assess novelty seeking, harm avoidance, and reward dependence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&lt;EndNote&gt;&lt;Cite&gt;&lt;Author&gt;Cloninger&lt;/Author&gt;&lt;Year&gt;1991&lt;/Year&gt;&lt;RecNum&gt;1053&lt;/RecNum&gt;&lt;DisplayText&gt;[4]&lt;/DisplayText&gt;&lt;record&gt;&lt;rec-number&gt;1053&lt;/rec-number&gt;&lt;foreign-keys&gt;&lt;key app="EN" db-id="tfvpzv99k5dap3erxp8xt2xws5vxwxxtxvzz" timestamp="1641747416"&gt;1053&lt;/key&gt;&lt;/foreign-keys&gt;&lt;ref-type name="Journal Article"&gt;17&lt;/ref-type&gt;&lt;contributors&gt;&lt;authors&gt;&lt;author&gt;Cloninger, C Robert&lt;/author&gt;&lt;author&gt;Przybeck, Thomas R&lt;/author&gt;&lt;author&gt;Svrakic, Dragan M&lt;/author&gt;&lt;/authors&gt;&lt;/contributors&gt;&lt;titles&gt;&lt;title&gt;The tridimensional personality questionnaire: US normative data&lt;/title&gt;&lt;secondary-title&gt;Psychological reports&lt;/secondary-title&gt;&lt;/titles&gt;&lt;periodical&gt;&lt;full-title&gt;Psychological reports&lt;/full-title&gt;&lt;/periodical&gt;&lt;pages&gt;1047-1057&lt;/pages&gt;&lt;volume&gt;69&lt;/volume&gt;&lt;number&gt;3&lt;/number&gt;&lt;dates&gt;&lt;year&gt;1991&lt;/year&gt;&lt;/dates&gt;&lt;isbn&gt;0033-2941&lt;/isbn&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[4]</w:t>
      </w:r>
      <w:r>
        <w:rPr>
          <w:rFonts w:hint="default" w:ascii="Times New Roman" w:hAnsi="Times New Roman" w:cs="Times New Roman"/>
          <w:bCs/>
          <w:color w:val="auto"/>
        </w:rPr>
        <w:fldChar w:fldCharType="end"/>
      </w:r>
      <w:r>
        <w:rPr>
          <w:rFonts w:hint="default" w:ascii="Times New Roman" w:hAnsi="Times New Roman" w:cs="Times New Roman"/>
          <w:bCs/>
          <w:color w:val="auto"/>
        </w:rPr>
        <w:t>.</w:t>
      </w:r>
    </w:p>
    <w:p>
      <w:pPr>
        <w:spacing w:line="360" w:lineRule="auto"/>
        <w:ind w:firstLine="720"/>
        <w:jc w:val="both"/>
        <w:rPr>
          <w:rFonts w:hint="default" w:ascii="Times New Roman" w:hAnsi="Times New Roman" w:cs="Times New Roman"/>
          <w:bCs/>
          <w:color w:val="auto"/>
        </w:rPr>
      </w:pPr>
      <w:r>
        <w:rPr>
          <w:rFonts w:hint="default" w:ascii="Times New Roman" w:hAnsi="Times New Roman" w:cs="Times New Roman"/>
          <w:bCs/>
          <w:color w:val="auto"/>
        </w:rPr>
        <w:t xml:space="preserve">On the days of MRI, abstinence duration (i.e., time since last cigarette, in hours) was recorded. </w:t>
      </w:r>
      <w:bookmarkStart w:id="1" w:name="_Hlk100920320"/>
      <w:r>
        <w:rPr>
          <w:rFonts w:hint="default" w:ascii="Times New Roman" w:hAnsi="Times New Roman" w:cs="Times New Roman"/>
          <w:bCs/>
          <w:color w:val="auto"/>
        </w:rPr>
        <w:t xml:space="preserve">Before each scan, 21 participants (13 women) were assessed for withdrawal symptoms with reference to the past 24 hours using Hughes-Hatsukami Withdrawal Questionnaire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&lt;EndNote&gt;&lt;Cite&gt;&lt;Author&gt;Hughes&lt;/Author&gt;&lt;Year&gt;1986&lt;/Year&gt;&lt;RecNum&gt;1102&lt;/RecNum&gt;&lt;DisplayText&gt;[5]&lt;/DisplayText&gt;&lt;record&gt;&lt;rec-number&gt;1102&lt;/rec-number&gt;&lt;foreign-keys&gt;&lt;key app="EN" db-id="tfvpzv99k5dap3erxp8xt2xws5vxwxxtxvzz" timestamp="1650047531"&gt;1102&lt;/key&gt;&lt;/foreign-keys&gt;&lt;ref-type name="Journal Article"&gt;17&lt;/ref-type&gt;&lt;contributors&gt;&lt;authors&gt;&lt;author&gt;Hughes, John R&lt;/author&gt;&lt;author&gt;Hatsukami, Dorothy&lt;/author&gt;&lt;/authors&gt;&lt;/contributors&gt;&lt;titles&gt;&lt;title&gt;Signs and symptoms of tobacco withdrawal&lt;/title&gt;&lt;secondary-title&gt;Archives of general psychiatry&lt;/secondary-title&gt;&lt;/titles&gt;&lt;periodical&gt;&lt;full-title&gt;Archives of general psychiatry&lt;/full-title&gt;&lt;/periodical&gt;&lt;pages&gt;289-294&lt;/pages&gt;&lt;volume&gt;43&lt;/volume&gt;&lt;number&gt;3&lt;/number&gt;&lt;dates&gt;&lt;year&gt;1986&lt;/year&gt;&lt;/dates&gt;&lt;isbn&gt;0003-990X&lt;/isbn&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[5]</w:t>
      </w:r>
      <w:r>
        <w:rPr>
          <w:rFonts w:hint="default" w:ascii="Times New Roman" w:hAnsi="Times New Roman" w:cs="Times New Roman"/>
          <w:bCs/>
          <w:color w:val="auto"/>
        </w:rPr>
        <w:fldChar w:fldCharType="end"/>
      </w:r>
      <w:r>
        <w:rPr>
          <w:rFonts w:hint="default" w:ascii="Times New Roman" w:hAnsi="Times New Roman" w:cs="Times New Roman"/>
          <w:bCs/>
          <w:color w:val="auto"/>
        </w:rPr>
        <w:t xml:space="preserve">, craving to smoke with a brief, 10-item version of the Questionnaire of Smoking Urges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&lt;EndNote&gt;&lt;Cite&gt;&lt;Author&gt;Cox&lt;/Author&gt;&lt;Year&gt;2001&lt;/Year&gt;&lt;RecNum&gt;1103&lt;/RecNum&gt;&lt;DisplayText&gt;[6]&lt;/DisplayText&gt;&lt;record&gt;&lt;rec-number&gt;1103&lt;/rec-number&gt;&lt;foreign-keys&gt;&lt;key app="EN" db-id="tfvpzv99k5dap3erxp8xt2xws5vxwxxtxvzz" timestamp="1650047618"&gt;1103&lt;/key&gt;&lt;/foreign-keys&gt;&lt;ref-type name="Journal Article"&gt;17&lt;/ref-type&gt;&lt;contributors&gt;&lt;authors&gt;&lt;author&gt;Cox, L. S.&lt;/author&gt;&lt;author&gt;Tiffany, S. T.&lt;/author&gt;&lt;author&gt;Christen, A. G.&lt;/author&gt;&lt;/authors&gt;&lt;/contributors&gt;&lt;auth-address&gt;Nicotine Research Center, Mayo Clinic, Mayo Foundation, Rochester, MN 55905, USA.&lt;/auth-address&gt;&lt;titles&gt;&lt;title&gt;Evaluation of the brief questionnaire of smoking urges (QSU-brief) in laboratory and clinical settings&lt;/title&gt;&lt;secondary-title&gt;Nicotine Tob Res&lt;/secondary-title&gt;&lt;/titles&gt;&lt;periodical&gt;&lt;full-title&gt;Nicotine Tob Res&lt;/full-title&gt;&lt;/periodical&gt;&lt;pages&gt;7-16&lt;/pages&gt;&lt;volume&gt;3&lt;/volume&gt;&lt;number&gt;1&lt;/number&gt;&lt;edition&gt;2001/03/22&lt;/edition&gt;&lt;keywords&gt;&lt;keyword&gt;Adult&lt;/keyword&gt;&lt;keyword&gt;Chronic Disease&lt;/keyword&gt;&lt;keyword&gt;Humans&lt;/keyword&gt;&lt;keyword&gt;Laboratories&lt;/keyword&gt;&lt;keyword&gt;Random Allocation&lt;/keyword&gt;&lt;keyword&gt;Reproducibility of Results&lt;/keyword&gt;&lt;keyword&gt;*Smoking&lt;/keyword&gt;&lt;keyword&gt;Smoking Cessation&lt;/keyword&gt;&lt;keyword&gt;*Surveys and Questionnaires&lt;/keyword&gt;&lt;keyword&gt;Tobacco Use Disorder/*psychology&lt;/keyword&gt;&lt;/keywords&gt;&lt;dates&gt;&lt;year&gt;2001&lt;/year&gt;&lt;pub-dates&gt;&lt;date&gt;Feb&lt;/date&gt;&lt;/pub-dates&gt;&lt;/dates&gt;&lt;isbn&gt;1462-2203 (Print)&amp;#xD;1462-2203 (Linking)&lt;/isbn&gt;&lt;accession-num&gt;11260806&lt;/accession-num&gt;&lt;urls&gt;&lt;related-urls&gt;&lt;url&gt;https://www.ncbi.nlm.nih.gov/pubmed/11260806&lt;/url&gt;&lt;/related-urls&gt;&lt;/urls&gt;&lt;electronic-resource-num&gt;10.1080/14622200020032051&lt;/electronic-resource-num&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[6]</w:t>
      </w:r>
      <w:r>
        <w:rPr>
          <w:rFonts w:hint="default" w:ascii="Times New Roman" w:hAnsi="Times New Roman" w:cs="Times New Roman"/>
          <w:bCs/>
          <w:color w:val="auto"/>
        </w:rPr>
        <w:fldChar w:fldCharType="end"/>
      </w:r>
      <w:r>
        <w:rPr>
          <w:rFonts w:hint="default" w:ascii="Times New Roman" w:hAnsi="Times New Roman" w:cs="Times New Roman"/>
          <w:bCs/>
          <w:color w:val="auto"/>
        </w:rPr>
        <w:t xml:space="preserve">, and state anxiety with State-Trait Anxiety Inventory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&lt;EndNote&gt;&lt;Cite&gt;&lt;Author&gt;Spielberger&lt;/Author&gt;&lt;Year&gt;1983&lt;/Year&gt;&lt;RecNum&gt;1104&lt;/RecNum&gt;&lt;DisplayText&gt;[7]&lt;/DisplayText&gt;&lt;record&gt;&lt;rec-number&gt;1104&lt;/rec-number&gt;&lt;foreign-keys&gt;&lt;key app="EN" db-id="tfvpzv99k5dap3erxp8xt2xws5vxwxxtxvzz" timestamp="1650047643"&gt;1104&lt;/key&gt;&lt;/foreign-keys&gt;&lt;ref-type name="Journal Article"&gt;17&lt;/ref-type&gt;&lt;contributors&gt;&lt;authors&gt;&lt;author&gt;Spielberger, Charles D&lt;/author&gt;&lt;/authors&gt;&lt;/contributors&gt;&lt;titles&gt;&lt;title&gt;State-trait anxiety inventory for adults&lt;/title&gt;&lt;/titles&gt;&lt;dates&gt;&lt;year&gt;1983&lt;/year&gt;&lt;/dates&gt;&lt;urls&gt;&lt;/urls&gt;&lt;/record&gt;&lt;/Cite&gt;&lt;/EndNote&gt;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[7]</w:t>
      </w:r>
      <w:r>
        <w:rPr>
          <w:rFonts w:hint="default" w:ascii="Times New Roman" w:hAnsi="Times New Roman" w:cs="Times New Roman"/>
          <w:bCs/>
          <w:color w:val="auto"/>
        </w:rPr>
        <w:fldChar w:fldCharType="end"/>
      </w:r>
      <w:r>
        <w:rPr>
          <w:rFonts w:hint="default" w:ascii="Times New Roman" w:hAnsi="Times New Roman" w:cs="Times New Roman"/>
          <w:bCs/>
          <w:color w:val="auto"/>
        </w:rPr>
        <w:t>.</w:t>
      </w:r>
      <w:bookmarkEnd w:id="1"/>
    </w:p>
    <w:p>
      <w:pPr>
        <w:spacing w:line="360" w:lineRule="auto"/>
        <w:ind w:firstLine="720"/>
        <w:jc w:val="both"/>
        <w:rPr>
          <w:rFonts w:hint="default" w:ascii="Times New Roman" w:hAnsi="Times New Roman" w:cs="Times New Roman"/>
          <w:bCs/>
          <w:color w:val="auto"/>
        </w:rPr>
      </w:pPr>
      <w:r>
        <w:rPr>
          <w:rFonts w:hint="default" w:ascii="Times New Roman" w:hAnsi="Times New Roman" w:cs="Times New Roman"/>
          <w:bCs/>
          <w:color w:val="auto"/>
        </w:rPr>
        <w:t xml:space="preserve">We performed two-sample </w:t>
      </w:r>
      <w:r>
        <w:rPr>
          <w:rFonts w:hint="default" w:ascii="Times New Roman" w:hAnsi="Times New Roman" w:cs="Times New Roman"/>
          <w:bCs/>
          <w:i/>
          <w:iCs/>
          <w:color w:val="auto"/>
        </w:rPr>
        <w:t>t</w:t>
      </w:r>
      <w:r>
        <w:rPr>
          <w:rFonts w:hint="default" w:ascii="Times New Roman" w:hAnsi="Times New Roman" w:cs="Times New Roman"/>
          <w:bCs/>
          <w:color w:val="auto"/>
        </w:rPr>
        <w:t xml:space="preserve"> tests to examine sex differences in the demographic and clinical measures. We also performed a 2 (abstinence vs. satiety) by 2 (men vs. women) mixed-model ANOVAs on the CO level, withdrawal duration, withdrawal symptom severity, craving to smoke, and state anxiety. Given that the urine cotinine level was an ordinal variable, we used a nonparametric test of mixed-model ANOVA instead. We computed partial correlation coefficients between TPQ trait scores and FTND score and clinical characteristics that showed significant state differences with age as a covariate in men and women combined and separately. We used slope tests to examine the sex differences in the correlations </w:t>
      </w:r>
      <w:r>
        <w:rPr>
          <w:rFonts w:hint="default" w:ascii="Times New Roman" w:hAnsi="Times New Roman" w:cs="Times New Roman"/>
          <w:bCs/>
          <w:color w:val="auto"/>
        </w:rPr>
        <w:fldChar w:fldCharType="begin">
          <w:fldData xml:space="preserve">PEVuZE5vdGU+PENpdGU+PEF1dGhvcj5DaGVuPC9BdXRob3I+PFllYXI+MjAyMjwvWWVhcj48UmVj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</w:fldData>
        </w:fldChar>
      </w:r>
      <w:r>
        <w:rPr>
          <w:rFonts w:hint="default" w:ascii="Times New Roman" w:hAnsi="Times New Roman" w:cs="Times New Roman"/>
          <w:bCs/>
          <w:color w:val="auto"/>
        </w:rPr>
        <w:instrText xml:space="preserve"> ADDIN EN.CITE </w:instrText>
      </w:r>
      <w:r>
        <w:rPr>
          <w:rFonts w:hint="default" w:ascii="Times New Roman" w:hAnsi="Times New Roman" w:cs="Times New Roman"/>
          <w:bCs/>
          <w:color w:val="auto"/>
        </w:rPr>
        <w:fldChar w:fldCharType="begin">
          <w:fldData xml:space="preserve">PEVuZE5vdGU+PENpdGU+PEF1dGhvcj5DaGVuPC9BdXRob3I+PFllYXI+MjAyMjwvWWVhcj48UmVj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</w:fldData>
        </w:fldChar>
      </w:r>
      <w:r>
        <w:rPr>
          <w:rFonts w:hint="default" w:ascii="Times New Roman" w:hAnsi="Times New Roman" w:cs="Times New Roman"/>
          <w:bCs/>
          <w:color w:val="auto"/>
        </w:rPr>
        <w:instrText xml:space="preserve"> ADDIN EN.CITE.DATA </w:instrText>
      </w:r>
      <w:r>
        <w:rPr>
          <w:rFonts w:hint="default" w:ascii="Times New Roman" w:hAnsi="Times New Roman" w:cs="Times New Roman"/>
          <w:bCs/>
          <w:color w:val="auto"/>
        </w:rPr>
        <w:fldChar w:fldCharType="end"/>
      </w:r>
      <w:r>
        <w:rPr>
          <w:rFonts w:hint="default" w:ascii="Times New Roman" w:hAnsi="Times New Roman" w:cs="Times New Roman"/>
          <w:bCs/>
          <w:color w:val="auto"/>
        </w:rPr>
        <w:fldChar w:fldCharType="separate"/>
      </w:r>
      <w:r>
        <w:rPr>
          <w:rFonts w:hint="default" w:ascii="Times New Roman" w:hAnsi="Times New Roman" w:cs="Times New Roman"/>
          <w:bCs/>
          <w:color w:val="auto"/>
        </w:rPr>
        <w:t>[8-10]</w:t>
      </w:r>
      <w:r>
        <w:rPr>
          <w:rFonts w:hint="default" w:ascii="Times New Roman" w:hAnsi="Times New Roman" w:cs="Times New Roman"/>
          <w:bCs/>
          <w:color w:val="auto"/>
        </w:rPr>
        <w:fldChar w:fldCharType="end"/>
      </w:r>
      <w:r>
        <w:rPr>
          <w:rFonts w:hint="default" w:ascii="Times New Roman" w:hAnsi="Times New Roman" w:cs="Times New Roman"/>
          <w:bCs/>
          <w:color w:val="auto"/>
        </w:rPr>
        <w:t>.</w:t>
      </w:r>
    </w:p>
    <w:p>
      <w:pPr>
        <w:spacing w:line="360" w:lineRule="auto"/>
        <w:ind w:firstLine="720"/>
        <w:jc w:val="both"/>
        <w:rPr>
          <w:rFonts w:hint="default" w:ascii="Times New Roman" w:hAnsi="Times New Roman" w:cs="Times New Roman"/>
          <w:bCs/>
          <w:color w:val="auto"/>
        </w:rPr>
      </w:pPr>
    </w:p>
    <w:p>
      <w:pPr>
        <w:spacing w:line="360" w:lineRule="auto"/>
        <w:jc w:val="both"/>
        <w:rPr>
          <w:rFonts w:hint="default" w:ascii="Times New Roman" w:hAnsi="Times New Roman" w:cs="Times New Roman"/>
          <w:bCs/>
          <w:color w:val="auto"/>
        </w:rPr>
      </w:pPr>
      <w:r>
        <w:rPr>
          <w:rFonts w:hint="default" w:ascii="Times New Roman" w:hAnsi="Times New Roman" w:cs="Times New Roman"/>
          <w:bCs/>
          <w:i/>
          <w:iCs/>
          <w:color w:val="auto"/>
        </w:rPr>
        <w:t>MRI data acquisition and preprocessing</w:t>
      </w:r>
    </w:p>
    <w:p>
      <w:pPr>
        <w:spacing w:line="360" w:lineRule="auto"/>
        <w:ind w:firstLine="720"/>
        <w:jc w:val="both"/>
        <w:rPr>
          <w:rFonts w:hint="default" w:ascii="Times New Roman" w:hAnsi="Times New Roman" w:cs="Times New Roman"/>
          <w:color w:val="auto"/>
        </w:rPr>
      </w:pPr>
      <w:r>
        <w:rPr>
          <w:rFonts w:hint="default" w:ascii="Times New Roman" w:hAnsi="Times New Roman" w:cs="Times New Roman"/>
          <w:color w:val="auto"/>
        </w:rPr>
        <w:t>A customized 3T Siemens Trio scanner with a standard 32-channel Siemens receiver head coil and a body transmission coil was used in the MRI scanning. T1-weighted high-resolution structural images were acquired using a 3D MPRAGE sequence in the axial plane parallel to the AC-PC line (FOV = 250 × 250 mm, matrix = 256 × 256, 176 sagittal slices with slice thickness = 1 mm and no gap, TR = 1900 ms, TE = 2.52 ms, TI = 900 ms, FA = 9°). Functional, BOLD signals were then acquired with a single-shot gradient echo planar imaging (EPI) sequence. Fifty-one axial slices parallel to the AC–PC line covering the whole brain were acquired (FOV = 210 × 210 mm, matrix = 84 × 84, 51 slices with slice thickness = 2.5 mm and no gap, TR = 1000 ms, TE = 30 ms, bandwidth = 2290 Hz/pixel, FA = 62°). For both sessions, participants completed one run of 10-m resting state fMRI scan (600 frames) with eye closed but awake. Physiological data (i.e., cardiac and respiratory signals) were also acquired using a standard Biopac pulse oximeter placed on a digit and a respiratory belt on the abdomen. These physiological signals were sampled at 1000 Hz.</w:t>
      </w:r>
    </w:p>
    <w:p>
      <w:pPr>
        <w:spacing w:line="360" w:lineRule="auto"/>
        <w:ind w:firstLine="720"/>
        <w:jc w:val="both"/>
        <w:rPr>
          <w:rFonts w:hint="default" w:ascii="Times New Roman" w:hAnsi="Times New Roman" w:cs="Times New Roman"/>
          <w:bCs/>
          <w:color w:val="auto"/>
        </w:rPr>
      </w:pPr>
    </w:p>
    <w:p>
      <w:pPr>
        <w:spacing w:line="360" w:lineRule="auto"/>
        <w:jc w:val="both"/>
        <w:rPr>
          <w:rFonts w:hint="default" w:ascii="Times New Roman" w:hAnsi="Times New Roman" w:cs="Times New Roman"/>
          <w:bCs/>
          <w:i/>
          <w:iCs/>
          <w:color w:val="auto"/>
        </w:rPr>
      </w:pPr>
      <w:r>
        <w:rPr>
          <w:rFonts w:hint="default" w:ascii="Times New Roman" w:hAnsi="Times New Roman" w:cs="Times New Roman"/>
          <w:bCs/>
          <w:i/>
          <w:iCs/>
          <w:color w:val="auto"/>
        </w:rPr>
        <w:t>MRI data acquisition and preprocessing</w:t>
      </w:r>
    </w:p>
    <w:p>
      <w:pPr>
        <w:spacing w:line="360" w:lineRule="auto"/>
        <w:ind w:firstLine="720"/>
        <w:jc w:val="both"/>
        <w:rPr>
          <w:rFonts w:hint="default" w:ascii="Times New Roman" w:hAnsi="Times New Roman" w:cs="Times New Roman"/>
          <w:color w:val="auto"/>
        </w:rPr>
      </w:pPr>
      <w:r>
        <w:rPr>
          <w:rFonts w:hint="default" w:ascii="Times New Roman" w:hAnsi="Times New Roman" w:cs="Times New Roman"/>
          <w:color w:val="auto"/>
        </w:rPr>
        <w:t>Images of each participant were first realigned (motion corrected), and a mean functional image volume was constructed from the realigned image volumes. These mean images were co-registered with the high-resolution structural MPRAGE image and then segmented for normalization with affine registration followed by nonlinear transformation. The normalization parameters determined for the structural volume were then applied to the corresponding functional image volumes for each participant. Afterwards, the images were smoothed with a Gaussian kernel of 4 mm at Full Width at Half Maximum.</w:t>
      </w:r>
    </w:p>
    <w:p>
      <w:pPr>
        <w:spacing w:line="360" w:lineRule="auto"/>
        <w:ind w:firstLine="720"/>
        <w:jc w:val="both"/>
        <w:rPr>
          <w:rFonts w:hint="default" w:ascii="Times New Roman" w:hAnsi="Times New Roman" w:cs="Times New Roman"/>
          <w:color w:val="auto"/>
        </w:rPr>
      </w:pPr>
      <w:r>
        <w:rPr>
          <w:rFonts w:hint="default" w:ascii="Times New Roman" w:hAnsi="Times New Roman" w:cs="Times New Roman"/>
          <w:color w:val="auto"/>
        </w:rPr>
        <w:t xml:space="preserve">White matter and cerebrospinal fluid signals, whole-brain mean signal, and physiological signals were regressed out to reduce spurious BOLD variances and to eliminate cardiac- and respiratory-related artifacts. A temporal band-pass filter (0.009 Hz &lt; </w:t>
      </w:r>
      <w:r>
        <w:rPr>
          <w:rFonts w:hint="default" w:ascii="Times New Roman" w:hAnsi="Times New Roman" w:cs="Times New Roman"/>
          <w:i/>
          <w:color w:val="auto"/>
        </w:rPr>
        <w:t>f</w:t>
      </w:r>
      <w:r>
        <w:rPr>
          <w:rFonts w:hint="default" w:ascii="Times New Roman" w:hAnsi="Times New Roman" w:cs="Times New Roman"/>
          <w:color w:val="auto"/>
        </w:rPr>
        <w:t xml:space="preserve"> &lt; 0.08 Hz) was also applied to the time course to obtain low-frequency fluctuations, as in our previous studies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EN.CITE &lt;EndNote&gt;&lt;Cite&gt;&lt;Author&gt;Zhang&lt;/Author&gt;&lt;Year&gt;2018&lt;/Year&gt;&lt;RecNum&gt;289&lt;/RecNum&gt;&lt;DisplayText&gt;[11]&lt;/DisplayText&gt;&lt;record&gt;&lt;rec-number&gt;289&lt;/rec-number&gt;&lt;foreign-keys&gt;&lt;key app="EN" db-id="tfvpzv99k5dap3erxp8xt2xws5vxwxxtxvzz" timestamp="1614109409"&gt;289&lt;/key&gt;&lt;/foreign-keys&gt;&lt;ref-type name="Journal Article"&gt;17&lt;/ref-type&gt;&lt;contributors&gt;&lt;authors&gt;&lt;author&gt;Zhang, S.&lt;/author&gt;&lt;author&gt;Li, C. R.&lt;/author&gt;&lt;/authors&gt;&lt;/contributors&gt;&lt;titles&gt;&lt;title&gt;Ventral striatal dysfunction in cocaine dependence – difference mapping for subregional resting state functional connectivity&lt;/title&gt;&lt;secondary-title&gt;Translational Psychiatry&lt;/secondary-title&gt;&lt;/titles&gt;&lt;periodical&gt;&lt;full-title&gt;Translational psychiatry&lt;/full-title&gt;&lt;/periodical&gt;&lt;pages&gt;119&lt;/pages&gt;&lt;volume&gt;8&lt;/volume&gt;&lt;number&gt;1&lt;/number&gt;&lt;dates&gt;&lt;year&gt;2018&lt;/year&gt;&lt;/dates&gt;&lt;isbn&gt;2158-3188&lt;/isbn&gt;&lt;urls&gt;&lt;/urls&gt;&lt;electronic-resource-num&gt;10.1038/s41398-018-0164-0&lt;/electronic-resource-num&gt;&lt;/record&gt;&lt;/Cite&gt;&lt;/EndNote&gt;</w:instrText>
      </w:r>
      <w:r>
        <w:rPr>
          <w:rFonts w:hint="default" w:ascii="Times New Roman" w:hAnsi="Times New Roman" w:cs="Times New Roman"/>
          <w:color w:val="auto"/>
        </w:rPr>
        <w:fldChar w:fldCharType="separate"/>
      </w:r>
      <w:r>
        <w:rPr>
          <w:rFonts w:hint="default" w:ascii="Times New Roman" w:hAnsi="Times New Roman" w:cs="Times New Roman"/>
          <w:color w:val="auto"/>
        </w:rPr>
        <w:t>[11]</w:t>
      </w:r>
      <w:r>
        <w:rPr>
          <w:rFonts w:hint="default" w:ascii="Times New Roman" w:hAnsi="Times New Roman" w:cs="Times New Roman"/>
          <w:color w:val="auto"/>
        </w:rPr>
        <w:fldChar w:fldCharType="end"/>
      </w:r>
      <w:r>
        <w:rPr>
          <w:rFonts w:hint="default" w:ascii="Times New Roman" w:hAnsi="Times New Roman" w:cs="Times New Roman"/>
          <w:color w:val="auto"/>
        </w:rPr>
        <w:t xml:space="preserve">. Lastly, in order to further eliminate global motion-related artifacts, a “scrubbing” method was applied. Specifically, frame-wise displacement given by </w:t>
      </w:r>
      <w:r>
        <w:rPr>
          <w:rFonts w:hint="default" w:ascii="Times New Roman" w:hAnsi="Times New Roman" w:cs="Times New Roman"/>
          <w:i/>
          <w:color w:val="auto"/>
        </w:rPr>
        <w:t>FD</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d</w:t>
      </w:r>
      <w:r>
        <w:rPr>
          <w:rFonts w:hint="default" w:ascii="Times New Roman" w:hAnsi="Times New Roman" w:cs="Times New Roman"/>
          <w:color w:val="auto"/>
          <w:vertAlign w:val="subscript"/>
        </w:rPr>
        <w:t>x</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d</w:t>
      </w:r>
      <w:r>
        <w:rPr>
          <w:rFonts w:hint="default" w:ascii="Times New Roman" w:hAnsi="Times New Roman" w:cs="Times New Roman"/>
          <w:color w:val="auto"/>
          <w:vertAlign w:val="subscript"/>
        </w:rPr>
        <w:t>y</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d</w:t>
      </w:r>
      <w:r>
        <w:rPr>
          <w:rFonts w:hint="default" w:ascii="Times New Roman" w:hAnsi="Times New Roman" w:cs="Times New Roman"/>
          <w:color w:val="auto"/>
          <w:vertAlign w:val="subscript"/>
        </w:rPr>
        <w:t>z</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α</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β</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w:t>
      </w:r>
      <w:r>
        <w:rPr>
          <w:rFonts w:hint="default" w:ascii="Times New Roman" w:hAnsi="Times New Roman" w:cs="Times New Roman"/>
          <w:color w:val="auto"/>
        </w:rPr>
        <w:sym w:font="Symbol" w:char="F044"/>
      </w:r>
      <w:r>
        <w:rPr>
          <w:rFonts w:hint="default" w:ascii="Times New Roman" w:hAnsi="Times New Roman" w:cs="Times New Roman"/>
          <w:i/>
          <w:color w:val="auto"/>
        </w:rPr>
        <w:t>γ</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xml:space="preserve">)| was computed for every time point </w:t>
      </w:r>
      <w:r>
        <w:rPr>
          <w:rFonts w:hint="default" w:ascii="Times New Roman" w:hAnsi="Times New Roman" w:cs="Times New Roman"/>
          <w:i/>
          <w:color w:val="auto"/>
        </w:rPr>
        <w:t>t</w:t>
      </w:r>
      <w:r>
        <w:rPr>
          <w:rFonts w:hint="default" w:ascii="Times New Roman" w:hAnsi="Times New Roman" w:cs="Times New Roman"/>
          <w:color w:val="auto"/>
        </w:rPr>
        <w:t>, where (</w:t>
      </w:r>
      <w:r>
        <w:rPr>
          <w:rFonts w:hint="default" w:ascii="Times New Roman" w:hAnsi="Times New Roman" w:cs="Times New Roman"/>
          <w:i/>
          <w:color w:val="auto"/>
        </w:rPr>
        <w:t>d</w:t>
      </w:r>
      <w:r>
        <w:rPr>
          <w:rFonts w:hint="default" w:ascii="Times New Roman" w:hAnsi="Times New Roman" w:cs="Times New Roman"/>
          <w:color w:val="auto"/>
          <w:vertAlign w:val="subscript"/>
        </w:rPr>
        <w:t>x</w:t>
      </w:r>
      <w:r>
        <w:rPr>
          <w:rFonts w:hint="default" w:ascii="Times New Roman" w:hAnsi="Times New Roman" w:cs="Times New Roman"/>
          <w:color w:val="auto"/>
        </w:rPr>
        <w:t xml:space="preserve">, </w:t>
      </w:r>
      <w:r>
        <w:rPr>
          <w:rFonts w:hint="default" w:ascii="Times New Roman" w:hAnsi="Times New Roman" w:cs="Times New Roman"/>
          <w:i/>
          <w:color w:val="auto"/>
        </w:rPr>
        <w:t>d</w:t>
      </w:r>
      <w:r>
        <w:rPr>
          <w:rFonts w:hint="default" w:ascii="Times New Roman" w:hAnsi="Times New Roman" w:cs="Times New Roman"/>
          <w:color w:val="auto"/>
          <w:vertAlign w:val="subscript"/>
        </w:rPr>
        <w:t>y</w:t>
      </w:r>
      <w:r>
        <w:rPr>
          <w:rFonts w:hint="default" w:ascii="Times New Roman" w:hAnsi="Times New Roman" w:cs="Times New Roman"/>
          <w:color w:val="auto"/>
        </w:rPr>
        <w:t xml:space="preserve">, </w:t>
      </w:r>
      <w:r>
        <w:rPr>
          <w:rFonts w:hint="default" w:ascii="Times New Roman" w:hAnsi="Times New Roman" w:cs="Times New Roman"/>
          <w:i/>
          <w:color w:val="auto"/>
        </w:rPr>
        <w:t>d</w:t>
      </w:r>
      <w:r>
        <w:rPr>
          <w:rFonts w:hint="default" w:ascii="Times New Roman" w:hAnsi="Times New Roman" w:cs="Times New Roman"/>
          <w:color w:val="auto"/>
          <w:vertAlign w:val="subscript"/>
        </w:rPr>
        <w:t>z</w:t>
      </w:r>
      <w:r>
        <w:rPr>
          <w:rFonts w:hint="default" w:ascii="Times New Roman" w:hAnsi="Times New Roman" w:cs="Times New Roman"/>
          <w:color w:val="auto"/>
        </w:rPr>
        <w:t>) and (</w:t>
      </w:r>
      <w:r>
        <w:rPr>
          <w:rFonts w:hint="default" w:ascii="Times New Roman" w:hAnsi="Times New Roman" w:cs="Times New Roman"/>
          <w:i/>
          <w:color w:val="auto"/>
        </w:rPr>
        <w:t>α</w:t>
      </w:r>
      <w:r>
        <w:rPr>
          <w:rFonts w:hint="default" w:ascii="Times New Roman" w:hAnsi="Times New Roman" w:cs="Times New Roman"/>
          <w:color w:val="auto"/>
        </w:rPr>
        <w:t>,</w:t>
      </w:r>
      <w:r>
        <w:rPr>
          <w:rFonts w:hint="default" w:ascii="Times New Roman" w:hAnsi="Times New Roman" w:cs="Times New Roman"/>
          <w:i/>
          <w:color w:val="auto"/>
        </w:rPr>
        <w:t xml:space="preserve"> β</w:t>
      </w:r>
      <w:r>
        <w:rPr>
          <w:rFonts w:hint="default" w:ascii="Times New Roman" w:hAnsi="Times New Roman" w:cs="Times New Roman"/>
          <w:color w:val="auto"/>
        </w:rPr>
        <w:t>,</w:t>
      </w:r>
      <w:r>
        <w:rPr>
          <w:rFonts w:hint="default" w:ascii="Times New Roman" w:hAnsi="Times New Roman" w:cs="Times New Roman"/>
          <w:i/>
          <w:color w:val="auto"/>
        </w:rPr>
        <w:t xml:space="preserve"> γ</w:t>
      </w:r>
      <w:r>
        <w:rPr>
          <w:rFonts w:hint="default" w:ascii="Times New Roman" w:hAnsi="Times New Roman" w:cs="Times New Roman"/>
          <w:color w:val="auto"/>
        </w:rPr>
        <w:t xml:space="preserve">) are the translational and rotational movements, respectively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EN.CITE &lt;EndNote&gt;&lt;Cite&gt;&lt;Author&gt;Power&lt;/Author&gt;&lt;Year&gt;2012&lt;/Year&gt;&lt;RecNum&gt;290&lt;/RecNum&gt;&lt;DisplayText&gt;[12]&lt;/DisplayText&gt;&lt;record&gt;&lt;rec-number&gt;290&lt;/rec-number&gt;&lt;foreign-keys&gt;&lt;key app="EN" db-id="tfvpzv99k5dap3erxp8xt2xws5vxwxxtxvzz" timestamp="1614109409"&gt;290&lt;/key&gt;&lt;/foreign-keys&gt;&lt;ref-type name="Journal Article"&gt;17&lt;/ref-type&gt;&lt;contributors&gt;&lt;authors&gt;&lt;author&gt;Power, Jonathan D.&lt;/author&gt;&lt;author&gt;Barnes, Kelly A.&lt;/author&gt;&lt;author&gt;Snyder, Abraham Z.&lt;/author&gt;&lt;author&gt;Schlaggar, Bradley L.&lt;/author&gt;&lt;author&gt;Petersen, Steven E.&lt;/author&gt;&lt;/authors&gt;&lt;/contributors&gt;&lt;titles&gt;&lt;title&gt;Spurious but systematic correlations in functional connectivity MRI networks arise from subject motion&lt;/title&gt;&lt;secondary-title&gt;NeuroImage&lt;/secondary-title&gt;&lt;/titles&gt;&lt;periodical&gt;&lt;full-title&gt;Neuroimage&lt;/full-title&gt;&lt;/periodical&gt;&lt;pages&gt;2142-2154&lt;/pages&gt;&lt;volume&gt;59&lt;/volume&gt;&lt;number&gt;3&lt;/number&gt;&lt;dates&gt;&lt;year&gt;2012&lt;/year&gt;&lt;/dates&gt;&lt;isbn&gt;10538119&lt;/isbn&gt;&lt;urls&gt;&lt;/urls&gt;&lt;electronic-resource-num&gt;10.1016/j.neuroimage.2011.10.018&lt;/electronic-resource-num&gt;&lt;/record&gt;&lt;/Cite&gt;&lt;/EndNote&gt;</w:instrText>
      </w:r>
      <w:r>
        <w:rPr>
          <w:rFonts w:hint="default" w:ascii="Times New Roman" w:hAnsi="Times New Roman" w:cs="Times New Roman"/>
          <w:color w:val="auto"/>
        </w:rPr>
        <w:fldChar w:fldCharType="separate"/>
      </w:r>
      <w:r>
        <w:rPr>
          <w:rFonts w:hint="default" w:ascii="Times New Roman" w:hAnsi="Times New Roman" w:cs="Times New Roman"/>
          <w:color w:val="auto"/>
        </w:rPr>
        <w:t>[12]</w:t>
      </w:r>
      <w:r>
        <w:rPr>
          <w:rFonts w:hint="default" w:ascii="Times New Roman" w:hAnsi="Times New Roman" w:cs="Times New Roman"/>
          <w:color w:val="auto"/>
        </w:rPr>
        <w:fldChar w:fldCharType="end"/>
      </w:r>
      <w:r>
        <w:rPr>
          <w:rFonts w:hint="default" w:ascii="Times New Roman" w:hAnsi="Times New Roman" w:cs="Times New Roman"/>
          <w:color w:val="auto"/>
        </w:rPr>
        <w:t xml:space="preserve">. Moreover, the root mean square variance of the differences (DVARS) in % BOLD intensity </w:t>
      </w:r>
      <w:r>
        <w:rPr>
          <w:rFonts w:hint="default" w:ascii="Times New Roman" w:hAnsi="Times New Roman" w:cs="Times New Roman"/>
          <w:i/>
          <w:color w:val="auto"/>
        </w:rPr>
        <w:t>I</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xml:space="preserve">) between consecutive time points across brain voxels, was computed as: </w:t>
      </w:r>
      <w:r>
        <w:rPr>
          <w:rFonts w:hint="default" w:ascii="Times New Roman" w:hAnsi="Times New Roman" w:cs="Times New Roman"/>
          <w:i/>
          <w:color w:val="auto"/>
        </w:rPr>
        <w:t>DVARS</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 sqrt(|</w:t>
      </w:r>
      <w:r>
        <w:rPr>
          <w:rFonts w:hint="default" w:ascii="Times New Roman" w:hAnsi="Times New Roman" w:cs="Times New Roman"/>
          <w:i/>
          <w:color w:val="auto"/>
        </w:rPr>
        <w:t>I</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 xml:space="preserve">) – </w:t>
      </w:r>
      <w:r>
        <w:rPr>
          <w:rFonts w:hint="default" w:ascii="Times New Roman" w:hAnsi="Times New Roman" w:cs="Times New Roman"/>
          <w:i/>
          <w:color w:val="auto"/>
        </w:rPr>
        <w:t>I</w:t>
      </w:r>
      <w:r>
        <w:rPr>
          <w:rFonts w:hint="default" w:ascii="Times New Roman" w:hAnsi="Times New Roman" w:cs="Times New Roman"/>
          <w:color w:val="auto"/>
        </w:rPr>
        <w:t>(</w:t>
      </w:r>
      <w:r>
        <w:rPr>
          <w:rFonts w:hint="default" w:ascii="Times New Roman" w:hAnsi="Times New Roman" w:cs="Times New Roman"/>
          <w:i/>
          <w:color w:val="auto"/>
        </w:rPr>
        <w:t>t</w:t>
      </w:r>
      <w:r>
        <w:rPr>
          <w:rFonts w:hint="default" w:ascii="Times New Roman" w:hAnsi="Times New Roman" w:cs="Times New Roman"/>
          <w:color w:val="auto"/>
        </w:rPr>
        <w:t>-1)|</w:t>
      </w:r>
      <w:r>
        <w:rPr>
          <w:rFonts w:hint="default" w:ascii="Times New Roman" w:hAnsi="Times New Roman" w:cs="Times New Roman"/>
          <w:color w:val="auto"/>
          <w:vertAlign w:val="superscript"/>
        </w:rPr>
        <w:t>2</w:t>
      </w:r>
      <w:r>
        <w:rPr>
          <w:rFonts w:hint="default" w:ascii="Times New Roman" w:hAnsi="Times New Roman" w:cs="Times New Roman"/>
          <w:color w:val="auto"/>
        </w:rPr>
        <w:t xml:space="preserve">), where the brackets indicate the mean across brain voxels. Following previous HCP studies, we marked volumes with FD &gt; 0.2 mm or DVARS &gt; 75 as well as one frame before and two frames after these volumes as outliers (censored frames). Uncensored segments of data lasting fewer than five contiguous volumes were also labeled as censored frames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EN.CITE &lt;EndNote&gt;&lt;Cite&gt;&lt;Author&gt;Li&lt;/Author&gt;&lt;Year&gt;2019&lt;/Year&gt;&lt;RecNum&gt;291&lt;/RecNum&gt;&lt;DisplayText&gt;[13]&lt;/DisplayText&gt;&lt;record&gt;&lt;rec-number&gt;291&lt;/rec-number&gt;&lt;foreign-keys&gt;&lt;key app="EN" db-id="tfvpzv99k5dap3erxp8xt2xws5vxwxxtxvzz" timestamp="1614109409"&gt;291&lt;/key&gt;&lt;/foreign-keys&gt;&lt;ref-type name="Journal Article"&gt;17&lt;/ref-type&gt;&lt;contributors&gt;&lt;authors&gt;&lt;author&gt;Li, J&lt;/author&gt;&lt;author&gt;Kong, Ru&lt;/author&gt;&lt;author&gt;Liégeois, Raphaël&lt;/author&gt;&lt;author&gt;Orban, Csaba&lt;/author&gt;&lt;author&gt;Tan, Yanrui&lt;/author&gt;&lt;author&gt;Sun, Nanbo&lt;/author&gt;&lt;author&gt;Holmes, Avram J.&lt;/author&gt;&lt;author&gt;Sabuncu, Mert R.&lt;/author&gt;&lt;author&gt;Ge, Tian&lt;/author&gt;&lt;author&gt;Yeo, B. T. Thomas&lt;/author&gt;&lt;/authors&gt;&lt;/contributors&gt;&lt;titles&gt;&lt;title&gt;Global signal regression strengthens association between resting-state functional connectivity and behavior&lt;/title&gt;&lt;secondary-title&gt;NeuroImage&lt;/secondary-title&gt;&lt;/titles&gt;&lt;periodical&gt;&lt;full-title&gt;Neuroimage&lt;/full-title&gt;&lt;/periodical&gt;&lt;pages&gt;126-141&lt;/pages&gt;&lt;volume&gt;196&lt;/volume&gt;&lt;dates&gt;&lt;year&gt;2019&lt;/year&gt;&lt;/dates&gt;&lt;isbn&gt;10538119&lt;/isbn&gt;&lt;urls&gt;&lt;/urls&gt;&lt;electronic-resource-num&gt;10.1016/j.neuroimage.2019.04.016&lt;/electronic-resource-num&gt;&lt;/record&gt;&lt;/Cite&gt;&lt;/EndNote&gt;</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color w:val="auto"/>
        </w:rPr>
        <w:t>.</w:t>
      </w:r>
    </w:p>
    <w:p>
      <w:pPr>
        <w:spacing w:line="360" w:lineRule="auto"/>
        <w:ind w:firstLine="720"/>
        <w:jc w:val="both"/>
        <w:rPr>
          <w:rFonts w:hint="default" w:ascii="Times New Roman" w:hAnsi="Times New Roman" w:cs="Times New Roman"/>
          <w:color w:val="auto"/>
        </w:rPr>
      </w:pPr>
      <w:r>
        <w:rPr>
          <w:rFonts w:hint="default" w:ascii="Times New Roman" w:hAnsi="Times New Roman" w:cs="Times New Roman"/>
          <w:bCs/>
          <w:color w:val="auto"/>
        </w:rPr>
        <w:t xml:space="preserve">As with our previous studies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&lt;EndNote&gt;&lt;Cite&gt;&lt;Author&gt;Chen&lt;/Author&gt;&lt;Year&gt;2022&lt;/Year&gt;&lt;RecNum&gt;1101&lt;/RecNum&gt;&lt;DisplayText&gt;[9, 14]&lt;/DisplayText&gt;&lt;record&gt;&lt;rec-number&gt;1101&lt;/rec-number&gt;&lt;foreign-keys&gt;&lt;key app="EN" db-id="tfvpzv99k5dap3erxp8xt2xws5vxwxxtxvzz" timestamp="1647051237"&gt;1101&lt;/key&gt;&lt;/foreign-keys&gt;&lt;ref-type name="Journal Article"&gt;17&lt;/ref-type&gt;&lt;contributors&gt;&lt;authors&gt;&lt;author&gt;Chen, Yu&lt;/author&gt;&lt;author&gt;Li, Chiang-Shan R&lt;/author&gt;&lt;/authors&gt;&lt;/contributors&gt;&lt;titles&gt;&lt;title&gt;Striatal gray matter volumes, externalizing traits, and N-back task performance: An exploratory study of sex differences using the human connectome project data&lt;/title&gt;&lt;secondary-title&gt;Journal of Experimental Psychopathology&lt;/secondary-title&gt;&lt;/titles&gt;&lt;periodical&gt;&lt;full-title&gt;Journal of Experimental Psychopathology&lt;/full-title&gt;&lt;/periodical&gt;&lt;pages&gt;20438087221080057&lt;/pages&gt;&lt;volume&gt;13&lt;/volume&gt;&lt;number&gt;1&lt;/number&gt;&lt;dates&gt;&lt;year&gt;2022&lt;/year&gt;&lt;/dates&gt;&lt;isbn&gt;2043-8087&lt;/isbn&gt;&lt;urls&gt;&lt;/urls&gt;&lt;/record&gt;&lt;/Cite&gt;&lt;Cite&gt;&lt;Author&gt;Chen&lt;/Author&gt;&lt;Year&gt;2021&lt;/Year&gt;&lt;RecNum&gt;720&lt;/RecNum&gt;&lt;record&gt;&lt;rec-number&gt;720&lt;/rec-number&gt;&lt;foreign-keys&gt;&lt;key app="EN" db-id="tfvpzv99k5dap3erxp8xt2xws5vxwxxtxvzz" timestamp="1628109540"&gt;720&lt;/key&gt;&lt;/foreign-keys&gt;&lt;ref-type name="Journal Article"&gt;17&lt;/ref-type&gt;&lt;contributors&gt;&lt;authors&gt;&lt;author&gt;Chen, Yu&lt;/author&gt;&lt;author&gt;Li, Guangfei&lt;/author&gt;&lt;author&gt;Ide, Jaime S.&lt;/author&gt;&lt;author&gt;Luo, Xingguang&lt;/author&gt;&lt;author&gt;Li, Chiang-Shan R.&lt;/author&gt;&lt;/authors&gt;&lt;/contributors&gt;&lt;titles&gt;&lt;title&gt;Sex differences in attention deficit hyperactivity symptom severity and functional connectivity of the dorsal striatum in young adults&lt;/title&gt;&lt;secondary-title&gt;Neuroimage: Reports&lt;/secondary-title&gt;&lt;/titles&gt;&lt;periodical&gt;&lt;full-title&gt;Neuroimage: Reports&lt;/full-title&gt;&lt;/periodical&gt;&lt;pages&gt;100025&lt;/pages&gt;&lt;volume&gt;1&lt;/volume&gt;&lt;number&gt;2&lt;/number&gt;&lt;dates&gt;&lt;year&gt;2021&lt;/year&gt;&lt;/dates&gt;&lt;isbn&gt;26669560&lt;/isbn&gt;&lt;urls&gt;&lt;/urls&gt;&lt;electronic-resource-num&gt;10.1016/j.ynirp.2021.100025&lt;/electronic-resource-num&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[9, 14]</w:t>
      </w:r>
      <w:r>
        <w:rPr>
          <w:rFonts w:hint="default" w:ascii="Times New Roman" w:hAnsi="Times New Roman" w:cs="Times New Roman"/>
          <w:color w:val="auto"/>
        </w:rPr>
        <w:fldChar w:fldCharType="end"/>
      </w:r>
      <w:r>
        <w:rPr>
          <w:rFonts w:hint="default" w:ascii="Times New Roman" w:hAnsi="Times New Roman" w:cs="Times New Roman"/>
          <w:bCs/>
          <w:color w:val="auto"/>
        </w:rPr>
        <w:t xml:space="preserve">, the bilateral ventral striatum (VS) mask was generated by cytoarchitectonic and topographical criteria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&lt;EndNote&gt;&lt;Cite&gt;&lt;Author&gt;Zaborszky&lt;/Author&gt;&lt;Year&gt;2008&lt;/Year&gt;&lt;RecNum&gt;1856&lt;/RecNum&gt;&lt;DisplayText&gt;[15]&lt;/DisplayText&gt;&lt;record&gt;&lt;rec-number&gt;1856&lt;/rec-number&gt;&lt;foreign-keys&gt;&lt;key app="EN" db-id="tfvpzv99k5dap3erxp8xt2xws5vxwxxtxvzz" timestamp="1675090942"&gt;1856&lt;/key&gt;&lt;/foreign-keys&gt;&lt;ref-type name="Journal Article"&gt;17&lt;/ref-type&gt;&lt;contributors&gt;&lt;authors&gt;&lt;author&gt;Zaborszky, Laszlo&lt;/author&gt;&lt;author&gt;Hoemke, Lars&lt;/author&gt;&lt;author&gt;Mohlberg, Hartmut&lt;/author&gt;&lt;author&gt;Schleicher, Axel&lt;/author&gt;&lt;author&gt;Amunts, Katrin&lt;/author&gt;&lt;author&gt;Zilles, Karl&lt;/author&gt;&lt;/authors&gt;&lt;/contributors&gt;&lt;titles&gt;&lt;title&gt;Stereotaxic probabilistic maps of the magnocellular cell groups in human basal forebrain&lt;/title&gt;&lt;secondary-title&gt;Neuroimage&lt;/secondary-title&gt;&lt;/titles&gt;&lt;periodical&gt;&lt;full-title&gt;Neuroimage&lt;/full-title&gt;&lt;/periodical&gt;&lt;pages&gt;1127-1141&lt;/pages&gt;&lt;volume&gt;42&lt;/volume&gt;&lt;number&gt;3&lt;/number&gt;&lt;dates&gt;&lt;year&gt;2008&lt;/year&gt;&lt;/dates&gt;&lt;isbn&gt;1053-8119&lt;/isbn&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[15]</w:t>
      </w:r>
      <w:r>
        <w:rPr>
          <w:rFonts w:hint="default" w:ascii="Times New Roman" w:hAnsi="Times New Roman" w:cs="Times New Roman"/>
          <w:color w:val="auto"/>
        </w:rPr>
        <w:fldChar w:fldCharType="end"/>
      </w:r>
      <w:r>
        <w:rPr>
          <w:rFonts w:hint="default" w:ascii="Times New Roman" w:hAnsi="Times New Roman" w:cs="Times New Roman"/>
          <w:bCs/>
          <w:color w:val="auto"/>
        </w:rPr>
        <w:t xml:space="preserve">, and the masks of bilateral </w:t>
      </w:r>
      <w:r>
        <w:rPr>
          <w:rFonts w:hint="default" w:ascii="Times New Roman" w:hAnsi="Times New Roman" w:cs="Times New Roman"/>
          <w:color w:val="auto"/>
        </w:rPr>
        <w:t>dorsal striatum (DS) as well as subregions of the DS, including bilateral caudate, putamen, and pallidum</w:t>
      </w:r>
      <w:r>
        <w:rPr>
          <w:rFonts w:hint="default" w:ascii="Times New Roman" w:hAnsi="Times New Roman" w:cs="Times New Roman"/>
          <w:bCs/>
          <w:color w:val="auto"/>
        </w:rPr>
        <w:t xml:space="preserve"> were obtained from the Automated Anatomic Labeling atlas </w:t>
      </w:r>
      <w:r>
        <w:rPr>
          <w:rFonts w:hint="default" w:ascii="Times New Roman" w:hAnsi="Times New Roman" w:cs="Times New Roman"/>
          <w:bCs/>
          <w:color w:val="auto"/>
        </w:rPr>
        <w:fldChar w:fldCharType="begin"/>
      </w:r>
      <w:r>
        <w:rPr>
          <w:rFonts w:hint="default" w:ascii="Times New Roman" w:hAnsi="Times New Roman" w:cs="Times New Roman"/>
          <w:bCs/>
          <w:color w:val="auto"/>
        </w:rPr>
        <w:instrText xml:space="preserve"> ADDIN EN.CITE &lt;EndNote&gt;&lt;Cite&gt;&lt;Author&gt;Tzourio-Mazoyer&lt;/Author&gt;&lt;Year&gt;2002&lt;/Year&gt;&lt;RecNum&gt;22&lt;/RecNum&gt;&lt;DisplayText&gt;[16]&lt;/DisplayText&gt;&lt;record&gt;&lt;rec-number&gt;22&lt;/rec-number&gt;&lt;foreign-keys&gt;&lt;key app="EN" db-id="tfvpzv99k5dap3erxp8xt2xws5vxwxxtxvzz" timestamp="1614109407"&gt;22&lt;/key&gt;&lt;/foreign-keys&gt;&lt;ref-type name="Journal Article"&gt;17&lt;/ref-type&gt;&lt;contributors&gt;&lt;authors&gt;&lt;author&gt;Tzourio-Mazoyer, N.&lt;/author&gt;&lt;author&gt;Landeau, B.&lt;/author&gt;&lt;author&gt;Papathanassiou, D.&lt;/author&gt;&lt;author&gt;Crivello, F.&lt;/author&gt;&lt;author&gt;Etard, O.&lt;/author&gt;&lt;author&gt;Delcroix, N.&lt;/author&gt;&lt;author&gt;Mazoyer, B.&lt;/author&gt;&lt;author&gt;Joliot, M.&lt;/author&gt;&lt;/authors&gt;&lt;/contributors&gt;&lt;titles&gt;&lt;title&gt;Automated Anatomical Labeling of Activations in SPM Using a Macroscopic Anatomical Parcellation of the MNI MRI Single-Subject Brain&lt;/title&gt;&lt;secondary-title&gt;NeuroImage&lt;/secondary-title&gt;&lt;/titles&gt;&lt;periodical&gt;&lt;full-title&gt;Neuroimage&lt;/full-title&gt;&lt;/periodical&gt;&lt;pages&gt;273-289&lt;/pages&gt;&lt;volume&gt;15&lt;/volume&gt;&lt;number&gt;1&lt;/number&gt;&lt;dates&gt;&lt;year&gt;2002&lt;/year&gt;&lt;/dates&gt;&lt;urls&gt;&lt;/urls&gt;&lt;/record&gt;&lt;/Cite&gt;&lt;/EndNote&gt;</w:instrText>
      </w:r>
      <w:r>
        <w:rPr>
          <w:rFonts w:hint="default" w:ascii="Times New Roman" w:hAnsi="Times New Roman" w:cs="Times New Roman"/>
          <w:bCs/>
          <w:color w:val="auto"/>
        </w:rPr>
        <w:fldChar w:fldCharType="separate"/>
      </w:r>
      <w:r>
        <w:rPr>
          <w:rFonts w:hint="default" w:ascii="Times New Roman" w:hAnsi="Times New Roman" w:cs="Times New Roman"/>
          <w:bCs/>
          <w:color w:val="auto"/>
        </w:rPr>
        <w:t>[16]</w:t>
      </w:r>
      <w:r>
        <w:rPr>
          <w:rFonts w:hint="default" w:ascii="Times New Roman" w:hAnsi="Times New Roman" w:cs="Times New Roman"/>
          <w:color w:val="auto"/>
        </w:rPr>
        <w:fldChar w:fldCharType="end"/>
      </w:r>
      <w:r>
        <w:rPr>
          <w:rFonts w:hint="default" w:ascii="Times New Roman" w:hAnsi="Times New Roman" w:cs="Times New Roman"/>
          <w:bCs/>
          <w:color w:val="auto"/>
        </w:rPr>
        <w:t xml:space="preserve">. We used these masks </w:t>
      </w:r>
      <w:r>
        <w:rPr>
          <w:rFonts w:hint="default" w:ascii="Times New Roman" w:hAnsi="Times New Roman" w:cs="Times New Roman"/>
          <w:color w:val="auto"/>
        </w:rPr>
        <w:t>as seed regions (</w:t>
      </w:r>
      <w:r>
        <w:rPr>
          <w:rFonts w:hint="default" w:ascii="Times New Roman" w:hAnsi="Times New Roman" w:cs="Times New Roman"/>
          <w:b/>
          <w:bCs/>
          <w:color w:val="auto"/>
        </w:rPr>
        <w:t>Figure 1A</w:t>
      </w:r>
      <w:r>
        <w:rPr>
          <w:rFonts w:hint="default" w:ascii="Times New Roman" w:hAnsi="Times New Roman" w:cs="Times New Roman"/>
          <w:color w:val="auto"/>
        </w:rPr>
        <w:t xml:space="preserve">) to </w:t>
      </w:r>
      <w:r>
        <w:rPr>
          <w:rFonts w:hint="default" w:ascii="Times New Roman" w:hAnsi="Times New Roman" w:cs="Times New Roman"/>
          <w:iCs/>
          <w:color w:val="auto"/>
        </w:rPr>
        <w:t xml:space="preserve">compute whole-brain resting state functional connectivity (rsFC). The BOLD time courses were averaged across voxels for each seed, and the correlation coefficient was computed between the average time course of each seed and the time courses of all other voxels for individual participants. The correlation matrix was Fisher’s </w:t>
      </w:r>
      <w:r>
        <w:rPr>
          <w:rFonts w:hint="default" w:ascii="Times New Roman" w:hAnsi="Times New Roman" w:cs="Times New Roman"/>
          <w:i/>
          <w:iCs/>
          <w:color w:val="auto"/>
        </w:rPr>
        <w:t>z</w:t>
      </w:r>
      <w:r>
        <w:rPr>
          <w:rFonts w:hint="default" w:ascii="Times New Roman" w:hAnsi="Times New Roman" w:cs="Times New Roman"/>
          <w:iCs/>
          <w:color w:val="auto"/>
        </w:rPr>
        <w:t xml:space="preserve">-transformed into </w:t>
      </w:r>
      <w:r>
        <w:rPr>
          <w:rFonts w:hint="default" w:ascii="Times New Roman" w:hAnsi="Times New Roman" w:cs="Times New Roman"/>
          <w:i/>
          <w:iCs/>
          <w:color w:val="auto"/>
        </w:rPr>
        <w:t>z</w:t>
      </w:r>
      <w:r>
        <w:rPr>
          <w:rFonts w:hint="default" w:ascii="Times New Roman" w:hAnsi="Times New Roman" w:cs="Times New Roman"/>
          <w:iCs/>
          <w:color w:val="auto"/>
        </w:rPr>
        <w:t xml:space="preserve"> score maps. We used paired-sample </w:t>
      </w:r>
      <w:r>
        <w:rPr>
          <w:rFonts w:hint="default" w:ascii="Times New Roman" w:hAnsi="Times New Roman" w:cs="Times New Roman"/>
          <w:i/>
          <w:color w:val="auto"/>
        </w:rPr>
        <w:t>t</w:t>
      </w:r>
      <w:r>
        <w:rPr>
          <w:rFonts w:hint="default" w:ascii="Times New Roman" w:hAnsi="Times New Roman" w:cs="Times New Roman"/>
          <w:iCs/>
          <w:color w:val="auto"/>
        </w:rPr>
        <w:t xml:space="preserve"> tests to compare seed-based rsFC between abstinence and satiety for the whole brain</w:t>
      </w:r>
      <w:r>
        <w:rPr>
          <w:rFonts w:hint="default" w:ascii="Times New Roman" w:hAnsi="Times New Roman" w:cs="Times New Roman"/>
          <w:color w:val="auto"/>
        </w:rPr>
        <w:t xml:space="preserve">, and evaluated at voxel </w:t>
      </w:r>
      <w:r>
        <w:rPr>
          <w:rFonts w:hint="default" w:ascii="Times New Roman" w:hAnsi="Times New Roman" w:cs="Times New Roman"/>
          <w:i/>
          <w:color w:val="auto"/>
        </w:rPr>
        <w:t>p</w:t>
      </w:r>
      <w:r>
        <w:rPr>
          <w:rFonts w:hint="default" w:ascii="Times New Roman" w:hAnsi="Times New Roman" w:cs="Times New Roman"/>
          <w:color w:val="auto"/>
        </w:rPr>
        <w:t xml:space="preserve"> &lt; 0.001, uncorrected, in combination with a cluster </w:t>
      </w:r>
      <w:r>
        <w:rPr>
          <w:rFonts w:hint="default" w:ascii="Times New Roman" w:hAnsi="Times New Roman" w:cs="Times New Roman"/>
          <w:i/>
          <w:color w:val="auto"/>
        </w:rPr>
        <w:t>p</w:t>
      </w:r>
      <w:r>
        <w:rPr>
          <w:rFonts w:hint="default" w:ascii="Times New Roman" w:hAnsi="Times New Roman" w:cs="Times New Roman"/>
          <w:color w:val="auto"/>
        </w:rPr>
        <w:t xml:space="preserve"> &lt; 0.05, corrected for family-wise error (FWE) of multiple comparisons, on the basis of Gaussian random field theory as implemented in SPM, following the reporting standards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EN.CITE &lt;EndNote&gt;&lt;Cite&gt;&lt;Author&gt;Poldrack&lt;/Author&gt;&lt;Year&gt;2008&lt;/Year&gt;&lt;RecNum&gt;296&lt;/RecNum&gt;&lt;DisplayText&gt;[17]&lt;/DisplayText&gt;&lt;record&gt;&lt;rec-number&gt;296&lt;/rec-number&gt;&lt;foreign-keys&gt;&lt;key app="EN" db-id="tfvpzv99k5dap3erxp8xt2xws5vxwxxtxvzz" timestamp="1614109409"&gt;296&lt;/key&gt;&lt;/foreign-keys&gt;&lt;ref-type name="Journal Article"&gt;17&lt;/ref-type&gt;&lt;contributors&gt;&lt;authors&gt;&lt;author&gt;Poldrack, Russell A&lt;/author&gt;&lt;author&gt;Fletcher, Paul C&lt;/author&gt;&lt;author&gt;Henson, Richard N&lt;/author&gt;&lt;author&gt;Worsley, Keith J&lt;/author&gt;&lt;author&gt;Brett, Matthew&lt;/author&gt;&lt;author&gt;Nichols, Thomas E&lt;/author&gt;&lt;/authors&gt;&lt;/contributors&gt;&lt;titles&gt;&lt;title&gt;Guidelines for reporting an fMRI study&lt;/title&gt;&lt;secondary-title&gt;Neuroimage&lt;/secondary-title&gt;&lt;/titles&gt;&lt;periodical&gt;&lt;full-title&gt;Neuroimage&lt;/full-title&gt;&lt;/periodical&gt;&lt;pages&gt;409-414&lt;/pages&gt;&lt;volume&gt;40&lt;/volume&gt;&lt;number&gt;2&lt;/number&gt;&lt;dates&gt;&lt;year&gt;2008&lt;/year&gt;&lt;/dates&gt;&lt;isbn&gt;1053-8119&lt;/isbn&gt;&lt;urls&gt;&lt;/urls&gt;&lt;/record&gt;&lt;/Cite&gt;&lt;/EndNote&gt;</w:instrText>
      </w:r>
      <w:r>
        <w:rPr>
          <w:rFonts w:hint="default" w:ascii="Times New Roman" w:hAnsi="Times New Roman" w:cs="Times New Roman"/>
          <w:color w:val="auto"/>
        </w:rPr>
        <w:fldChar w:fldCharType="separate"/>
      </w:r>
      <w:r>
        <w:rPr>
          <w:rFonts w:hint="default" w:ascii="Times New Roman" w:hAnsi="Times New Roman" w:cs="Times New Roman"/>
          <w:color w:val="auto"/>
        </w:rPr>
        <w:t>[17]</w:t>
      </w:r>
      <w:r>
        <w:rPr>
          <w:rFonts w:hint="default" w:ascii="Times New Roman" w:hAnsi="Times New Roman" w:cs="Times New Roman"/>
          <w:color w:val="auto"/>
        </w:rPr>
        <w:fldChar w:fldCharType="end"/>
      </w:r>
      <w:r>
        <w:rPr>
          <w:rFonts w:hint="default" w:ascii="Times New Roman" w:hAnsi="Times New Roman" w:cs="Times New Roman"/>
          <w:color w:val="auto"/>
        </w:rPr>
        <w:t xml:space="preserve">. In addition to reporting the peak voxel </w:t>
      </w:r>
      <w:r>
        <w:rPr>
          <w:rFonts w:hint="default" w:ascii="Times New Roman" w:hAnsi="Times New Roman" w:cs="Times New Roman"/>
          <w:i/>
          <w:iCs/>
          <w:color w:val="auto"/>
        </w:rPr>
        <w:t>Z</w:t>
      </w:r>
      <w:r>
        <w:rPr>
          <w:rFonts w:hint="default" w:ascii="Times New Roman" w:hAnsi="Times New Roman" w:cs="Times New Roman"/>
          <w:color w:val="auto"/>
        </w:rPr>
        <w:t xml:space="preserve"> value, we computed the effect sizes with Cohen’s </w:t>
      </w:r>
      <m:oMath>
        <m:r>
          <m:rPr/>
          <w:rPr>
            <w:rFonts w:hint="default" w:ascii="Cambria Math" w:hAnsi="Cambria Math" w:cs="Times New Roman"/>
            <w:color w:val="auto"/>
          </w:rPr>
          <m:t>d=</m:t>
        </m:r>
        <m:f>
          <m:fPr>
            <m:ctrlPr>
              <w:rPr>
                <w:rFonts w:hint="default" w:ascii="Cambria Math" w:hAnsi="Cambria Math" w:cs="Times New Roman"/>
                <w:i/>
                <w:color w:val="auto"/>
              </w:rPr>
            </m:ctrlPr>
          </m:fPr>
          <m:num>
            <m:r>
              <m:rPr/>
              <w:rPr>
                <w:rFonts w:hint="default" w:ascii="Cambria Math" w:hAnsi="Cambria Math" w:cs="Times New Roman"/>
                <w:color w:val="auto"/>
              </w:rPr>
              <m:t>2t</m:t>
            </m:r>
            <m:ctrlPr>
              <w:rPr>
                <w:rFonts w:hint="default" w:ascii="Cambria Math" w:hAnsi="Cambria Math" w:cs="Times New Roman"/>
                <w:i/>
                <w:color w:val="auto"/>
              </w:rPr>
            </m:ctrlPr>
          </m:num>
          <m:den>
            <m:rad>
              <m:radPr>
                <m:degHide m:val="1"/>
                <m:ctrlPr>
                  <w:rPr>
                    <w:rFonts w:hint="default" w:ascii="Cambria Math" w:hAnsi="Cambria Math" w:cs="Times New Roman"/>
                    <w:i/>
                    <w:color w:val="auto"/>
                  </w:rPr>
                </m:ctrlPr>
              </m:radPr>
              <m:deg>
                <m:ctrlPr>
                  <w:rPr>
                    <w:rFonts w:hint="default" w:ascii="Cambria Math" w:hAnsi="Cambria Math" w:cs="Times New Roman"/>
                    <w:i/>
                    <w:color w:val="auto"/>
                  </w:rPr>
                </m:ctrlPr>
              </m:deg>
              <m:e>
                <m:r>
                  <m:rPr/>
                  <w:rPr>
                    <w:rFonts w:hint="default" w:ascii="Cambria Math" w:hAnsi="Cambria Math" w:cs="Times New Roman"/>
                    <w:color w:val="auto"/>
                  </w:rPr>
                  <m:t>df</m:t>
                </m:r>
                <m:ctrlPr>
                  <w:rPr>
                    <w:rFonts w:hint="default" w:ascii="Cambria Math" w:hAnsi="Cambria Math" w:cs="Times New Roman"/>
                    <w:i/>
                    <w:color w:val="auto"/>
                  </w:rPr>
                </m:ctrlPr>
              </m:e>
            </m:rad>
            <m:ctrlPr>
              <w:rPr>
                <w:rFonts w:hint="default" w:ascii="Cambria Math" w:hAnsi="Cambria Math" w:cs="Times New Roman"/>
                <w:i/>
                <w:color w:val="auto"/>
              </w:rPr>
            </m:ctrlPr>
          </m:den>
        </m:f>
      </m:oMath>
      <w:r>
        <w:rPr>
          <w:rFonts w:hint="default" w:ascii="Times New Roman" w:hAnsi="Times New Roman" w:cs="Times New Roman"/>
          <w:color w:val="auto"/>
        </w:rPr>
        <w:t xml:space="preserve">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EN.CITE &lt;EndNote&gt;&lt;Cite&gt;&lt;Author&gt;Kleber&lt;/Author&gt;&lt;Year&gt;2016&lt;/Year&gt;&lt;RecNum&gt;227&lt;/RecNum&gt;&lt;DisplayText&gt;[18]&lt;/DisplayText&gt;&lt;record&gt;&lt;rec-number&gt;227&lt;/rec-number&gt;&lt;foreign-keys&gt;&lt;key app="EN" db-id="tfvpzv99k5dap3erxp8xt2xws5vxwxxtxvzz" timestamp="1614109409"&gt;227&lt;/key&gt;&lt;/foreign-keys&gt;&lt;ref-type name="Journal Article"&gt;17&lt;/ref-type&gt;&lt;contributors&gt;&lt;authors&gt;&lt;author&gt;Kleber, Boris&lt;/author&gt;&lt;author&gt;Veit, Ralf&lt;/author&gt;&lt;author&gt;Moll, Christina Valérie&lt;/author&gt;&lt;author&gt;Gaser, Christian&lt;/author&gt;&lt;author&gt;Birbaumer, Niels&lt;/author&gt;&lt;author&gt;Lotze, Martin&lt;/author&gt;&lt;/authors&gt;&lt;/contributors&gt;&lt;titles&gt;&lt;title&gt;Voxel-based morphometry in opera singers: Increased gray-matter volume in right somatosensory and auditory cortices&lt;/title&gt;&lt;secondary-title&gt;Neuroimage&lt;/secondary-title&gt;&lt;/titles&gt;&lt;periodical&gt;&lt;full-title&gt;Neuroimage&lt;/full-title&gt;&lt;/periodical&gt;&lt;pages&gt;477-483&lt;/pages&gt;&lt;volume&gt;133&lt;/volume&gt;&lt;dates&gt;&lt;year&gt;2016&lt;/year&gt;&lt;/dates&gt;&lt;isbn&gt;1053-8119&lt;/isbn&gt;&lt;urls&gt;&lt;/urls&gt;&lt;/record&gt;&lt;/Cite&gt;&lt;/EndNote&gt;</w:instrText>
      </w:r>
      <w:r>
        <w:rPr>
          <w:rFonts w:hint="default" w:ascii="Times New Roman" w:hAnsi="Times New Roman" w:cs="Times New Roman"/>
          <w:color w:val="auto"/>
        </w:rPr>
        <w:fldChar w:fldCharType="separate"/>
      </w:r>
      <w:r>
        <w:rPr>
          <w:rFonts w:hint="default" w:ascii="Times New Roman" w:hAnsi="Times New Roman" w:cs="Times New Roman"/>
          <w:color w:val="auto"/>
        </w:rPr>
        <w:t>[18]</w:t>
      </w:r>
      <w:r>
        <w:rPr>
          <w:rFonts w:hint="default" w:ascii="Times New Roman" w:hAnsi="Times New Roman" w:cs="Times New Roman"/>
          <w:color w:val="auto"/>
        </w:rPr>
        <w:fldChar w:fldCharType="end"/>
      </w:r>
      <w:r>
        <w:rPr>
          <w:rFonts w:hint="default" w:ascii="Times New Roman" w:hAnsi="Times New Roman" w:cs="Times New Roman"/>
          <w:color w:val="auto"/>
        </w:rPr>
        <w:t>.</w:t>
      </w:r>
    </w:p>
    <w:p>
      <w:pPr>
        <w:spacing w:line="360" w:lineRule="auto"/>
        <w:ind w:firstLine="720"/>
        <w:jc w:val="both"/>
        <w:rPr>
          <w:rFonts w:hint="default" w:ascii="Times New Roman" w:hAnsi="Times New Roman" w:cs="Times New Roman"/>
          <w:color w:val="auto"/>
        </w:rPr>
      </w:pPr>
      <w:r>
        <w:rPr>
          <w:rFonts w:hint="default" w:ascii="Times New Roman" w:hAnsi="Times New Roman" w:cs="Times New Roman"/>
          <w:color w:val="auto"/>
        </w:rPr>
        <w:t xml:space="preserve">We extracted the </w:t>
      </w:r>
      <w:r>
        <w:rPr>
          <w:rFonts w:hint="default" w:ascii="Times New Roman" w:hAnsi="Times New Roman" w:cs="Times New Roman"/>
          <w:i/>
          <w:color w:val="auto"/>
        </w:rPr>
        <w:t>β</w:t>
      </w:r>
      <w:r>
        <w:rPr>
          <w:rFonts w:hint="default" w:ascii="Times New Roman" w:hAnsi="Times New Roman" w:cs="Times New Roman"/>
          <w:color w:val="auto"/>
        </w:rPr>
        <w:t xml:space="preserve"> estimates of the ROIs revealed in whole-brain rsFC analyses for each state and computed the </w:t>
      </w:r>
      <w:r>
        <w:rPr>
          <w:rFonts w:hint="default" w:ascii="Times New Roman" w:hAnsi="Times New Roman" w:cs="Times New Roman"/>
          <w:i/>
          <w:color w:val="auto"/>
        </w:rPr>
        <w:t>β</w:t>
      </w:r>
      <w:r>
        <w:rPr>
          <w:rFonts w:hint="default" w:ascii="Times New Roman" w:hAnsi="Times New Roman" w:cs="Times New Roman"/>
          <w:color w:val="auto"/>
        </w:rPr>
        <w:t xml:space="preserve"> differences between states for linear correlations </w:t>
      </w:r>
      <w:r>
        <w:rPr>
          <w:rFonts w:hint="default" w:ascii="Times New Roman" w:hAnsi="Times New Roman" w:cs="Times New Roman"/>
          <w:iCs/>
          <w:color w:val="auto"/>
        </w:rPr>
        <w:t>with</w:t>
      </w:r>
      <w:r>
        <w:rPr>
          <w:rFonts w:hint="default" w:ascii="Times New Roman" w:hAnsi="Times New Roman" w:cs="Times New Roman"/>
          <w:color w:val="auto"/>
        </w:rPr>
        <w:t xml:space="preserve"> FTND score, TPQ traits, and clinical measures that showed significant differences between states. We performed the analyses in men and women combined and separately.</w:t>
      </w:r>
    </w:p>
    <w:p>
      <w:pPr>
        <w:spacing w:line="360" w:lineRule="auto"/>
        <w:jc w:val="both"/>
        <w:rPr>
          <w:rFonts w:hint="default" w:ascii="Times New Roman" w:hAnsi="Times New Roman" w:cs="Times New Roman"/>
          <w:color w:val="auto"/>
        </w:rPr>
      </w:pPr>
    </w:p>
    <w:p>
      <w:pPr>
        <w:spacing w:line="360" w:lineRule="auto"/>
        <w:jc w:val="both"/>
        <w:rPr>
          <w:rFonts w:hint="default" w:ascii="Times New Roman" w:hAnsi="Times New Roman" w:cs="Times New Roman"/>
          <w:color w:val="auto"/>
        </w:rPr>
      </w:pPr>
      <w:r>
        <w:rPr>
          <w:rFonts w:hint="default" w:ascii="Times New Roman" w:hAnsi="Times New Roman" w:cs="Times New Roman"/>
          <w:b/>
          <w:bCs/>
          <w:color w:val="auto"/>
        </w:rPr>
        <w:t>References</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ADDIN EN.REFLIST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tab/>
      </w:r>
      <w:r>
        <w:rPr>
          <w:rFonts w:hint="default" w:ascii="Times New Roman" w:hAnsi="Times New Roman" w:cs="Times New Roman"/>
          <w:color w:val="auto"/>
        </w:rPr>
        <w:t xml:space="preserve">Ernst, M., et al., </w:t>
      </w:r>
      <w:r>
        <w:rPr>
          <w:rFonts w:hint="default" w:ascii="Times New Roman" w:hAnsi="Times New Roman" w:cs="Times New Roman"/>
          <w:i/>
          <w:color w:val="auto"/>
        </w:rPr>
        <w:t>Effect of nicotine on brain activation during performance of a working memory task.</w:t>
      </w:r>
      <w:r>
        <w:rPr>
          <w:rFonts w:hint="default" w:ascii="Times New Roman" w:hAnsi="Times New Roman" w:cs="Times New Roman"/>
          <w:color w:val="auto"/>
        </w:rPr>
        <w:t xml:space="preserve"> Proc Natl Acad Sci U S A, 2001. </w:t>
      </w:r>
      <w:r>
        <w:rPr>
          <w:rFonts w:hint="default" w:ascii="Times New Roman" w:hAnsi="Times New Roman" w:cs="Times New Roman"/>
          <w:b/>
          <w:color w:val="auto"/>
        </w:rPr>
        <w:t>98</w:t>
      </w:r>
      <w:r>
        <w:rPr>
          <w:rFonts w:hint="default" w:ascii="Times New Roman" w:hAnsi="Times New Roman" w:cs="Times New Roman"/>
          <w:color w:val="auto"/>
        </w:rPr>
        <w:t>(8): p. 4728-33.</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rPr>
        <w:tab/>
      </w:r>
      <w:r>
        <w:rPr>
          <w:rFonts w:hint="default" w:ascii="Times New Roman" w:hAnsi="Times New Roman" w:cs="Times New Roman"/>
          <w:color w:val="auto"/>
        </w:rPr>
        <w:t xml:space="preserve">Gruzdys, V., H. Signorelli, and K.L. Johnson-Davis, </w:t>
      </w:r>
      <w:r>
        <w:rPr>
          <w:rFonts w:hint="default" w:ascii="Times New Roman" w:hAnsi="Times New Roman" w:cs="Times New Roman"/>
          <w:i/>
          <w:color w:val="auto"/>
        </w:rPr>
        <w:t>NicAlert™ test strip performance comparison with LC-MS/MS and immunoassay methods for nicotine and cotinine.</w:t>
      </w:r>
      <w:r>
        <w:rPr>
          <w:rFonts w:hint="default" w:ascii="Times New Roman" w:hAnsi="Times New Roman" w:cs="Times New Roman"/>
          <w:color w:val="auto"/>
        </w:rPr>
        <w:t xml:space="preserve"> Archives of Clinical Toxicology, 2020. </w:t>
      </w:r>
      <w:r>
        <w:rPr>
          <w:rFonts w:hint="default" w:ascii="Times New Roman" w:hAnsi="Times New Roman" w:cs="Times New Roman"/>
          <w:b/>
          <w:color w:val="auto"/>
        </w:rPr>
        <w:t>2</w:t>
      </w:r>
      <w:r>
        <w:rPr>
          <w:rFonts w:hint="default" w:ascii="Times New Roman" w:hAnsi="Times New Roman" w:cs="Times New Roman"/>
          <w:color w:val="auto"/>
        </w:rPr>
        <w:t>(2): p. 19-24.</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cs="Times New Roman"/>
          <w:color w:val="auto"/>
        </w:rPr>
        <w:tab/>
      </w:r>
      <w:r>
        <w:rPr>
          <w:rFonts w:hint="default" w:ascii="Times New Roman" w:hAnsi="Times New Roman" w:cs="Times New Roman"/>
          <w:color w:val="auto"/>
        </w:rPr>
        <w:t xml:space="preserve">Heatherton, T.F., et al., </w:t>
      </w:r>
      <w:r>
        <w:rPr>
          <w:rFonts w:hint="default" w:ascii="Times New Roman" w:hAnsi="Times New Roman" w:cs="Times New Roman"/>
          <w:i/>
          <w:color w:val="auto"/>
        </w:rPr>
        <w:t>The Fagerström test for nicotine dependence: a revision of the Fagerstrom Tolerance Questionnaire.</w:t>
      </w:r>
      <w:r>
        <w:rPr>
          <w:rFonts w:hint="default" w:ascii="Times New Roman" w:hAnsi="Times New Roman" w:cs="Times New Roman"/>
          <w:color w:val="auto"/>
        </w:rPr>
        <w:t xml:space="preserve"> British journal of addiction, 1991. </w:t>
      </w:r>
      <w:r>
        <w:rPr>
          <w:rFonts w:hint="default" w:ascii="Times New Roman" w:hAnsi="Times New Roman" w:cs="Times New Roman"/>
          <w:b/>
          <w:color w:val="auto"/>
        </w:rPr>
        <w:t>86</w:t>
      </w:r>
      <w:r>
        <w:rPr>
          <w:rFonts w:hint="default" w:ascii="Times New Roman" w:hAnsi="Times New Roman" w:cs="Times New Roman"/>
          <w:color w:val="auto"/>
        </w:rPr>
        <w:t>(9): p. 1119-1127.</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4.</w:t>
      </w:r>
      <w:r>
        <w:rPr>
          <w:rFonts w:hint="default" w:ascii="Times New Roman" w:hAnsi="Times New Roman" w:cs="Times New Roman"/>
          <w:color w:val="auto"/>
        </w:rPr>
        <w:tab/>
      </w:r>
      <w:r>
        <w:rPr>
          <w:rFonts w:hint="default" w:ascii="Times New Roman" w:hAnsi="Times New Roman" w:cs="Times New Roman"/>
          <w:color w:val="auto"/>
        </w:rPr>
        <w:t xml:space="preserve">Cloninger, C.R., T.R. Przybeck, and D.M. Svrakic, </w:t>
      </w:r>
      <w:r>
        <w:rPr>
          <w:rFonts w:hint="default" w:ascii="Times New Roman" w:hAnsi="Times New Roman" w:cs="Times New Roman"/>
          <w:i/>
          <w:color w:val="auto"/>
        </w:rPr>
        <w:t>The tridimensional personality questionnaire: US normative data.</w:t>
      </w:r>
      <w:r>
        <w:rPr>
          <w:rFonts w:hint="default" w:ascii="Times New Roman" w:hAnsi="Times New Roman" w:cs="Times New Roman"/>
          <w:color w:val="auto"/>
        </w:rPr>
        <w:t xml:space="preserve"> Psychological reports, 1991. </w:t>
      </w:r>
      <w:r>
        <w:rPr>
          <w:rFonts w:hint="default" w:ascii="Times New Roman" w:hAnsi="Times New Roman" w:cs="Times New Roman"/>
          <w:b/>
          <w:color w:val="auto"/>
        </w:rPr>
        <w:t>69</w:t>
      </w:r>
      <w:r>
        <w:rPr>
          <w:rFonts w:hint="default" w:ascii="Times New Roman" w:hAnsi="Times New Roman" w:cs="Times New Roman"/>
          <w:color w:val="auto"/>
        </w:rPr>
        <w:t>(3): p. 1047-1057.</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5.</w:t>
      </w:r>
      <w:r>
        <w:rPr>
          <w:rFonts w:hint="default" w:ascii="Times New Roman" w:hAnsi="Times New Roman" w:cs="Times New Roman"/>
          <w:color w:val="auto"/>
        </w:rPr>
        <w:tab/>
      </w:r>
      <w:r>
        <w:rPr>
          <w:rFonts w:hint="default" w:ascii="Times New Roman" w:hAnsi="Times New Roman" w:cs="Times New Roman"/>
          <w:color w:val="auto"/>
        </w:rPr>
        <w:t xml:space="preserve">Hughes, J.R. and D. Hatsukami, </w:t>
      </w:r>
      <w:r>
        <w:rPr>
          <w:rFonts w:hint="default" w:ascii="Times New Roman" w:hAnsi="Times New Roman" w:cs="Times New Roman"/>
          <w:i/>
          <w:color w:val="auto"/>
        </w:rPr>
        <w:t>Signs and symptoms of tobacco withdrawal.</w:t>
      </w:r>
      <w:r>
        <w:rPr>
          <w:rFonts w:hint="default" w:ascii="Times New Roman" w:hAnsi="Times New Roman" w:cs="Times New Roman"/>
          <w:color w:val="auto"/>
        </w:rPr>
        <w:t xml:space="preserve"> Archives of general psychiatry, 1986. </w:t>
      </w:r>
      <w:r>
        <w:rPr>
          <w:rFonts w:hint="default" w:ascii="Times New Roman" w:hAnsi="Times New Roman" w:cs="Times New Roman"/>
          <w:b/>
          <w:color w:val="auto"/>
        </w:rPr>
        <w:t>43</w:t>
      </w:r>
      <w:r>
        <w:rPr>
          <w:rFonts w:hint="default" w:ascii="Times New Roman" w:hAnsi="Times New Roman" w:cs="Times New Roman"/>
          <w:color w:val="auto"/>
        </w:rPr>
        <w:t>(3): p. 289-294.</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rPr>
        <w:tab/>
      </w:r>
      <w:r>
        <w:rPr>
          <w:rFonts w:hint="default" w:ascii="Times New Roman" w:hAnsi="Times New Roman" w:cs="Times New Roman"/>
          <w:color w:val="auto"/>
        </w:rPr>
        <w:t xml:space="preserve">Cox, L.S., S.T. Tiffany, and A.G. Christen, </w:t>
      </w:r>
      <w:r>
        <w:rPr>
          <w:rFonts w:hint="default" w:ascii="Times New Roman" w:hAnsi="Times New Roman" w:cs="Times New Roman"/>
          <w:i/>
          <w:color w:val="auto"/>
        </w:rPr>
        <w:t>Evaluation of the brief questionnaire of smoking urges (QSU-brief) in laboratory and clinical settings.</w:t>
      </w:r>
      <w:r>
        <w:rPr>
          <w:rFonts w:hint="default" w:ascii="Times New Roman" w:hAnsi="Times New Roman" w:cs="Times New Roman"/>
          <w:color w:val="auto"/>
        </w:rPr>
        <w:t xml:space="preserve"> Nicotine Tob Res, 2001. </w:t>
      </w:r>
      <w:r>
        <w:rPr>
          <w:rFonts w:hint="default" w:ascii="Times New Roman" w:hAnsi="Times New Roman" w:cs="Times New Roman"/>
          <w:b/>
          <w:color w:val="auto"/>
        </w:rPr>
        <w:t>3</w:t>
      </w:r>
      <w:r>
        <w:rPr>
          <w:rFonts w:hint="default" w:ascii="Times New Roman" w:hAnsi="Times New Roman" w:cs="Times New Roman"/>
          <w:color w:val="auto"/>
        </w:rPr>
        <w:t>(1): p. 7-16.</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7.</w:t>
      </w:r>
      <w:r>
        <w:rPr>
          <w:rFonts w:hint="default" w:ascii="Times New Roman" w:hAnsi="Times New Roman" w:cs="Times New Roman"/>
          <w:color w:val="auto"/>
        </w:rPr>
        <w:tab/>
      </w:r>
      <w:r>
        <w:rPr>
          <w:rFonts w:hint="default" w:ascii="Times New Roman" w:hAnsi="Times New Roman" w:cs="Times New Roman"/>
          <w:color w:val="auto"/>
        </w:rPr>
        <w:t xml:space="preserve">Spielberger, C.D., </w:t>
      </w:r>
      <w:r>
        <w:rPr>
          <w:rFonts w:hint="default" w:ascii="Times New Roman" w:hAnsi="Times New Roman" w:cs="Times New Roman"/>
          <w:i/>
          <w:color w:val="auto"/>
        </w:rPr>
        <w:t>State-trait anxiety inventory for adults.</w:t>
      </w:r>
      <w:r>
        <w:rPr>
          <w:rFonts w:hint="default" w:ascii="Times New Roman" w:hAnsi="Times New Roman" w:cs="Times New Roman"/>
          <w:color w:val="auto"/>
        </w:rPr>
        <w:t xml:space="preserve"> 1983.</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8.</w:t>
      </w:r>
      <w:r>
        <w:rPr>
          <w:rFonts w:hint="default" w:ascii="Times New Roman" w:hAnsi="Times New Roman" w:cs="Times New Roman"/>
          <w:color w:val="auto"/>
        </w:rPr>
        <w:tab/>
      </w:r>
      <w:r>
        <w:rPr>
          <w:rFonts w:hint="default" w:ascii="Times New Roman" w:hAnsi="Times New Roman" w:cs="Times New Roman"/>
          <w:color w:val="auto"/>
        </w:rPr>
        <w:t xml:space="preserve">Chen, Y., et al., </w:t>
      </w:r>
      <w:r>
        <w:rPr>
          <w:rFonts w:hint="default" w:ascii="Times New Roman" w:hAnsi="Times New Roman" w:cs="Times New Roman"/>
          <w:i/>
          <w:color w:val="auto"/>
        </w:rPr>
        <w:t>Gray matter volumetric correlates of dimensional impulsivity traits in children: Sex differences and heritability.</w:t>
      </w:r>
      <w:r>
        <w:rPr>
          <w:rFonts w:hint="default" w:ascii="Times New Roman" w:hAnsi="Times New Roman" w:cs="Times New Roman"/>
          <w:color w:val="auto"/>
        </w:rPr>
        <w:t xml:space="preserve"> Human Brain Mapping, 2022. </w:t>
      </w:r>
      <w:r>
        <w:rPr>
          <w:rFonts w:hint="default" w:ascii="Times New Roman" w:hAnsi="Times New Roman" w:cs="Times New Roman"/>
          <w:b/>
          <w:color w:val="auto"/>
        </w:rPr>
        <w:t>43</w:t>
      </w:r>
      <w:r>
        <w:rPr>
          <w:rFonts w:hint="default" w:ascii="Times New Roman" w:hAnsi="Times New Roman" w:cs="Times New Roman"/>
          <w:color w:val="auto"/>
        </w:rPr>
        <w:t>(8).</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9.</w:t>
      </w:r>
      <w:r>
        <w:rPr>
          <w:rFonts w:hint="default" w:ascii="Times New Roman" w:hAnsi="Times New Roman" w:cs="Times New Roman"/>
          <w:color w:val="auto"/>
        </w:rPr>
        <w:tab/>
      </w:r>
      <w:r>
        <w:rPr>
          <w:rFonts w:hint="default" w:ascii="Times New Roman" w:hAnsi="Times New Roman" w:cs="Times New Roman"/>
          <w:color w:val="auto"/>
        </w:rPr>
        <w:t xml:space="preserve">Chen, Y. and C.-S.R. Li, </w:t>
      </w:r>
      <w:r>
        <w:rPr>
          <w:rFonts w:hint="default" w:ascii="Times New Roman" w:hAnsi="Times New Roman" w:cs="Times New Roman"/>
          <w:i/>
          <w:color w:val="auto"/>
        </w:rPr>
        <w:t>Striatal gray matter volumes, externalizing traits, and N-back task performance: An exploratory study of sex differences using the human connectome project data.</w:t>
      </w:r>
      <w:r>
        <w:rPr>
          <w:rFonts w:hint="default" w:ascii="Times New Roman" w:hAnsi="Times New Roman" w:cs="Times New Roman"/>
          <w:color w:val="auto"/>
        </w:rPr>
        <w:t xml:space="preserve"> Journal of Experimental Psychopathology, 2022. </w:t>
      </w:r>
      <w:r>
        <w:rPr>
          <w:rFonts w:hint="default" w:ascii="Times New Roman" w:hAnsi="Times New Roman" w:cs="Times New Roman"/>
          <w:b/>
          <w:color w:val="auto"/>
        </w:rPr>
        <w:t>13</w:t>
      </w:r>
      <w:r>
        <w:rPr>
          <w:rFonts w:hint="default" w:ascii="Times New Roman" w:hAnsi="Times New Roman" w:cs="Times New Roman"/>
          <w:color w:val="auto"/>
        </w:rPr>
        <w:t>(1): p. 20438087221080057.</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10.</w:t>
      </w:r>
      <w:r>
        <w:rPr>
          <w:rFonts w:hint="default" w:ascii="Times New Roman" w:hAnsi="Times New Roman" w:cs="Times New Roman"/>
          <w:color w:val="auto"/>
        </w:rPr>
        <w:tab/>
      </w:r>
      <w:r>
        <w:rPr>
          <w:rFonts w:hint="default" w:ascii="Times New Roman" w:hAnsi="Times New Roman" w:cs="Times New Roman"/>
          <w:color w:val="auto"/>
        </w:rPr>
        <w:t xml:space="preserve">Zar, J.H., </w:t>
      </w:r>
      <w:r>
        <w:rPr>
          <w:rFonts w:hint="default" w:ascii="Times New Roman" w:hAnsi="Times New Roman" w:cs="Times New Roman"/>
          <w:i/>
          <w:color w:val="auto"/>
        </w:rPr>
        <w:t>Biostatistical analysis</w:t>
      </w:r>
      <w:r>
        <w:rPr>
          <w:rFonts w:hint="default" w:ascii="Times New Roman" w:hAnsi="Times New Roman" w:cs="Times New Roman"/>
          <w:color w:val="auto"/>
        </w:rPr>
        <w:t>. 1999: Pearson Education India.</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11.</w:t>
      </w:r>
      <w:r>
        <w:rPr>
          <w:rFonts w:hint="default" w:ascii="Times New Roman" w:hAnsi="Times New Roman" w:cs="Times New Roman"/>
          <w:color w:val="auto"/>
        </w:rPr>
        <w:tab/>
      </w:r>
      <w:r>
        <w:rPr>
          <w:rFonts w:hint="default" w:ascii="Times New Roman" w:hAnsi="Times New Roman" w:cs="Times New Roman"/>
          <w:color w:val="auto"/>
        </w:rPr>
        <w:t xml:space="preserve">Zhang, S. and C.R. Li, </w:t>
      </w:r>
      <w:r>
        <w:rPr>
          <w:rFonts w:hint="default" w:ascii="Times New Roman" w:hAnsi="Times New Roman" w:cs="Times New Roman"/>
          <w:i/>
          <w:color w:val="auto"/>
        </w:rPr>
        <w:t>Ventral striatal dysfunction in cocaine dependence – difference mapping for subregional resting state functional connectivity.</w:t>
      </w:r>
      <w:r>
        <w:rPr>
          <w:rFonts w:hint="default" w:ascii="Times New Roman" w:hAnsi="Times New Roman" w:cs="Times New Roman"/>
          <w:color w:val="auto"/>
        </w:rPr>
        <w:t xml:space="preserve"> Translational Psychiatry, 2018. </w:t>
      </w:r>
      <w:r>
        <w:rPr>
          <w:rFonts w:hint="default" w:ascii="Times New Roman" w:hAnsi="Times New Roman" w:cs="Times New Roman"/>
          <w:b/>
          <w:color w:val="auto"/>
        </w:rPr>
        <w:t>8</w:t>
      </w:r>
      <w:r>
        <w:rPr>
          <w:rFonts w:hint="default" w:ascii="Times New Roman" w:hAnsi="Times New Roman" w:cs="Times New Roman"/>
          <w:color w:val="auto"/>
        </w:rPr>
        <w:t>(1): p. 119.</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12.</w:t>
      </w:r>
      <w:r>
        <w:rPr>
          <w:rFonts w:hint="default" w:ascii="Times New Roman" w:hAnsi="Times New Roman" w:cs="Times New Roman"/>
          <w:color w:val="auto"/>
        </w:rPr>
        <w:tab/>
      </w:r>
      <w:r>
        <w:rPr>
          <w:rFonts w:hint="default" w:ascii="Times New Roman" w:hAnsi="Times New Roman" w:cs="Times New Roman"/>
          <w:color w:val="auto"/>
        </w:rPr>
        <w:t xml:space="preserve">Power, J.D., et al., </w:t>
      </w:r>
      <w:r>
        <w:rPr>
          <w:rFonts w:hint="default" w:ascii="Times New Roman" w:hAnsi="Times New Roman" w:cs="Times New Roman"/>
          <w:i/>
          <w:color w:val="auto"/>
        </w:rPr>
        <w:t>Spurious but systematic correlations in functional connectivity MRI networks arise from subject motion.</w:t>
      </w:r>
      <w:r>
        <w:rPr>
          <w:rFonts w:hint="default" w:ascii="Times New Roman" w:hAnsi="Times New Roman" w:cs="Times New Roman"/>
          <w:color w:val="auto"/>
        </w:rPr>
        <w:t xml:space="preserve"> NeuroImage, 2012. </w:t>
      </w:r>
      <w:r>
        <w:rPr>
          <w:rFonts w:hint="default" w:ascii="Times New Roman" w:hAnsi="Times New Roman" w:cs="Times New Roman"/>
          <w:b/>
          <w:color w:val="auto"/>
        </w:rPr>
        <w:t>59</w:t>
      </w:r>
      <w:r>
        <w:rPr>
          <w:rFonts w:hint="default" w:ascii="Times New Roman" w:hAnsi="Times New Roman" w:cs="Times New Roman"/>
          <w:color w:val="auto"/>
        </w:rPr>
        <w:t>(3): p. 2142-2154.</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13.</w:t>
      </w:r>
      <w:r>
        <w:rPr>
          <w:rFonts w:hint="default" w:ascii="Times New Roman" w:hAnsi="Times New Roman" w:cs="Times New Roman"/>
          <w:color w:val="auto"/>
        </w:rPr>
        <w:tab/>
      </w:r>
      <w:r>
        <w:rPr>
          <w:rFonts w:hint="default" w:ascii="Times New Roman" w:hAnsi="Times New Roman" w:cs="Times New Roman"/>
          <w:color w:val="auto"/>
        </w:rPr>
        <w:t xml:space="preserve">Li, J., et al., </w:t>
      </w:r>
      <w:r>
        <w:rPr>
          <w:rFonts w:hint="default" w:ascii="Times New Roman" w:hAnsi="Times New Roman" w:cs="Times New Roman"/>
          <w:i/>
          <w:color w:val="auto"/>
        </w:rPr>
        <w:t>Global signal regression strengthens association between resting-state functional connectivity and behavior.</w:t>
      </w:r>
      <w:r>
        <w:rPr>
          <w:rFonts w:hint="default" w:ascii="Times New Roman" w:hAnsi="Times New Roman" w:cs="Times New Roman"/>
          <w:color w:val="auto"/>
        </w:rPr>
        <w:t xml:space="preserve"> NeuroImage, 2019. </w:t>
      </w:r>
      <w:r>
        <w:rPr>
          <w:rFonts w:hint="default" w:ascii="Times New Roman" w:hAnsi="Times New Roman" w:cs="Times New Roman"/>
          <w:b/>
          <w:color w:val="auto"/>
        </w:rPr>
        <w:t>196</w:t>
      </w:r>
      <w:r>
        <w:rPr>
          <w:rFonts w:hint="default" w:ascii="Times New Roman" w:hAnsi="Times New Roman" w:cs="Times New Roman"/>
          <w:color w:val="auto"/>
        </w:rPr>
        <w:t>: p. 126-141.</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14.</w:t>
      </w:r>
      <w:r>
        <w:rPr>
          <w:rFonts w:hint="default" w:ascii="Times New Roman" w:hAnsi="Times New Roman" w:cs="Times New Roman"/>
          <w:color w:val="auto"/>
        </w:rPr>
        <w:tab/>
      </w:r>
      <w:r>
        <w:rPr>
          <w:rFonts w:hint="default" w:ascii="Times New Roman" w:hAnsi="Times New Roman" w:cs="Times New Roman"/>
          <w:color w:val="auto"/>
        </w:rPr>
        <w:t xml:space="preserve">Chen, Y., et al., </w:t>
      </w:r>
      <w:r>
        <w:rPr>
          <w:rFonts w:hint="default" w:ascii="Times New Roman" w:hAnsi="Times New Roman" w:cs="Times New Roman"/>
          <w:i/>
          <w:color w:val="auto"/>
        </w:rPr>
        <w:t>Sex differences in attention deficit hyperactivity symptom severity and functional connectivity of the dorsal striatum in young adults.</w:t>
      </w:r>
      <w:r>
        <w:rPr>
          <w:rFonts w:hint="default" w:ascii="Times New Roman" w:hAnsi="Times New Roman" w:cs="Times New Roman"/>
          <w:color w:val="auto"/>
        </w:rPr>
        <w:t xml:space="preserve"> Neuroimage: Reports, 2021. </w:t>
      </w:r>
      <w:r>
        <w:rPr>
          <w:rFonts w:hint="default" w:ascii="Times New Roman" w:hAnsi="Times New Roman" w:cs="Times New Roman"/>
          <w:b/>
          <w:color w:val="auto"/>
        </w:rPr>
        <w:t>1</w:t>
      </w:r>
      <w:r>
        <w:rPr>
          <w:rFonts w:hint="default" w:ascii="Times New Roman" w:hAnsi="Times New Roman" w:cs="Times New Roman"/>
          <w:color w:val="auto"/>
        </w:rPr>
        <w:t>(2): p. 100025.</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15.</w:t>
      </w:r>
      <w:r>
        <w:rPr>
          <w:rFonts w:hint="default" w:ascii="Times New Roman" w:hAnsi="Times New Roman" w:cs="Times New Roman"/>
          <w:color w:val="auto"/>
        </w:rPr>
        <w:tab/>
      </w:r>
      <w:r>
        <w:rPr>
          <w:rFonts w:hint="default" w:ascii="Times New Roman" w:hAnsi="Times New Roman" w:cs="Times New Roman"/>
          <w:color w:val="auto"/>
        </w:rPr>
        <w:t xml:space="preserve">Zaborszky, L., et al., </w:t>
      </w:r>
      <w:r>
        <w:rPr>
          <w:rFonts w:hint="default" w:ascii="Times New Roman" w:hAnsi="Times New Roman" w:cs="Times New Roman"/>
          <w:i/>
          <w:color w:val="auto"/>
        </w:rPr>
        <w:t>Stereotaxic probabilistic maps of the magnocellular cell groups in human basal forebrain.</w:t>
      </w:r>
      <w:r>
        <w:rPr>
          <w:rFonts w:hint="default" w:ascii="Times New Roman" w:hAnsi="Times New Roman" w:cs="Times New Roman"/>
          <w:color w:val="auto"/>
        </w:rPr>
        <w:t xml:space="preserve"> Neuroimage, 2008. </w:t>
      </w:r>
      <w:r>
        <w:rPr>
          <w:rFonts w:hint="default" w:ascii="Times New Roman" w:hAnsi="Times New Roman" w:cs="Times New Roman"/>
          <w:b/>
          <w:color w:val="auto"/>
        </w:rPr>
        <w:t>42</w:t>
      </w:r>
      <w:r>
        <w:rPr>
          <w:rFonts w:hint="default" w:ascii="Times New Roman" w:hAnsi="Times New Roman" w:cs="Times New Roman"/>
          <w:color w:val="auto"/>
        </w:rPr>
        <w:t>(3): p. 1127-1141.</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16.</w:t>
      </w:r>
      <w:r>
        <w:rPr>
          <w:rFonts w:hint="default" w:ascii="Times New Roman" w:hAnsi="Times New Roman" w:cs="Times New Roman"/>
          <w:color w:val="auto"/>
        </w:rPr>
        <w:tab/>
      </w:r>
      <w:r>
        <w:rPr>
          <w:rFonts w:hint="default" w:ascii="Times New Roman" w:hAnsi="Times New Roman" w:cs="Times New Roman"/>
          <w:color w:val="auto"/>
        </w:rPr>
        <w:t xml:space="preserve">Tzourio-Mazoyer, N., et al., </w:t>
      </w:r>
      <w:r>
        <w:rPr>
          <w:rFonts w:hint="default" w:ascii="Times New Roman" w:hAnsi="Times New Roman" w:cs="Times New Roman"/>
          <w:i/>
          <w:color w:val="auto"/>
        </w:rPr>
        <w:t>Automated Anatomical Labeling of Activations in SPM Using a Macroscopic Anatomical Parcellation of the MNI MRI Single-Subject Brain.</w:t>
      </w:r>
      <w:r>
        <w:rPr>
          <w:rFonts w:hint="default" w:ascii="Times New Roman" w:hAnsi="Times New Roman" w:cs="Times New Roman"/>
          <w:color w:val="auto"/>
        </w:rPr>
        <w:t xml:space="preserve"> NeuroImage, 2002. </w:t>
      </w:r>
      <w:r>
        <w:rPr>
          <w:rFonts w:hint="default" w:ascii="Times New Roman" w:hAnsi="Times New Roman" w:cs="Times New Roman"/>
          <w:b/>
          <w:color w:val="auto"/>
        </w:rPr>
        <w:t>15</w:t>
      </w:r>
      <w:r>
        <w:rPr>
          <w:rFonts w:hint="default" w:ascii="Times New Roman" w:hAnsi="Times New Roman" w:cs="Times New Roman"/>
          <w:color w:val="auto"/>
        </w:rPr>
        <w:t>(1): p. 273-289.</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17.</w:t>
      </w:r>
      <w:r>
        <w:rPr>
          <w:rFonts w:hint="default" w:ascii="Times New Roman" w:hAnsi="Times New Roman" w:cs="Times New Roman"/>
          <w:color w:val="auto"/>
        </w:rPr>
        <w:tab/>
      </w:r>
      <w:r>
        <w:rPr>
          <w:rFonts w:hint="default" w:ascii="Times New Roman" w:hAnsi="Times New Roman" w:cs="Times New Roman"/>
          <w:color w:val="auto"/>
        </w:rPr>
        <w:t xml:space="preserve">Poldrack, R.A., et al., </w:t>
      </w:r>
      <w:r>
        <w:rPr>
          <w:rFonts w:hint="default" w:ascii="Times New Roman" w:hAnsi="Times New Roman" w:cs="Times New Roman"/>
          <w:i/>
          <w:color w:val="auto"/>
        </w:rPr>
        <w:t>Guidelines for reporting an fMRI study.</w:t>
      </w:r>
      <w:r>
        <w:rPr>
          <w:rFonts w:hint="default" w:ascii="Times New Roman" w:hAnsi="Times New Roman" w:cs="Times New Roman"/>
          <w:color w:val="auto"/>
        </w:rPr>
        <w:t xml:space="preserve"> Neuroimage, 2008. </w:t>
      </w:r>
      <w:r>
        <w:rPr>
          <w:rFonts w:hint="default" w:ascii="Times New Roman" w:hAnsi="Times New Roman" w:cs="Times New Roman"/>
          <w:b/>
          <w:color w:val="auto"/>
        </w:rPr>
        <w:t>40</w:t>
      </w:r>
      <w:r>
        <w:rPr>
          <w:rFonts w:hint="default" w:ascii="Times New Roman" w:hAnsi="Times New Roman" w:cs="Times New Roman"/>
          <w:color w:val="auto"/>
        </w:rPr>
        <w:t>(2): p. 409-414.</w:t>
      </w:r>
    </w:p>
    <w:p>
      <w:pPr>
        <w:pStyle w:val="11"/>
        <w:ind w:left="720" w:hanging="720"/>
        <w:jc w:val="both"/>
        <w:rPr>
          <w:rFonts w:hint="default" w:ascii="Times New Roman" w:hAnsi="Times New Roman" w:cs="Times New Roman"/>
          <w:color w:val="auto"/>
        </w:rPr>
      </w:pPr>
      <w:r>
        <w:rPr>
          <w:rFonts w:hint="default" w:ascii="Times New Roman" w:hAnsi="Times New Roman" w:cs="Times New Roman"/>
          <w:color w:val="auto"/>
        </w:rPr>
        <w:t>18.</w:t>
      </w:r>
      <w:r>
        <w:rPr>
          <w:rFonts w:hint="default" w:ascii="Times New Roman" w:hAnsi="Times New Roman" w:cs="Times New Roman"/>
          <w:color w:val="auto"/>
        </w:rPr>
        <w:tab/>
      </w:r>
      <w:r>
        <w:rPr>
          <w:rFonts w:hint="default" w:ascii="Times New Roman" w:hAnsi="Times New Roman" w:cs="Times New Roman"/>
          <w:color w:val="auto"/>
        </w:rPr>
        <w:t xml:space="preserve">Kleber, B., et al., </w:t>
      </w:r>
      <w:r>
        <w:rPr>
          <w:rFonts w:hint="default" w:ascii="Times New Roman" w:hAnsi="Times New Roman" w:cs="Times New Roman"/>
          <w:i/>
          <w:color w:val="auto"/>
        </w:rPr>
        <w:t>Voxel-based morphometry in opera singers: Increased gray-matter volume in right somatosensory and auditory cortices.</w:t>
      </w:r>
      <w:r>
        <w:rPr>
          <w:rFonts w:hint="default" w:ascii="Times New Roman" w:hAnsi="Times New Roman" w:cs="Times New Roman"/>
          <w:color w:val="auto"/>
        </w:rPr>
        <w:t xml:space="preserve"> Neuroimage, 2016. </w:t>
      </w:r>
      <w:r>
        <w:rPr>
          <w:rFonts w:hint="default" w:ascii="Times New Roman" w:hAnsi="Times New Roman" w:cs="Times New Roman"/>
          <w:b/>
          <w:color w:val="auto"/>
        </w:rPr>
        <w:t>133</w:t>
      </w:r>
      <w:r>
        <w:rPr>
          <w:rFonts w:hint="default" w:ascii="Times New Roman" w:hAnsi="Times New Roman" w:cs="Times New Roman"/>
          <w:color w:val="auto"/>
        </w:rPr>
        <w:t>: p. 477-483.</w:t>
      </w:r>
    </w:p>
    <w:p>
      <w:pPr>
        <w:spacing w:line="360" w:lineRule="auto"/>
        <w:jc w:val="both"/>
        <w:rPr>
          <w:rFonts w:hint="default" w:ascii="Times New Roman" w:hAnsi="Times New Roman" w:cs="Times New Roman"/>
          <w:color w:val="auto"/>
        </w:rPr>
      </w:pPr>
      <w:r>
        <w:rPr>
          <w:rFonts w:hint="default" w:ascii="Times New Roman" w:hAnsi="Times New Roman" w:cs="Times New Roman"/>
          <w:color w:val="auto"/>
        </w:rPr>
        <w:fldChar w:fldCharType="end"/>
      </w:r>
    </w:p>
    <w:sectPr>
      <w:footerReference r:id="rId3" w:type="default"/>
      <w:footerReference r:id="rId4" w:type="even"/>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805350994"/>
      <w:docPartObj>
        <w:docPartGallery w:val="autotext"/>
      </w:docPartObj>
    </w:sdtPr>
    <w:sdtEndPr>
      <w:rPr>
        <w:rStyle w:val="6"/>
      </w:rPr>
    </w:sdtEndPr>
    <w:sdtContent>
      <w:p>
        <w:pPr>
          <w:pStyle w:val="2"/>
          <w:framePr w:wrap="auto" w:vAnchor="text" w:hAnchor="margin" w:xAlign="right"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054285425"/>
      <w:docPartObj>
        <w:docPartGallery w:val="autotext"/>
      </w:docPartObj>
    </w:sdtPr>
    <w:sdtEndPr>
      <w:rPr>
        <w:rStyle w:val="6"/>
      </w:rPr>
    </w:sdtEndPr>
    <w:sdtContent>
      <w:p>
        <w:pPr>
          <w:pStyle w:val="2"/>
          <w:framePr w:wrap="auto"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MDI0MmVhMDdkNjNiYzBhMGRlNzViYTU4YmJlZmQifQ=="/>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fvpzv99k5dap3erxp8xt2xws5vxwxxtxvzz&quot;&gt;labRay-Converted&lt;record-ids&gt;&lt;item&gt;22&lt;/item&gt;&lt;item&gt;227&lt;/item&gt;&lt;item&gt;230&lt;/item&gt;&lt;item&gt;289&lt;/item&gt;&lt;item&gt;290&lt;/item&gt;&lt;item&gt;291&lt;/item&gt;&lt;item&gt;296&lt;/item&gt;&lt;item&gt;720&lt;/item&gt;&lt;item&gt;995&lt;/item&gt;&lt;item&gt;1040&lt;/item&gt;&lt;item&gt;1053&lt;/item&gt;&lt;item&gt;1100&lt;/item&gt;&lt;item&gt;1101&lt;/item&gt;&lt;item&gt;1102&lt;/item&gt;&lt;item&gt;1103&lt;/item&gt;&lt;item&gt;1104&lt;/item&gt;&lt;item&gt;1168&lt;/item&gt;&lt;item&gt;1856&lt;/item&gt;&lt;/record-ids&gt;&lt;/item&gt;&lt;/Libraries&gt;"/>
  </w:docVars>
  <w:rsids>
    <w:rsidRoot w:val="00B92D9E"/>
    <w:rsid w:val="00044928"/>
    <w:rsid w:val="00063947"/>
    <w:rsid w:val="00067991"/>
    <w:rsid w:val="000902B4"/>
    <w:rsid w:val="000B3B02"/>
    <w:rsid w:val="00131B28"/>
    <w:rsid w:val="0013794F"/>
    <w:rsid w:val="00170D55"/>
    <w:rsid w:val="001725B2"/>
    <w:rsid w:val="001A1FED"/>
    <w:rsid w:val="001B2E73"/>
    <w:rsid w:val="001C6C29"/>
    <w:rsid w:val="001E471B"/>
    <w:rsid w:val="002558D9"/>
    <w:rsid w:val="00261E33"/>
    <w:rsid w:val="00282447"/>
    <w:rsid w:val="002A6375"/>
    <w:rsid w:val="002E50AE"/>
    <w:rsid w:val="00315007"/>
    <w:rsid w:val="0036114C"/>
    <w:rsid w:val="003964FC"/>
    <w:rsid w:val="003B64C4"/>
    <w:rsid w:val="003E2190"/>
    <w:rsid w:val="00446B92"/>
    <w:rsid w:val="0046240C"/>
    <w:rsid w:val="004D2406"/>
    <w:rsid w:val="004E28A9"/>
    <w:rsid w:val="005065B0"/>
    <w:rsid w:val="005234BF"/>
    <w:rsid w:val="00526E2A"/>
    <w:rsid w:val="00531FFB"/>
    <w:rsid w:val="00562A8B"/>
    <w:rsid w:val="00577A76"/>
    <w:rsid w:val="005A056C"/>
    <w:rsid w:val="005C156C"/>
    <w:rsid w:val="005E42C7"/>
    <w:rsid w:val="005E49CA"/>
    <w:rsid w:val="0063045A"/>
    <w:rsid w:val="00642B81"/>
    <w:rsid w:val="00687D88"/>
    <w:rsid w:val="0069103E"/>
    <w:rsid w:val="006A6766"/>
    <w:rsid w:val="006C2211"/>
    <w:rsid w:val="006C7541"/>
    <w:rsid w:val="00742AA4"/>
    <w:rsid w:val="00777F0C"/>
    <w:rsid w:val="007C6AEF"/>
    <w:rsid w:val="007E3A32"/>
    <w:rsid w:val="007F1FAF"/>
    <w:rsid w:val="00805749"/>
    <w:rsid w:val="008145C8"/>
    <w:rsid w:val="0083720F"/>
    <w:rsid w:val="0084728E"/>
    <w:rsid w:val="00863A89"/>
    <w:rsid w:val="008756D2"/>
    <w:rsid w:val="00884F2F"/>
    <w:rsid w:val="00890340"/>
    <w:rsid w:val="008B483D"/>
    <w:rsid w:val="008D55D9"/>
    <w:rsid w:val="008F34C6"/>
    <w:rsid w:val="008F4B64"/>
    <w:rsid w:val="008F78F4"/>
    <w:rsid w:val="009009EB"/>
    <w:rsid w:val="00910A27"/>
    <w:rsid w:val="00912926"/>
    <w:rsid w:val="009321AD"/>
    <w:rsid w:val="00932CEC"/>
    <w:rsid w:val="009842ED"/>
    <w:rsid w:val="009D4783"/>
    <w:rsid w:val="009D5DF6"/>
    <w:rsid w:val="00A20CE7"/>
    <w:rsid w:val="00A32AB2"/>
    <w:rsid w:val="00A54E7B"/>
    <w:rsid w:val="00B4680A"/>
    <w:rsid w:val="00B92D9E"/>
    <w:rsid w:val="00BB2536"/>
    <w:rsid w:val="00BB6011"/>
    <w:rsid w:val="00BD0214"/>
    <w:rsid w:val="00BD4B21"/>
    <w:rsid w:val="00C10065"/>
    <w:rsid w:val="00C2320D"/>
    <w:rsid w:val="00C2460B"/>
    <w:rsid w:val="00C26D0F"/>
    <w:rsid w:val="00C3034B"/>
    <w:rsid w:val="00C50649"/>
    <w:rsid w:val="00C80797"/>
    <w:rsid w:val="00CA5941"/>
    <w:rsid w:val="00D250A4"/>
    <w:rsid w:val="00D42F82"/>
    <w:rsid w:val="00D807D4"/>
    <w:rsid w:val="00DC3753"/>
    <w:rsid w:val="00DF53F9"/>
    <w:rsid w:val="00E040F1"/>
    <w:rsid w:val="00E05C7B"/>
    <w:rsid w:val="00E2285B"/>
    <w:rsid w:val="00E71675"/>
    <w:rsid w:val="00EF07DB"/>
    <w:rsid w:val="00F23FF1"/>
    <w:rsid w:val="00F62A0B"/>
    <w:rsid w:val="00F91B94"/>
    <w:rsid w:val="00FA1225"/>
    <w:rsid w:val="00FD10F9"/>
    <w:rsid w:val="00FF46DB"/>
    <w:rsid w:val="0A3401E2"/>
    <w:rsid w:val="1A597764"/>
    <w:rsid w:val="335C2D4D"/>
    <w:rsid w:val="42592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cs="Arial" w:eastAsiaTheme="minorEastAsia"/>
      <w:sz w:val="24"/>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680"/>
        <w:tab w:val="right" w:pos="9360"/>
      </w:tabs>
    </w:p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basedOn w:val="5"/>
    <w:semiHidden/>
    <w:unhideWhenUsed/>
    <w:qFormat/>
    <w:uiPriority w:val="99"/>
  </w:style>
  <w:style w:type="character" w:customStyle="1" w:styleId="7">
    <w:name w:val="Footer Char"/>
    <w:basedOn w:val="5"/>
    <w:link w:val="2"/>
    <w:qFormat/>
    <w:uiPriority w:val="99"/>
  </w:style>
  <w:style w:type="paragraph" w:customStyle="1" w:styleId="8">
    <w:name w:val="Revision"/>
    <w:hidden/>
    <w:semiHidden/>
    <w:qFormat/>
    <w:uiPriority w:val="99"/>
    <w:rPr>
      <w:rFonts w:ascii="Arial" w:hAnsi="Arial" w:cs="Arial" w:eastAsiaTheme="minorEastAsia"/>
      <w:sz w:val="24"/>
      <w:szCs w:val="24"/>
      <w:lang w:val="en-US" w:eastAsia="zh-CN" w:bidi="ar-SA"/>
    </w:rPr>
  </w:style>
  <w:style w:type="paragraph" w:customStyle="1" w:styleId="9">
    <w:name w:val="EndNote Bibliography Title"/>
    <w:basedOn w:val="1"/>
    <w:link w:val="10"/>
    <w:qFormat/>
    <w:uiPriority w:val="0"/>
    <w:pPr>
      <w:jc w:val="center"/>
    </w:pPr>
  </w:style>
  <w:style w:type="character" w:customStyle="1" w:styleId="10">
    <w:name w:val="EndNote Bibliography Title Char"/>
    <w:basedOn w:val="5"/>
    <w:link w:val="9"/>
    <w:qFormat/>
    <w:uiPriority w:val="0"/>
  </w:style>
  <w:style w:type="paragraph" w:customStyle="1" w:styleId="11">
    <w:name w:val="EndNote Bibliography"/>
    <w:basedOn w:val="1"/>
    <w:link w:val="12"/>
    <w:qFormat/>
    <w:uiPriority w:val="0"/>
  </w:style>
  <w:style w:type="character" w:customStyle="1" w:styleId="12">
    <w:name w:val="EndNote Bibliography Char"/>
    <w:basedOn w:val="5"/>
    <w:link w:val="1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1727</Words>
  <Characters>9622</Characters>
  <Lines>403</Lines>
  <Paragraphs>186</Paragraphs>
  <TotalTime>19</TotalTime>
  <ScaleCrop>false</ScaleCrop>
  <LinksUpToDate>false</LinksUpToDate>
  <CharactersWithSpaces>11307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2023-01-30T16:12:00Z</dcterms:created>
  <dc:creator>Chen, Yu</dc:creator>
  <cp:lastModifiedBy>Jane</cp:lastModifiedBy>
  <dcterms:modified xsi:type="dcterms:W3CDTF">2023-04-26T01:58:27Z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95DC867329044A9B9A8E3FA76251FE40</vt:lpwstr>
  </property>
</Properties>
</file>