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tbl>
      <w:tblPr>
        <w:tblStyle w:val="8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7"/>
        <w:gridCol w:w="722"/>
        <w:gridCol w:w="707"/>
        <w:gridCol w:w="722"/>
        <w:gridCol w:w="708"/>
        <w:gridCol w:w="222"/>
        <w:gridCol w:w="723"/>
        <w:gridCol w:w="708"/>
        <w:gridCol w:w="631"/>
        <w:gridCol w:w="620"/>
        <w:gridCol w:w="222"/>
        <w:gridCol w:w="723"/>
        <w:gridCol w:w="708"/>
        <w:gridCol w:w="723"/>
        <w:gridCol w:w="7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881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</w:p>
        </w:tc>
        <w:tc>
          <w:tcPr>
            <w:tcW w:w="668" w:type="pct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000000" w:fill="BFBFB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Philips</w:t>
            </w:r>
          </w:p>
        </w:tc>
        <w:tc>
          <w:tcPr>
            <w:tcW w:w="668" w:type="pct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000000" w:fill="D9D9D9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GE</w:t>
            </w:r>
          </w:p>
        </w:tc>
        <w:tc>
          <w:tcPr>
            <w:tcW w:w="96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68" w:type="pct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000000" w:fill="BFBFB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Philips</w:t>
            </w:r>
          </w:p>
        </w:tc>
        <w:tc>
          <w:tcPr>
            <w:tcW w:w="585" w:type="pct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000000" w:fill="D9D9D9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GE</w:t>
            </w:r>
          </w:p>
        </w:tc>
        <w:tc>
          <w:tcPr>
            <w:tcW w:w="96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68" w:type="pct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000000" w:fill="BFBFB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Philips</w:t>
            </w:r>
          </w:p>
        </w:tc>
        <w:tc>
          <w:tcPr>
            <w:tcW w:w="668" w:type="pct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000000" w:fill="D9D9D9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88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</w:p>
        </w:tc>
        <w:tc>
          <w:tcPr>
            <w:tcW w:w="668" w:type="pct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C6E0B4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FD</w:t>
            </w: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13"/>
                <w:szCs w:val="13"/>
              </w:rPr>
              <w:t xml:space="preserve"> g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&gt;1.00</w:t>
            </w:r>
          </w:p>
        </w:tc>
        <w:tc>
          <w:tcPr>
            <w:tcW w:w="668" w:type="pct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C6E0B4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 xml:space="preserve">FD </w:t>
            </w: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13"/>
                <w:szCs w:val="13"/>
              </w:rPr>
              <w:t>g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&gt;1.35</w:t>
            </w:r>
          </w:p>
        </w:tc>
        <w:tc>
          <w:tcPr>
            <w:tcW w:w="96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</w:p>
        </w:tc>
        <w:tc>
          <w:tcPr>
            <w:tcW w:w="668" w:type="pct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C6E0B4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 xml:space="preserve">log FC </w:t>
            </w: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13"/>
                <w:szCs w:val="13"/>
              </w:rPr>
              <w:t>g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&gt;1.00</w:t>
            </w:r>
          </w:p>
        </w:tc>
        <w:tc>
          <w:tcPr>
            <w:tcW w:w="585" w:type="pct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C6E0B4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 xml:space="preserve">log FC </w:t>
            </w: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13"/>
                <w:szCs w:val="13"/>
              </w:rPr>
              <w:t>g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&gt;1.35</w:t>
            </w:r>
          </w:p>
        </w:tc>
        <w:tc>
          <w:tcPr>
            <w:tcW w:w="96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</w:p>
        </w:tc>
        <w:tc>
          <w:tcPr>
            <w:tcW w:w="668" w:type="pct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C6E0B4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 xml:space="preserve">FDC </w:t>
            </w: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13"/>
                <w:szCs w:val="13"/>
              </w:rPr>
              <w:t>g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&gt;1.00</w:t>
            </w:r>
          </w:p>
        </w:tc>
        <w:tc>
          <w:tcPr>
            <w:tcW w:w="668" w:type="pct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C6E0B4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 xml:space="preserve">FDC </w:t>
            </w: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13"/>
                <w:szCs w:val="13"/>
              </w:rPr>
              <w:t>g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&gt;1.35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881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D9D9D9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ICBM-DTI 81</w:t>
            </w:r>
          </w:p>
        </w:tc>
        <w:tc>
          <w:tcPr>
            <w:tcW w:w="338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D9D9D9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Vol %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D9D9D9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13"/>
                <w:szCs w:val="13"/>
              </w:rPr>
              <w:t>g</w:t>
            </w:r>
          </w:p>
        </w:tc>
        <w:tc>
          <w:tcPr>
            <w:tcW w:w="338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D9D9D9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Vol %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D9D9D9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13"/>
                <w:szCs w:val="13"/>
              </w:rPr>
              <w:t>g</w:t>
            </w:r>
          </w:p>
        </w:tc>
        <w:tc>
          <w:tcPr>
            <w:tcW w:w="96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D9D9D9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Vol %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D9D9D9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13"/>
                <w:szCs w:val="13"/>
              </w:rPr>
              <w:t>g</w:t>
            </w:r>
          </w:p>
        </w:tc>
        <w:tc>
          <w:tcPr>
            <w:tcW w:w="295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D9D9D9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Vol %</w:t>
            </w:r>
          </w:p>
        </w:tc>
        <w:tc>
          <w:tcPr>
            <w:tcW w:w="289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D9D9D9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13"/>
                <w:szCs w:val="13"/>
              </w:rPr>
              <w:t>g</w:t>
            </w:r>
          </w:p>
        </w:tc>
        <w:tc>
          <w:tcPr>
            <w:tcW w:w="96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D9D9D9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Vol %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D9D9D9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13"/>
                <w:szCs w:val="13"/>
              </w:rPr>
              <w:t>g</w:t>
            </w:r>
          </w:p>
        </w:tc>
        <w:tc>
          <w:tcPr>
            <w:tcW w:w="338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D9D9D9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Vol %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D9D9D9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13"/>
                <w:szCs w:val="13"/>
              </w:rPr>
              <w:t>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atLeast"/>
        </w:trPr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Body of corpus callosum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2.20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1.479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0.53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1.068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9.61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1.895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2.16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1.090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5.83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1.876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Splenium of corpus callosum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11.01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1.247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7.68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1.622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9.49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1.094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15.52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1.882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23.20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1.226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13.30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1.863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Superior corona radiata R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0.36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1.460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Cingulum (cingulate gyrus) R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0.17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1.067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0.34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1.675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88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Tapetum L</w:t>
            </w:r>
          </w:p>
        </w:tc>
        <w:tc>
          <w:tcPr>
            <w:tcW w:w="33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33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96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295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28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96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30.17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</w:rPr>
              <w:t>1.097</w:t>
            </w:r>
          </w:p>
        </w:tc>
        <w:tc>
          <w:tcPr>
            <w:tcW w:w="33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-</w:t>
            </w:r>
          </w:p>
        </w:tc>
      </w:tr>
    </w:tbl>
    <w:p>
      <w:pPr>
        <w:spacing w:line="480" w:lineRule="auto"/>
      </w:pPr>
    </w:p>
    <w:p>
      <w:pPr>
        <w:spacing w:line="480" w:lineRule="auto"/>
        <w:rPr>
          <w:rFonts w:cstheme="minorHAnsi"/>
        </w:rPr>
      </w:pPr>
      <w:r>
        <w:rPr>
          <w:rFonts w:cstheme="minorHAnsi"/>
          <w:b/>
          <w:bCs/>
        </w:rPr>
        <w:t>Supplementary Table 1</w:t>
      </w:r>
      <w:r>
        <w:rPr>
          <w:rFonts w:cstheme="minorHAnsi"/>
        </w:rPr>
        <w:t xml:space="preserve">: Differences between ET and PD from the Philips and GE scanners separately, reported for effect-size (large effect </w:t>
      </w:r>
      <w:r>
        <w:rPr>
          <w:rFonts w:cstheme="minorHAnsi"/>
          <w:i/>
          <w:iCs/>
        </w:rPr>
        <w:t>g</w:t>
      </w:r>
      <w:r>
        <w:rPr>
          <w:rFonts w:cstheme="minorHAnsi"/>
        </w:rPr>
        <w:t xml:space="preserve">&gt;1.00 and </w:t>
      </w:r>
      <w:r>
        <w:rPr>
          <w:rFonts w:cstheme="minorHAnsi"/>
          <w:i/>
          <w:iCs/>
        </w:rPr>
        <w:t>g</w:t>
      </w:r>
      <w:r>
        <w:rPr>
          <w:rFonts w:cstheme="minorHAnsi"/>
        </w:rPr>
        <w:t xml:space="preserve">&gt;1.35 for Philips and GE, respectively). Vol%: volumes (in %) covered from the cluster inside the corresponding white matter atlas area; </w:t>
      </w:r>
      <w:r>
        <w:rPr>
          <w:rFonts w:cstheme="minorHAnsi"/>
          <w:i/>
          <w:iCs/>
        </w:rPr>
        <w:t>g</w:t>
      </w:r>
      <w:r>
        <w:rPr>
          <w:rFonts w:cstheme="minorHAnsi"/>
        </w:rPr>
        <w:t>: mean effect-size values inside the clusters.</w:t>
      </w:r>
    </w:p>
    <w:p>
      <w:pPr>
        <w:rPr>
          <w:rFonts w:cstheme="minorHAnsi"/>
        </w:rPr>
      </w:pPr>
      <w:r>
        <w:rPr>
          <w:rFonts w:cstheme="minorHAnsi"/>
        </w:rPr>
        <w:br w:type="page"/>
      </w:r>
    </w:p>
    <w:p>
      <w:pPr>
        <w:spacing w:line="480" w:lineRule="auto"/>
        <w:rPr>
          <w:rFonts w:cstheme="minorHAnsi"/>
        </w:rPr>
      </w:pPr>
      <w:r>
        <w:rPr>
          <w:rFonts w:cstheme="minorHAnsi"/>
        </w:rPr>
        <w:drawing>
          <wp:inline distT="0" distB="0" distL="0" distR="0">
            <wp:extent cx="5943600" cy="7715885"/>
            <wp:effectExtent l="0" t="0" r="0" b="5715"/>
            <wp:docPr id="6" name="Picture 6" descr="A picture containing text, bunch, severa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ext, bunch, several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1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cstheme="minorHAnsi"/>
        </w:rPr>
      </w:pPr>
    </w:p>
    <w:p>
      <w:pPr>
        <w:spacing w:line="480" w:lineRule="auto"/>
        <w:rPr>
          <w:rFonts w:cstheme="minorHAnsi"/>
        </w:rPr>
      </w:pPr>
      <w:r>
        <w:rPr>
          <w:rFonts w:cstheme="minorHAnsi"/>
          <w:b/>
          <w:bCs/>
        </w:rPr>
        <w:t>Supplementary Figure 1:</w:t>
      </w:r>
      <w:r>
        <w:rPr>
          <w:rFonts w:cstheme="minorHAnsi"/>
        </w:rPr>
        <w:t xml:space="preserve"> FBA analysis for GE and Philips scanners separately: significant clusters of differences between the two groups at large effect-sizes (</w:t>
      </w:r>
      <w:r>
        <w:rPr>
          <w:rFonts w:cstheme="minorHAnsi"/>
          <w:i/>
          <w:iCs/>
        </w:rPr>
        <w:t>g</w:t>
      </w:r>
      <w:r>
        <w:rPr>
          <w:rFonts w:cstheme="minorHAnsi"/>
        </w:rPr>
        <w:t>&gt;1.00 and</w:t>
      </w:r>
      <w:r>
        <w:rPr>
          <w:rFonts w:cstheme="minorHAnsi"/>
          <w:i/>
          <w:iCs/>
        </w:rPr>
        <w:t xml:space="preserve"> g</w:t>
      </w:r>
      <w:r>
        <w:rPr>
          <w:rFonts w:cstheme="minorHAnsi"/>
        </w:rPr>
        <w:t>&gt;1.35 for Philips and GE, respectively) were detected. These results confirm the findings in Figure 2 and Table 2.</w:t>
      </w:r>
    </w:p>
    <w:p>
      <w:pPr>
        <w:spacing w:line="360" w:lineRule="auto"/>
        <w:rPr>
          <w:rFonts w:ascii="Arial" w:hAnsi="Arial"/>
        </w:rPr>
      </w:pPr>
    </w:p>
    <w:sectPr>
      <w:pgSz w:w="12240" w:h="15840"/>
      <w:pgMar w:top="864" w:right="864" w:bottom="864" w:left="864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Lucida Grande">
    <w:altName w:val="Courier New"/>
    <w:panose1 w:val="020B0600040502020204"/>
    <w:charset w:val="00"/>
    <w:family w:val="swiss"/>
    <w:pitch w:val="default"/>
    <w:sig w:usb0="00000000" w:usb1="00000000" w:usb2="00000000" w:usb3="00000000" w:csb0="000001B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zMDI0MmVhMDdkNjNiYzBhMGRlNzViYTU4YmJlZmQifQ=="/>
  </w:docVars>
  <w:rsids>
    <w:rsidRoot w:val="00183B93"/>
    <w:rsid w:val="000037F4"/>
    <w:rsid w:val="00007F96"/>
    <w:rsid w:val="00023B08"/>
    <w:rsid w:val="00030AE8"/>
    <w:rsid w:val="00044A6C"/>
    <w:rsid w:val="00044E05"/>
    <w:rsid w:val="00087643"/>
    <w:rsid w:val="00090081"/>
    <w:rsid w:val="00092D7D"/>
    <w:rsid w:val="000A01CF"/>
    <w:rsid w:val="000A5A51"/>
    <w:rsid w:val="000C3634"/>
    <w:rsid w:val="000C7181"/>
    <w:rsid w:val="000D298C"/>
    <w:rsid w:val="000E4788"/>
    <w:rsid w:val="000E4B1A"/>
    <w:rsid w:val="001022CB"/>
    <w:rsid w:val="001271A0"/>
    <w:rsid w:val="00140072"/>
    <w:rsid w:val="001610BC"/>
    <w:rsid w:val="00161FA4"/>
    <w:rsid w:val="00165891"/>
    <w:rsid w:val="0016753D"/>
    <w:rsid w:val="001809CF"/>
    <w:rsid w:val="00183B93"/>
    <w:rsid w:val="001B7809"/>
    <w:rsid w:val="001C24DE"/>
    <w:rsid w:val="001F2319"/>
    <w:rsid w:val="001F4A2D"/>
    <w:rsid w:val="00201366"/>
    <w:rsid w:val="00203E85"/>
    <w:rsid w:val="00205115"/>
    <w:rsid w:val="002122C8"/>
    <w:rsid w:val="002243C2"/>
    <w:rsid w:val="0022491D"/>
    <w:rsid w:val="00225AD2"/>
    <w:rsid w:val="00261105"/>
    <w:rsid w:val="002615A6"/>
    <w:rsid w:val="0028320A"/>
    <w:rsid w:val="002B5C93"/>
    <w:rsid w:val="002C34E1"/>
    <w:rsid w:val="002C72C6"/>
    <w:rsid w:val="002D2648"/>
    <w:rsid w:val="002E2B82"/>
    <w:rsid w:val="002E2F18"/>
    <w:rsid w:val="0030197D"/>
    <w:rsid w:val="00314937"/>
    <w:rsid w:val="00321E4E"/>
    <w:rsid w:val="00323F74"/>
    <w:rsid w:val="00331F85"/>
    <w:rsid w:val="00356D32"/>
    <w:rsid w:val="00363754"/>
    <w:rsid w:val="00385D2A"/>
    <w:rsid w:val="003B69B6"/>
    <w:rsid w:val="003D19B3"/>
    <w:rsid w:val="003D4F1C"/>
    <w:rsid w:val="003E4C74"/>
    <w:rsid w:val="003F7C88"/>
    <w:rsid w:val="003F7E46"/>
    <w:rsid w:val="004041E1"/>
    <w:rsid w:val="00411BEB"/>
    <w:rsid w:val="00450455"/>
    <w:rsid w:val="0046465C"/>
    <w:rsid w:val="00464A89"/>
    <w:rsid w:val="0047572E"/>
    <w:rsid w:val="00485F0F"/>
    <w:rsid w:val="0049747E"/>
    <w:rsid w:val="004A6EF2"/>
    <w:rsid w:val="004B7F9C"/>
    <w:rsid w:val="004C1965"/>
    <w:rsid w:val="004C4F0C"/>
    <w:rsid w:val="004E7796"/>
    <w:rsid w:val="004F5314"/>
    <w:rsid w:val="00507BF3"/>
    <w:rsid w:val="00544291"/>
    <w:rsid w:val="005706E9"/>
    <w:rsid w:val="00584BAC"/>
    <w:rsid w:val="00591BC6"/>
    <w:rsid w:val="005A54B2"/>
    <w:rsid w:val="005E6CEF"/>
    <w:rsid w:val="00601A53"/>
    <w:rsid w:val="0060246B"/>
    <w:rsid w:val="00610345"/>
    <w:rsid w:val="00624C89"/>
    <w:rsid w:val="0062736A"/>
    <w:rsid w:val="006301BF"/>
    <w:rsid w:val="00644940"/>
    <w:rsid w:val="00647136"/>
    <w:rsid w:val="00653F37"/>
    <w:rsid w:val="00675D41"/>
    <w:rsid w:val="006818BC"/>
    <w:rsid w:val="00684114"/>
    <w:rsid w:val="006B7278"/>
    <w:rsid w:val="006B78D6"/>
    <w:rsid w:val="006C5530"/>
    <w:rsid w:val="006F6891"/>
    <w:rsid w:val="00726687"/>
    <w:rsid w:val="0073073A"/>
    <w:rsid w:val="00754A83"/>
    <w:rsid w:val="007833E1"/>
    <w:rsid w:val="00795D52"/>
    <w:rsid w:val="00795E0E"/>
    <w:rsid w:val="007B7658"/>
    <w:rsid w:val="007C1FD7"/>
    <w:rsid w:val="007C74A1"/>
    <w:rsid w:val="007F78D0"/>
    <w:rsid w:val="00833291"/>
    <w:rsid w:val="00844C45"/>
    <w:rsid w:val="00855D0C"/>
    <w:rsid w:val="00880BBF"/>
    <w:rsid w:val="00892DC6"/>
    <w:rsid w:val="008A7170"/>
    <w:rsid w:val="008B4AC7"/>
    <w:rsid w:val="008C577B"/>
    <w:rsid w:val="008D489A"/>
    <w:rsid w:val="008F2DE7"/>
    <w:rsid w:val="008F3C90"/>
    <w:rsid w:val="00904DB0"/>
    <w:rsid w:val="00920E59"/>
    <w:rsid w:val="00952327"/>
    <w:rsid w:val="00962278"/>
    <w:rsid w:val="00965083"/>
    <w:rsid w:val="00965CA1"/>
    <w:rsid w:val="009677E1"/>
    <w:rsid w:val="009846B8"/>
    <w:rsid w:val="00984B7D"/>
    <w:rsid w:val="00993D36"/>
    <w:rsid w:val="00997869"/>
    <w:rsid w:val="009B4E8B"/>
    <w:rsid w:val="009D38F3"/>
    <w:rsid w:val="00A0448D"/>
    <w:rsid w:val="00A139F7"/>
    <w:rsid w:val="00A5727F"/>
    <w:rsid w:val="00A64066"/>
    <w:rsid w:val="00A76624"/>
    <w:rsid w:val="00A816C4"/>
    <w:rsid w:val="00A95A7F"/>
    <w:rsid w:val="00AA5657"/>
    <w:rsid w:val="00AC1B66"/>
    <w:rsid w:val="00AC4D6F"/>
    <w:rsid w:val="00AD0E7A"/>
    <w:rsid w:val="00AD6389"/>
    <w:rsid w:val="00AE3A10"/>
    <w:rsid w:val="00AF3EB3"/>
    <w:rsid w:val="00B13125"/>
    <w:rsid w:val="00B43FC6"/>
    <w:rsid w:val="00B526C8"/>
    <w:rsid w:val="00B5555F"/>
    <w:rsid w:val="00B644B9"/>
    <w:rsid w:val="00B728F4"/>
    <w:rsid w:val="00B7399C"/>
    <w:rsid w:val="00B959CF"/>
    <w:rsid w:val="00BA2BB0"/>
    <w:rsid w:val="00BE6542"/>
    <w:rsid w:val="00BF00BC"/>
    <w:rsid w:val="00BF1921"/>
    <w:rsid w:val="00C04EC9"/>
    <w:rsid w:val="00C20A6C"/>
    <w:rsid w:val="00C20BB3"/>
    <w:rsid w:val="00C3763B"/>
    <w:rsid w:val="00C42A38"/>
    <w:rsid w:val="00C44CA4"/>
    <w:rsid w:val="00C90672"/>
    <w:rsid w:val="00CB0386"/>
    <w:rsid w:val="00CB5465"/>
    <w:rsid w:val="00CE4A2B"/>
    <w:rsid w:val="00CE55FC"/>
    <w:rsid w:val="00D11400"/>
    <w:rsid w:val="00D13FAE"/>
    <w:rsid w:val="00D17BE8"/>
    <w:rsid w:val="00D473B6"/>
    <w:rsid w:val="00D5247D"/>
    <w:rsid w:val="00D5442B"/>
    <w:rsid w:val="00D724D5"/>
    <w:rsid w:val="00D76721"/>
    <w:rsid w:val="00D96178"/>
    <w:rsid w:val="00D96B68"/>
    <w:rsid w:val="00D97F31"/>
    <w:rsid w:val="00DA0F3C"/>
    <w:rsid w:val="00DD0FB2"/>
    <w:rsid w:val="00DE40F2"/>
    <w:rsid w:val="00DF1289"/>
    <w:rsid w:val="00DF56EA"/>
    <w:rsid w:val="00E02160"/>
    <w:rsid w:val="00E11C65"/>
    <w:rsid w:val="00E23633"/>
    <w:rsid w:val="00E533E3"/>
    <w:rsid w:val="00E662F9"/>
    <w:rsid w:val="00E6790E"/>
    <w:rsid w:val="00E83055"/>
    <w:rsid w:val="00EA0A11"/>
    <w:rsid w:val="00EB1118"/>
    <w:rsid w:val="00EB5FFD"/>
    <w:rsid w:val="00EC2C7A"/>
    <w:rsid w:val="00EE2C63"/>
    <w:rsid w:val="00EF4693"/>
    <w:rsid w:val="00F10DA4"/>
    <w:rsid w:val="00F15448"/>
    <w:rsid w:val="00F440F4"/>
    <w:rsid w:val="00F4691F"/>
    <w:rsid w:val="00F61D89"/>
    <w:rsid w:val="00F67991"/>
    <w:rsid w:val="00F70EDD"/>
    <w:rsid w:val="00F7280C"/>
    <w:rsid w:val="00F86C2E"/>
    <w:rsid w:val="00F8724E"/>
    <w:rsid w:val="00F87DA5"/>
    <w:rsid w:val="00FA0A61"/>
    <w:rsid w:val="00FA5A34"/>
    <w:rsid w:val="00FB0B07"/>
    <w:rsid w:val="00FC1115"/>
    <w:rsid w:val="00FC6DF7"/>
    <w:rsid w:val="00FD3912"/>
    <w:rsid w:val="00FE2048"/>
    <w:rsid w:val="00FE2BC7"/>
    <w:rsid w:val="243639F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iPriority="0" w:name="heading 5"/>
    <w:lsdException w:uiPriority="0" w:name="heading 6"/>
    <w:lsdException w:uiPriority="0" w:name="heading 7"/>
    <w:lsdException w:uiPriority="0" w:name="heading 8"/>
    <w:lsdException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uiPriority="99" w:semiHidden="0" w:name="header"/>
    <w:lsdException w:uiPriority="99" w:semiHidden="0" w:name="footer"/>
    <w:lsdException w:uiPriority="0" w:name="index heading"/>
    <w:lsdException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iPriority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iPriority="0" w:name="List Number 5"/>
    <w:lsdException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0"/>
    <w:rPr>
      <w:sz w:val="20"/>
      <w:szCs w:val="20"/>
    </w:rPr>
  </w:style>
  <w:style w:type="paragraph" w:styleId="3">
    <w:name w:val="Balloon Text"/>
    <w:basedOn w:val="1"/>
    <w:link w:val="13"/>
    <w:semiHidden/>
    <w:unhideWhenUsed/>
    <w:uiPriority w:val="99"/>
    <w:rPr>
      <w:rFonts w:ascii="Lucida Grande" w:hAnsi="Lucida Grande"/>
      <w:sz w:val="18"/>
      <w:szCs w:val="18"/>
    </w:rPr>
  </w:style>
  <w:style w:type="paragraph" w:styleId="4">
    <w:name w:val="footer"/>
    <w:basedOn w:val="1"/>
    <w:link w:val="15"/>
    <w:unhideWhenUsed/>
    <w:uiPriority w:val="99"/>
    <w:pPr>
      <w:tabs>
        <w:tab w:val="center" w:pos="4320"/>
        <w:tab w:val="right" w:pos="8640"/>
      </w:tabs>
    </w:pPr>
  </w:style>
  <w:style w:type="paragraph" w:styleId="5">
    <w:name w:val="header"/>
    <w:basedOn w:val="1"/>
    <w:link w:val="14"/>
    <w:unhideWhenUsed/>
    <w:uiPriority w:val="99"/>
    <w:pPr>
      <w:tabs>
        <w:tab w:val="center" w:pos="4320"/>
        <w:tab w:val="right" w:pos="8640"/>
      </w:tabs>
    </w:p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Times New Roman" w:hAnsi="Times New Roman" w:eastAsia="Times New Roman" w:cs="Times New Roman"/>
    </w:rPr>
  </w:style>
  <w:style w:type="paragraph" w:styleId="7">
    <w:name w:val="annotation subject"/>
    <w:basedOn w:val="2"/>
    <w:next w:val="2"/>
    <w:link w:val="18"/>
    <w:semiHidden/>
    <w:unhideWhenUsed/>
    <w:qFormat/>
    <w:uiPriority w:val="0"/>
    <w:rPr>
      <w:b/>
      <w:bCs/>
    </w:rPr>
  </w:style>
  <w:style w:type="character" w:styleId="10">
    <w:name w:val="FollowedHyperlink"/>
    <w:basedOn w:val="9"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basedOn w:val="9"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9"/>
    <w:semiHidden/>
    <w:unhideWhenUsed/>
    <w:qFormat/>
    <w:uiPriority w:val="0"/>
    <w:rPr>
      <w:sz w:val="16"/>
      <w:szCs w:val="16"/>
    </w:rPr>
  </w:style>
  <w:style w:type="character" w:customStyle="1" w:styleId="13">
    <w:name w:val="Balloon Text Char"/>
    <w:basedOn w:val="9"/>
    <w:link w:val="3"/>
    <w:semiHidden/>
    <w:uiPriority w:val="99"/>
    <w:rPr>
      <w:rFonts w:ascii="Lucida Grande" w:hAnsi="Lucida Grande"/>
      <w:sz w:val="18"/>
      <w:szCs w:val="18"/>
    </w:rPr>
  </w:style>
  <w:style w:type="character" w:customStyle="1" w:styleId="14">
    <w:name w:val="Header Char"/>
    <w:basedOn w:val="9"/>
    <w:link w:val="5"/>
    <w:uiPriority w:val="99"/>
  </w:style>
  <w:style w:type="character" w:customStyle="1" w:styleId="15">
    <w:name w:val="Footer Char"/>
    <w:basedOn w:val="9"/>
    <w:link w:val="4"/>
    <w:uiPriority w:val="99"/>
  </w:style>
  <w:style w:type="paragraph" w:customStyle="1" w:styleId="16">
    <w:name w:val="Revision"/>
    <w:hidden/>
    <w:semiHidden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character" w:customStyle="1" w:styleId="17">
    <w:name w:val="Comment Text Char"/>
    <w:basedOn w:val="9"/>
    <w:link w:val="2"/>
    <w:semiHidden/>
    <w:qFormat/>
    <w:uiPriority w:val="0"/>
    <w:rPr>
      <w:sz w:val="20"/>
      <w:szCs w:val="20"/>
    </w:rPr>
  </w:style>
  <w:style w:type="character" w:customStyle="1" w:styleId="18">
    <w:name w:val="Comment Subject Char"/>
    <w:basedOn w:val="17"/>
    <w:link w:val="7"/>
    <w:semiHidden/>
    <w:qFormat/>
    <w:uiPriority w:val="0"/>
    <w:rPr>
      <w:b/>
      <w:bCs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CHW</Company>
  <Pages>3</Pages>
  <Words>213</Words>
  <Characters>941</Characters>
  <Lines>13</Lines>
  <Paragraphs>4</Paragraphs>
  <TotalTime>33</TotalTime>
  <ScaleCrop>false</ScaleCrop>
  <LinksUpToDate>false</LinksUpToDate>
  <CharactersWithSpaces>1061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2019-11-21T23:03:00Z</dcterms:created>
  <dc:creator>Microsoft Office User</dc:creator>
  <cp:lastModifiedBy>Jane</cp:lastModifiedBy>
  <cp:lastPrinted>2017-04-03T19:24:00Z</cp:lastPrinted>
  <dcterms:modified xsi:type="dcterms:W3CDTF">2023-07-18T03:11:57Z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82FD5FD003F74FC2B0EEF94E6D10DB03_12</vt:lpwstr>
  </property>
</Properties>
</file>