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5"/>
        <w:gridCol w:w="426"/>
        <w:gridCol w:w="5783"/>
        <w:gridCol w:w="9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5000" w:type="pct"/>
            <w:gridSpan w:val="4"/>
          </w:tcPr>
          <w:p>
            <w:pPr>
              <w:rPr>
                <w:rFonts w:ascii="Times New Roman" w:hAnsi="Times New Roman" w:cs="Times New Roman"/>
                <w:b/>
                <w:bCs/>
              </w:rPr>
            </w:pPr>
            <w:r>
              <w:rPr>
                <w:rFonts w:ascii="Times New Roman" w:hAnsi="Times New Roman" w:cs="Times New Roman"/>
                <w:b/>
                <w:bCs/>
              </w:rPr>
              <w:t>\Appendix 1. Preferred Reporting Items for Systematic Reviews and Meta-Analyses (PRISMA) checklist</w:t>
            </w:r>
          </w:p>
        </w:tc>
      </w:tr>
      <w:tr>
        <w:trPr>
          <w:trHeight w:val="90" w:hRule="atLeast"/>
        </w:trPr>
        <w:tc>
          <w:tcPr>
            <w:tcW w:w="777" w:type="pct"/>
            <w:shd w:val="clear" w:color="auto" w:fill="0070C0"/>
          </w:tcPr>
          <w:p>
            <w:pPr>
              <w:rPr>
                <w:rFonts w:ascii="Times New Roman" w:hAnsi="Times New Roman" w:cs="Times New Roman"/>
                <w:color w:val="FFFFFF" w:themeColor="background1"/>
                <w14:textFill>
                  <w14:solidFill>
                    <w14:schemeClr w14:val="bg1"/>
                  </w14:solidFill>
                </w14:textFill>
              </w:rPr>
            </w:pPr>
            <w:r>
              <w:rPr>
                <w:rFonts w:ascii="Times New Roman" w:hAnsi="Times New Roman" w:cs="Times New Roman"/>
                <w:color w:val="FFFFFF" w:themeColor="background1"/>
                <w14:textFill>
                  <w14:solidFill>
                    <w14:schemeClr w14:val="bg1"/>
                  </w14:solidFill>
                </w14:textFill>
              </w:rPr>
              <w:t>Section/topic</w:t>
            </w:r>
          </w:p>
        </w:tc>
        <w:tc>
          <w:tcPr>
            <w:tcW w:w="249" w:type="pct"/>
            <w:shd w:val="clear" w:color="auto" w:fill="0070C0"/>
          </w:tcPr>
          <w:p>
            <w:pPr>
              <w:rPr>
                <w:rFonts w:ascii="Times New Roman" w:hAnsi="Times New Roman" w:cs="Times New Roman"/>
                <w:color w:val="FFFFFF" w:themeColor="background1"/>
                <w14:textFill>
                  <w14:solidFill>
                    <w14:schemeClr w14:val="bg1"/>
                  </w14:solidFill>
                </w14:textFill>
              </w:rPr>
            </w:pPr>
            <w:r>
              <w:rPr>
                <w:rFonts w:ascii="Times New Roman" w:hAnsi="Times New Roman" w:cs="Times New Roman"/>
                <w:color w:val="FFFFFF" w:themeColor="background1"/>
                <w14:textFill>
                  <w14:solidFill>
                    <w14:schemeClr w14:val="bg1"/>
                  </w14:solidFill>
                </w14:textFill>
              </w:rPr>
              <w:t>#</w:t>
            </w:r>
          </w:p>
        </w:tc>
        <w:tc>
          <w:tcPr>
            <w:tcW w:w="3393" w:type="pct"/>
            <w:shd w:val="clear" w:color="auto" w:fill="0070C0"/>
          </w:tcPr>
          <w:p>
            <w:pPr>
              <w:rPr>
                <w:rFonts w:ascii="Times New Roman" w:hAnsi="Times New Roman" w:cs="Times New Roman"/>
                <w:color w:val="FFFFFF" w:themeColor="background1"/>
                <w14:textFill>
                  <w14:solidFill>
                    <w14:schemeClr w14:val="bg1"/>
                  </w14:solidFill>
                </w14:textFill>
              </w:rPr>
            </w:pPr>
            <w:r>
              <w:rPr>
                <w:rFonts w:ascii="Times New Roman" w:hAnsi="Times New Roman" w:cs="Times New Roman"/>
                <w:color w:val="FFFFFF" w:themeColor="background1"/>
                <w14:textFill>
                  <w14:solidFill>
                    <w14:schemeClr w14:val="bg1"/>
                  </w14:solidFill>
                </w14:textFill>
              </w:rPr>
              <w:t>Checklist item</w:t>
            </w:r>
          </w:p>
        </w:tc>
        <w:tc>
          <w:tcPr>
            <w:tcW w:w="579" w:type="pct"/>
            <w:shd w:val="clear" w:color="auto" w:fill="0070C0"/>
          </w:tcPr>
          <w:p>
            <w:pPr>
              <w:rPr>
                <w:rFonts w:ascii="Times New Roman" w:hAnsi="Times New Roman" w:cs="Times New Roman"/>
                <w:color w:val="FFFFFF" w:themeColor="background1"/>
                <w14:textFill>
                  <w14:solidFill>
                    <w14:schemeClr w14:val="bg1"/>
                  </w14:solidFill>
                </w14:textFill>
              </w:rPr>
            </w:pPr>
            <w:r>
              <w:rPr>
                <w:rFonts w:ascii="Times New Roman" w:hAnsi="Times New Roman" w:cs="Times New Roman"/>
                <w:color w:val="FFFFFF" w:themeColor="background1"/>
                <w14:textFill>
                  <w14:solidFill>
                    <w14:schemeClr w14:val="bg1"/>
                  </w14:solidFill>
                </w14:textFill>
              </w:rPr>
              <w:t>Reported on page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20" w:type="pct"/>
            <w:gridSpan w:val="3"/>
            <w:shd w:val="clear" w:color="auto" w:fill="FFE599" w:themeFill="accent4" w:themeFillTint="66"/>
          </w:tcPr>
          <w:p>
            <w:pPr>
              <w:rPr>
                <w:rFonts w:ascii="Times New Roman" w:hAnsi="Times New Roman" w:cs="Times New Roman"/>
              </w:rPr>
            </w:pPr>
            <w:r>
              <w:rPr>
                <w:rFonts w:ascii="Times New Roman" w:hAnsi="Times New Roman" w:cs="Times New Roman"/>
              </w:rPr>
              <w:t>TITLE</w:t>
            </w:r>
          </w:p>
        </w:tc>
        <w:tc>
          <w:tcPr>
            <w:tcW w:w="579" w:type="pct"/>
            <w:shd w:val="clear" w:color="auto" w:fill="FFE599" w:themeFill="accent4" w:themeFillTint="66"/>
          </w:tcPr>
          <w:p>
            <w:pP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7" w:type="pct"/>
          </w:tcPr>
          <w:p>
            <w:pPr>
              <w:rPr>
                <w:rFonts w:ascii="Times New Roman" w:hAnsi="Times New Roman" w:cs="Times New Roman"/>
              </w:rPr>
            </w:pPr>
            <w:r>
              <w:rPr>
                <w:rFonts w:ascii="Times New Roman" w:hAnsi="Times New Roman" w:cs="Times New Roman"/>
              </w:rPr>
              <w:t>Title</w:t>
            </w:r>
          </w:p>
        </w:tc>
        <w:tc>
          <w:tcPr>
            <w:tcW w:w="249" w:type="pct"/>
          </w:tcPr>
          <w:p>
            <w:pPr>
              <w:rPr>
                <w:rFonts w:ascii="Times New Roman" w:hAnsi="Times New Roman" w:cs="Times New Roman"/>
              </w:rPr>
            </w:pPr>
            <w:r>
              <w:rPr>
                <w:rFonts w:ascii="Times New Roman" w:hAnsi="Times New Roman" w:cs="Times New Roman"/>
              </w:rPr>
              <w:t>1</w:t>
            </w:r>
          </w:p>
        </w:tc>
        <w:tc>
          <w:tcPr>
            <w:tcW w:w="3393" w:type="pct"/>
          </w:tcPr>
          <w:p>
            <w:pPr>
              <w:rPr>
                <w:rFonts w:ascii="Times New Roman" w:hAnsi="Times New Roman" w:cs="Times New Roman"/>
              </w:rPr>
            </w:pPr>
            <w:r>
              <w:rPr>
                <w:rFonts w:hint="eastAsia" w:ascii="Times New Roman" w:hAnsi="Times New Roman" w:cs="Times New Roman"/>
              </w:rPr>
              <w:t>Tai Ji on Cognitive Function Improvement in Parkinson</w:t>
            </w:r>
            <w:r>
              <w:rPr>
                <w:rFonts w:hint="default" w:ascii="Times New Roman" w:hAnsi="Times New Roman" w:cs="Times New Roman"/>
              </w:rPr>
              <w:t>’</w:t>
            </w:r>
            <w:r>
              <w:rPr>
                <w:rFonts w:hint="eastAsia" w:ascii="Times New Roman" w:hAnsi="Times New Roman" w:cs="Times New Roman"/>
              </w:rPr>
              <w:t>s Disease: A Meta-Analysis</w:t>
            </w:r>
          </w:p>
        </w:tc>
        <w:tc>
          <w:tcPr>
            <w:tcW w:w="579" w:type="pct"/>
          </w:tcPr>
          <w:p>
            <w:pPr>
              <w:rPr>
                <w:rFonts w:ascii="Times New Roman" w:hAnsi="Times New Roman" w:cs="Times New Roman"/>
              </w:rPr>
            </w:pPr>
            <w:r>
              <w:rPr>
                <w:rFonts w:ascii="Times New Roman" w:hAnsi="Times New Roman" w:cs="Times New Roma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20" w:type="pct"/>
            <w:gridSpan w:val="3"/>
            <w:shd w:val="clear" w:color="auto" w:fill="FFE599" w:themeFill="accent4" w:themeFillTint="66"/>
          </w:tcPr>
          <w:p>
            <w:pPr>
              <w:rPr>
                <w:rFonts w:ascii="Times New Roman" w:hAnsi="Times New Roman" w:cs="Times New Roman"/>
              </w:rPr>
            </w:pPr>
            <w:r>
              <w:rPr>
                <w:rFonts w:ascii="Times New Roman" w:hAnsi="Times New Roman" w:cs="Times New Roman"/>
                <w:shd w:val="clear" w:color="auto" w:fill="FFE599" w:themeFill="accent4" w:themeFillTint="66"/>
              </w:rPr>
              <w:t>ABSTRACT</w:t>
            </w:r>
          </w:p>
        </w:tc>
        <w:tc>
          <w:tcPr>
            <w:tcW w:w="579" w:type="pct"/>
            <w:shd w:val="clear" w:color="auto" w:fill="FFE599" w:themeFill="accent4" w:themeFillTint="66"/>
          </w:tcPr>
          <w:p>
            <w:pP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7" w:type="pct"/>
          </w:tcPr>
          <w:p>
            <w:pPr>
              <w:rPr>
                <w:rFonts w:ascii="Times New Roman" w:hAnsi="Times New Roman" w:cs="Times New Roman"/>
              </w:rPr>
            </w:pPr>
            <w:r>
              <w:rPr>
                <w:rFonts w:ascii="Times New Roman" w:hAnsi="Times New Roman" w:cs="Times New Roman"/>
              </w:rPr>
              <w:t>Structured summary</w:t>
            </w:r>
          </w:p>
        </w:tc>
        <w:tc>
          <w:tcPr>
            <w:tcW w:w="249" w:type="pct"/>
          </w:tcPr>
          <w:p>
            <w:pPr>
              <w:rPr>
                <w:rFonts w:ascii="Times New Roman" w:hAnsi="Times New Roman" w:cs="Times New Roman"/>
              </w:rPr>
            </w:pPr>
            <w:r>
              <w:rPr>
                <w:rFonts w:ascii="Times New Roman" w:hAnsi="Times New Roman" w:cs="Times New Roman"/>
              </w:rPr>
              <w:t>2</w:t>
            </w:r>
          </w:p>
        </w:tc>
        <w:tc>
          <w:tcPr>
            <w:tcW w:w="3393" w:type="pct"/>
          </w:tcPr>
          <w:p>
            <w:pPr>
              <w:rPr>
                <w:rFonts w:hint="eastAsia" w:ascii="Times New Roman" w:hAnsi="Times New Roman" w:cs="Times New Roman"/>
              </w:rPr>
            </w:pPr>
            <w:r>
              <w:rPr>
                <w:rFonts w:hint="eastAsia" w:ascii="Times New Roman" w:hAnsi="Times New Roman" w:cs="Times New Roman"/>
              </w:rPr>
              <w:t xml:space="preserve">Background: Tai Ji (TJ) can improve cognitive function, which in turn brings life quality to Parkinson’s disease (PD) patients. Cognitive function is thus important for PD patients. Analyzing the cognitive function and obtaining precise TJ exercise prescriptions are effective in treating PD patients. </w:t>
            </w:r>
          </w:p>
          <w:p>
            <w:pPr>
              <w:rPr>
                <w:rFonts w:hint="eastAsia" w:ascii="Times New Roman" w:hAnsi="Times New Roman" w:cs="Times New Roman"/>
              </w:rPr>
            </w:pPr>
            <w:r>
              <w:rPr>
                <w:rFonts w:hint="eastAsia" w:ascii="Times New Roman" w:hAnsi="Times New Roman" w:cs="Times New Roman"/>
              </w:rPr>
              <w:t>Objectives: The purpose of this review was to discuss the current Randomized Controlled Trials (RCTs) of TJ and cognitive function improvement in PD.</w:t>
            </w:r>
          </w:p>
          <w:p>
            <w:pPr>
              <w:rPr>
                <w:rFonts w:hint="eastAsia" w:ascii="Times New Roman" w:hAnsi="Times New Roman" w:cs="Times New Roman"/>
              </w:rPr>
            </w:pPr>
            <w:r>
              <w:rPr>
                <w:rFonts w:hint="eastAsia" w:ascii="Times New Roman" w:hAnsi="Times New Roman" w:cs="Times New Roman"/>
              </w:rPr>
              <w:t xml:space="preserve">Materials and Methods: Databases, including PubMed, Web of Science, Scopus, Cochrane Library, EBSCOhost, Wan Fang, and CNKI, were searched. Cochrane systematic evaluation method was adopted wherein 6 RCTs met the final inclusion criteria. </w:t>
            </w:r>
          </w:p>
          <w:p>
            <w:pPr>
              <w:rPr>
                <w:rFonts w:hint="eastAsia" w:ascii="Times New Roman" w:hAnsi="Times New Roman" w:cs="Times New Roman"/>
              </w:rPr>
            </w:pPr>
            <w:r>
              <w:rPr>
                <w:rFonts w:hint="eastAsia" w:ascii="Times New Roman" w:hAnsi="Times New Roman" w:cs="Times New Roman"/>
              </w:rPr>
              <w:t xml:space="preserve">Results: Among the 6 included RCTs, 3 were of high quality, and the rest were of medium quality. Quantitative analysis exhibited that TJ intervention improved the cognitive function of PD patients. TJ promoted the global cognitive function (p &lt; 0.05) and the executive function (p = 0.09) compared with the control. However there was no significant improvement in cognitive motor. TJ training intervention doses of two times a week with 45–60 min sessions over ≤12 weeks could improve the cognitive function of PD patients. </w:t>
            </w:r>
          </w:p>
          <w:p>
            <w:pPr>
              <w:rPr>
                <w:rFonts w:ascii="Times New Roman" w:hAnsi="Times New Roman" w:cs="Times New Roman"/>
              </w:rPr>
            </w:pPr>
            <w:r>
              <w:rPr>
                <w:rFonts w:hint="eastAsia" w:ascii="Times New Roman" w:hAnsi="Times New Roman" w:cs="Times New Roman"/>
              </w:rPr>
              <w:t>Conclusions: TJ affects the cognitive function of PD patients. However, this effect may have a reduced or no significant impact as the disease increases. PD patients can choose TJ as an intervention for 45–60 min twice a week for at least 12 weeks to accomplish maximum improvement in cognitive function.</w:t>
            </w:r>
          </w:p>
        </w:tc>
        <w:tc>
          <w:tcPr>
            <w:tcW w:w="579" w:type="pct"/>
          </w:tcPr>
          <w:p>
            <w:pPr>
              <w:rPr>
                <w:rFonts w:ascii="Times New Roman" w:hAnsi="Times New Roman" w:cs="Times New Roman"/>
              </w:rPr>
            </w:pPr>
            <w:r>
              <w:rPr>
                <w:rFonts w:ascii="Times New Roman" w:hAnsi="Times New Roman" w:cs="Times New Roma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20" w:type="pct"/>
            <w:gridSpan w:val="3"/>
            <w:shd w:val="clear" w:color="auto" w:fill="FFE599" w:themeFill="accent4" w:themeFillTint="66"/>
          </w:tcPr>
          <w:p>
            <w:pPr>
              <w:rPr>
                <w:rFonts w:ascii="Times New Roman" w:hAnsi="Times New Roman" w:cs="Times New Roman"/>
              </w:rPr>
            </w:pPr>
            <w:r>
              <w:rPr>
                <w:rFonts w:ascii="Times New Roman" w:hAnsi="Times New Roman" w:cs="Times New Roman"/>
              </w:rPr>
              <w:t>INTRODUCTION</w:t>
            </w:r>
          </w:p>
        </w:tc>
        <w:tc>
          <w:tcPr>
            <w:tcW w:w="579" w:type="pct"/>
            <w:shd w:val="clear" w:color="auto" w:fill="FFE599" w:themeFill="accent4" w:themeFillTint="66"/>
          </w:tcPr>
          <w:p>
            <w:pP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7" w:type="pct"/>
          </w:tcPr>
          <w:p>
            <w:pPr>
              <w:rPr>
                <w:rFonts w:ascii="Times New Roman" w:hAnsi="Times New Roman" w:cs="Times New Roman"/>
              </w:rPr>
            </w:pPr>
            <w:r>
              <w:rPr>
                <w:rFonts w:ascii="Times New Roman" w:hAnsi="Times New Roman" w:cs="Times New Roman"/>
              </w:rPr>
              <w:t>Rationale</w:t>
            </w:r>
          </w:p>
        </w:tc>
        <w:tc>
          <w:tcPr>
            <w:tcW w:w="249" w:type="pct"/>
          </w:tcPr>
          <w:p>
            <w:pPr>
              <w:rPr>
                <w:rFonts w:ascii="Times New Roman" w:hAnsi="Times New Roman" w:cs="Times New Roman"/>
              </w:rPr>
            </w:pPr>
            <w:r>
              <w:rPr>
                <w:rFonts w:ascii="Times New Roman" w:hAnsi="Times New Roman" w:cs="Times New Roman"/>
              </w:rPr>
              <w:t>3</w:t>
            </w:r>
          </w:p>
        </w:tc>
        <w:tc>
          <w:tcPr>
            <w:tcW w:w="3393" w:type="pct"/>
          </w:tcPr>
          <w:p>
            <w:pPr>
              <w:rPr>
                <w:rFonts w:hint="default" w:ascii="Times New Roman" w:hAnsi="Times New Roman" w:cs="Times New Roman" w:eastAsiaTheme="minorEastAsia"/>
                <w:lang w:eastAsia="zh-Hans"/>
              </w:rPr>
            </w:pPr>
            <w:r>
              <w:rPr>
                <w:rFonts w:hint="eastAsia" w:ascii="Times New Roman" w:hAnsi="Times New Roman" w:cs="Times New Roman"/>
              </w:rPr>
              <w:t>Tai Ji (TJ) is a popular mind-body intervention that tackles a variety of motor and NMS associated with PD</w:t>
            </w:r>
            <w:r>
              <w:rPr>
                <w:rFonts w:hint="default" w:ascii="Times New Roman" w:hAnsi="Times New Roman" w:cs="Times New Roman"/>
              </w:rPr>
              <w:t>. TJ effects on non-motor outcomes in PD have been less focused. No meta- analyses have examined the PD patients</w:t>
            </w:r>
            <w:r>
              <w:rPr>
                <w:rFonts w:hint="default" w:ascii="Times New Roman" w:hAnsi="Times New Roman" w:cs="Times New Roman"/>
              </w:rPr>
              <w:t>’</w:t>
            </w:r>
            <w:r>
              <w:rPr>
                <w:rFonts w:hint="default" w:ascii="Times New Roman" w:hAnsi="Times New Roman" w:cs="Times New Roman"/>
              </w:rPr>
              <w:t xml:space="preserve"> cognitive performance which is linked to the overall life quality.</w:t>
            </w:r>
          </w:p>
        </w:tc>
        <w:tc>
          <w:tcPr>
            <w:tcW w:w="579" w:type="pct"/>
          </w:tcPr>
          <w:p>
            <w:pPr>
              <w:rPr>
                <w:rFonts w:hint="default" w:ascii="Times New Roman" w:hAnsi="Times New Roman" w:cs="Times New Roman"/>
              </w:rPr>
            </w:pPr>
            <w:r>
              <w:rPr>
                <w:rFonts w:hint="default" w:ascii="Times New Roman" w:hAnsi="Times New Roman" w:cs="Times New Roma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7" w:type="pct"/>
          </w:tcPr>
          <w:p>
            <w:pPr>
              <w:rPr>
                <w:rFonts w:ascii="Times New Roman" w:hAnsi="Times New Roman" w:cs="Times New Roman"/>
              </w:rPr>
            </w:pPr>
            <w:r>
              <w:rPr>
                <w:rFonts w:ascii="Times New Roman" w:hAnsi="Times New Roman" w:cs="Times New Roman"/>
              </w:rPr>
              <w:t>Objectives</w:t>
            </w:r>
          </w:p>
        </w:tc>
        <w:tc>
          <w:tcPr>
            <w:tcW w:w="249" w:type="pct"/>
          </w:tcPr>
          <w:p>
            <w:pPr>
              <w:rPr>
                <w:rFonts w:ascii="Times New Roman" w:hAnsi="Times New Roman" w:cs="Times New Roman"/>
              </w:rPr>
            </w:pPr>
            <w:r>
              <w:rPr>
                <w:rFonts w:ascii="Times New Roman" w:hAnsi="Times New Roman" w:cs="Times New Roman"/>
              </w:rPr>
              <w:t>4</w:t>
            </w:r>
          </w:p>
        </w:tc>
        <w:tc>
          <w:tcPr>
            <w:tcW w:w="3393" w:type="pct"/>
          </w:tcPr>
          <w:p>
            <w:pPr>
              <w:rPr>
                <w:rFonts w:ascii="Times New Roman" w:hAnsi="Times New Roman" w:cs="Times New Roman"/>
              </w:rPr>
            </w:pPr>
            <w:r>
              <w:rPr>
                <w:rFonts w:hint="eastAsia" w:ascii="Times New Roman" w:hAnsi="Times New Roman" w:cs="Times New Roman"/>
              </w:rPr>
              <w:t>The purpose of this review was to discuss the current Randomized Controlled Trials (RCTs) of TJ and cognitive function improvement in PD.</w:t>
            </w:r>
          </w:p>
        </w:tc>
        <w:tc>
          <w:tcPr>
            <w:tcW w:w="579" w:type="pct"/>
          </w:tcPr>
          <w:p>
            <w:pPr>
              <w:rPr>
                <w:rFonts w:hint="default" w:ascii="Times New Roman" w:hAnsi="Times New Roman" w:cs="Times New Roman"/>
              </w:rPr>
            </w:pPr>
            <w:r>
              <w:rPr>
                <w:rFonts w:hint="default" w:ascii="Times New Roman" w:hAnsi="Times New Roman" w:cs="Times New Roma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420" w:type="pct"/>
            <w:gridSpan w:val="3"/>
            <w:shd w:val="clear" w:color="auto" w:fill="FFE599" w:themeFill="accent4" w:themeFillTint="66"/>
          </w:tcPr>
          <w:p>
            <w:pPr>
              <w:rPr>
                <w:rFonts w:ascii="Times New Roman" w:hAnsi="Times New Roman" w:cs="Times New Roman"/>
              </w:rPr>
            </w:pPr>
            <w:r>
              <w:rPr>
                <w:rFonts w:ascii="Times New Roman" w:hAnsi="Times New Roman" w:cs="Times New Roman"/>
              </w:rPr>
              <w:t>METHODS</w:t>
            </w:r>
          </w:p>
        </w:tc>
        <w:tc>
          <w:tcPr>
            <w:tcW w:w="579" w:type="pct"/>
            <w:shd w:val="clear" w:color="auto" w:fill="FFE599" w:themeFill="accent4" w:themeFillTint="66"/>
          </w:tcPr>
          <w:p>
            <w:pPr>
              <w:rPr>
                <w:rFonts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7" w:type="pct"/>
          </w:tcPr>
          <w:p>
            <w:pPr>
              <w:rPr>
                <w:rFonts w:ascii="Times New Roman" w:hAnsi="Times New Roman" w:cs="Times New Roman"/>
              </w:rPr>
            </w:pPr>
            <w:r>
              <w:rPr>
                <w:rFonts w:ascii="Times New Roman" w:hAnsi="Times New Roman" w:cs="Times New Roman"/>
              </w:rPr>
              <w:t>Protocol and registration</w:t>
            </w:r>
          </w:p>
        </w:tc>
        <w:tc>
          <w:tcPr>
            <w:tcW w:w="249" w:type="pct"/>
          </w:tcPr>
          <w:p>
            <w:pPr>
              <w:rPr>
                <w:rFonts w:ascii="Times New Roman" w:hAnsi="Times New Roman" w:cs="Times New Roman"/>
                <w:color w:val="0000FF"/>
              </w:rPr>
            </w:pPr>
            <w:r>
              <w:rPr>
                <w:rFonts w:ascii="Times New Roman" w:hAnsi="Times New Roman" w:cs="Times New Roman"/>
              </w:rPr>
              <w:t>5</w:t>
            </w:r>
          </w:p>
        </w:tc>
        <w:tc>
          <w:tcPr>
            <w:tcW w:w="3393" w:type="pct"/>
          </w:tcPr>
          <w:p>
            <w:pPr>
              <w:rPr>
                <w:rFonts w:ascii="Times New Roman" w:hAnsi="Times New Roman" w:cs="Times New Roman"/>
                <w:color w:val="0000FF"/>
              </w:rPr>
            </w:pPr>
            <w:r>
              <w:rPr>
                <w:rFonts w:hint="default" w:ascii="Times New Roman" w:hAnsi="Times New Roman" w:cs="Times New Roman"/>
                <w:b w:val="0"/>
                <w:bCs w:val="0"/>
                <w:color w:val="auto"/>
              </w:rPr>
              <w:t>PROSPERO registration number: CRD42023420100</w:t>
            </w:r>
          </w:p>
        </w:tc>
        <w:tc>
          <w:tcPr>
            <w:tcW w:w="579" w:type="pct"/>
          </w:tcPr>
          <w:p>
            <w:pPr>
              <w:rPr>
                <w:rFonts w:hint="default" w:ascii="Times New Roman" w:hAnsi="Times New Roman" w:cs="Times New Roman"/>
              </w:rPr>
            </w:pPr>
            <w:r>
              <w:rPr>
                <w:rFonts w:hint="default" w:ascii="Times New Roman" w:hAnsi="Times New Roman" w:cs="Times New Roma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7" w:type="pct"/>
          </w:tcPr>
          <w:p>
            <w:pPr>
              <w:rPr>
                <w:rFonts w:ascii="Times New Roman" w:hAnsi="Times New Roman" w:cs="Times New Roman"/>
              </w:rPr>
            </w:pPr>
            <w:r>
              <w:rPr>
                <w:rFonts w:ascii="Times New Roman" w:hAnsi="Times New Roman" w:cs="Times New Roman"/>
              </w:rPr>
              <w:t>Eligibility criteria</w:t>
            </w:r>
          </w:p>
        </w:tc>
        <w:tc>
          <w:tcPr>
            <w:tcW w:w="249" w:type="pct"/>
          </w:tcPr>
          <w:p>
            <w:pPr>
              <w:rPr>
                <w:rFonts w:ascii="Times New Roman" w:hAnsi="Times New Roman" w:cs="Times New Roman"/>
              </w:rPr>
            </w:pPr>
            <w:r>
              <w:rPr>
                <w:rFonts w:ascii="Times New Roman" w:hAnsi="Times New Roman" w:cs="Times New Roman"/>
              </w:rPr>
              <w:t>6</w:t>
            </w:r>
          </w:p>
        </w:tc>
        <w:tc>
          <w:tcPr>
            <w:tcW w:w="3393" w:type="pct"/>
          </w:tcPr>
          <w:p>
            <w:pPr>
              <w:rPr>
                <w:rFonts w:ascii="Times New Roman" w:hAnsi="Times New Roman" w:cs="Times New Roman"/>
                <w:color w:val="auto"/>
              </w:rPr>
            </w:pPr>
            <w:r>
              <w:rPr>
                <w:rFonts w:hint="eastAsia" w:ascii="Times New Roman" w:hAnsi="Times New Roman" w:cs="Times New Roman"/>
                <w:color w:val="auto"/>
              </w:rPr>
              <w:t>Titles and abstracts were used to filter distinct items (after removing duplicates) retrieved from electronic bibliographic database searches for inclusion. The searched literature was vetted based on inclusion and exclusion criteria. JY and YL organized and executed the research project, designed and executed statistical analysis. WL, conception and organization of research project. YF, conception of research project. Additional papers were regarded as complementary but used in the data collection process. Text reporting the most comprehensive data was chosen as the main text.</w:t>
            </w:r>
          </w:p>
        </w:tc>
        <w:tc>
          <w:tcPr>
            <w:tcW w:w="579" w:type="pct"/>
          </w:tcPr>
          <w:p>
            <w:pPr>
              <w:rPr>
                <w:rFonts w:hint="default" w:ascii="Times New Roman" w:hAnsi="Times New Roman" w:cs="Times New Roman"/>
              </w:rPr>
            </w:pPr>
            <w:r>
              <w:rPr>
                <w:rFonts w:hint="default" w:ascii="Times New Roman" w:hAnsi="Times New Roman" w:cs="Times New Roma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259" w:hRule="atLeast"/>
        </w:trPr>
        <w:tc>
          <w:tcPr>
            <w:tcW w:w="777" w:type="pct"/>
          </w:tcPr>
          <w:p>
            <w:pPr>
              <w:rPr>
                <w:rFonts w:ascii="Times New Roman" w:hAnsi="Times New Roman" w:cs="Times New Roman"/>
              </w:rPr>
            </w:pPr>
            <w:r>
              <w:rPr>
                <w:rFonts w:ascii="Times New Roman" w:hAnsi="Times New Roman" w:cs="Times New Roman"/>
              </w:rPr>
              <w:t>Information sources</w:t>
            </w:r>
          </w:p>
        </w:tc>
        <w:tc>
          <w:tcPr>
            <w:tcW w:w="249" w:type="pct"/>
          </w:tcPr>
          <w:p>
            <w:pPr>
              <w:rPr>
                <w:rFonts w:ascii="Times New Roman" w:hAnsi="Times New Roman" w:cs="Times New Roman"/>
              </w:rPr>
            </w:pPr>
            <w:r>
              <w:rPr>
                <w:rFonts w:ascii="Times New Roman" w:hAnsi="Times New Roman" w:cs="Times New Roman"/>
              </w:rPr>
              <w:t>7</w:t>
            </w:r>
          </w:p>
        </w:tc>
        <w:tc>
          <w:tcPr>
            <w:tcW w:w="3393" w:type="pct"/>
          </w:tcPr>
          <w:p>
            <w:pPr>
              <w:pStyle w:val="5"/>
              <w:keepNext w:val="0"/>
              <w:keepLines w:val="0"/>
              <w:widowControl/>
              <w:suppressLineNumbers w:val="0"/>
              <w:jc w:val="both"/>
              <w:rPr>
                <w:rFonts w:hint="default" w:ascii="Times New Roman" w:hAnsi="Times New Roman" w:cs="Times New Roman"/>
                <w:color w:val="auto"/>
              </w:rPr>
            </w:pPr>
            <w:r>
              <w:rPr>
                <w:rFonts w:hint="default" w:ascii="Times New Roman" w:hAnsi="Times New Roman" w:cs="Times New Roman"/>
                <w:color w:val="auto"/>
                <w:sz w:val="21"/>
                <w:szCs w:val="21"/>
              </w:rPr>
              <w:t>Up to 19th December 2022, Jinling Y. and Yang L. made literature search from WBM, CNKI, PubMed, Web of Science (WOS), Scopus, Cochrane Library, and EBSCOhost databases by using the Boolean search technique, phrases and fields specific to the database</w:t>
            </w:r>
          </w:p>
        </w:tc>
        <w:tc>
          <w:tcPr>
            <w:tcW w:w="579" w:type="pct"/>
          </w:tcPr>
          <w:p>
            <w:pPr>
              <w:rPr>
                <w:rFonts w:ascii="Times New Roman" w:hAnsi="Times New Roman" w:cs="Times New Roman"/>
              </w:rPr>
            </w:pPr>
            <w:r>
              <w:rPr>
                <w:rFonts w:ascii="Times New Roman" w:hAnsi="Times New Roman" w:cs="Times New Roma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7" w:type="pct"/>
          </w:tcPr>
          <w:p>
            <w:pPr>
              <w:rPr>
                <w:rFonts w:ascii="Times New Roman" w:hAnsi="Times New Roman" w:cs="Times New Roman"/>
              </w:rPr>
            </w:pPr>
            <w:r>
              <w:rPr>
                <w:rFonts w:ascii="Times New Roman" w:hAnsi="Times New Roman" w:cs="Times New Roman"/>
              </w:rPr>
              <w:t>Search</w:t>
            </w:r>
          </w:p>
        </w:tc>
        <w:tc>
          <w:tcPr>
            <w:tcW w:w="249" w:type="pct"/>
          </w:tcPr>
          <w:p>
            <w:pPr>
              <w:rPr>
                <w:rFonts w:ascii="Times New Roman" w:hAnsi="Times New Roman" w:cs="Times New Roman"/>
              </w:rPr>
            </w:pPr>
            <w:r>
              <w:rPr>
                <w:rFonts w:ascii="Times New Roman" w:hAnsi="Times New Roman" w:cs="Times New Roman"/>
              </w:rPr>
              <w:t>8</w:t>
            </w:r>
          </w:p>
        </w:tc>
        <w:tc>
          <w:tcPr>
            <w:tcW w:w="3393" w:type="pct"/>
          </w:tcPr>
          <w:p>
            <w:pPr>
              <w:rPr>
                <w:rFonts w:hint="default" w:ascii="Times New Roman Bold" w:hAnsi="Times New Roman Bold" w:cs="Times New Roman Bold"/>
                <w:b/>
                <w:bCs/>
                <w:sz w:val="21"/>
                <w:szCs w:val="21"/>
                <w:lang w:eastAsia="zh-Hans"/>
              </w:rPr>
            </w:pPr>
            <w:r>
              <w:rPr>
                <w:rFonts w:hint="default" w:ascii="Times New Roman Bold" w:hAnsi="Times New Roman Bold" w:cs="Times New Roman Bold"/>
                <w:b/>
                <w:bCs/>
                <w:sz w:val="21"/>
                <w:szCs w:val="21"/>
                <w:lang w:eastAsia="zh-Hans"/>
              </w:rPr>
              <w:t>PubMed</w:t>
            </w:r>
          </w:p>
          <w:p>
            <w:pPr>
              <w:rPr>
                <w:rFonts w:hint="eastAsia" w:ascii="Times New Roman" w:hAnsi="Times New Roman" w:cs="Times New Roman"/>
                <w:sz w:val="21"/>
                <w:szCs w:val="21"/>
                <w:lang w:eastAsia="zh-Hans"/>
              </w:rPr>
            </w:pPr>
            <w:r>
              <w:rPr>
                <w:rFonts w:hint="eastAsia" w:ascii="Times New Roman" w:hAnsi="Times New Roman" w:cs="Times New Roman"/>
                <w:sz w:val="21"/>
                <w:szCs w:val="21"/>
                <w:lang w:eastAsia="zh-Hans"/>
              </w:rPr>
              <w:t>#1-All Fieldes: “Parkinson disease” OR “Idiopathic Parkinson’s Disease” OR “Lewy Body Parkin-</w:t>
            </w:r>
          </w:p>
          <w:p>
            <w:pPr>
              <w:rPr>
                <w:rFonts w:hint="eastAsia" w:ascii="Times New Roman" w:hAnsi="Times New Roman" w:cs="Times New Roman"/>
                <w:sz w:val="21"/>
                <w:szCs w:val="21"/>
                <w:lang w:eastAsia="zh-Hans"/>
              </w:rPr>
            </w:pPr>
            <w:r>
              <w:rPr>
                <w:rFonts w:hint="eastAsia" w:ascii="Times New Roman" w:hAnsi="Times New Roman" w:cs="Times New Roman"/>
                <w:sz w:val="21"/>
                <w:szCs w:val="21"/>
                <w:lang w:eastAsia="zh-Hans"/>
              </w:rPr>
              <w:t>son’s Disease” OR “Parkinson’s Disease, Idiopathic” OR “Parkinson’s Disease, Lewy Body” OR 15 “Parkinson Disease, Idiopathic” OR “Parkinson’s Disease” OR “Idiopathic Parkinson Disease” OR</w:t>
            </w:r>
          </w:p>
          <w:p>
            <w:pPr>
              <w:rPr>
                <w:rFonts w:hint="eastAsia" w:ascii="Times New Roman" w:hAnsi="Times New Roman" w:cs="Times New Roman"/>
                <w:sz w:val="21"/>
                <w:szCs w:val="21"/>
                <w:lang w:eastAsia="zh-Hans"/>
              </w:rPr>
            </w:pPr>
            <w:r>
              <w:rPr>
                <w:rFonts w:hint="eastAsia" w:ascii="Times New Roman" w:hAnsi="Times New Roman" w:cs="Times New Roman"/>
                <w:sz w:val="21"/>
                <w:szCs w:val="21"/>
                <w:lang w:eastAsia="zh-Hans"/>
              </w:rPr>
              <w:t>“Lewy Body Parkinson Disease” OR “Primary Parkinsonism” OR “Parkinsonism, Primary” OR “Paralysis Agitans” OR “Parkinson’s disease”</w:t>
            </w:r>
          </w:p>
          <w:p>
            <w:pPr>
              <w:rPr>
                <w:rFonts w:hint="eastAsia" w:ascii="Times New Roman" w:hAnsi="Times New Roman" w:cs="Times New Roman"/>
                <w:sz w:val="21"/>
                <w:szCs w:val="21"/>
                <w:lang w:eastAsia="zh-Hans"/>
              </w:rPr>
            </w:pPr>
            <w:r>
              <w:rPr>
                <w:rFonts w:hint="eastAsia" w:ascii="Times New Roman" w:hAnsi="Times New Roman" w:cs="Times New Roman"/>
                <w:sz w:val="21"/>
                <w:szCs w:val="21"/>
                <w:lang w:eastAsia="zh-Hans"/>
              </w:rPr>
              <w:t>#2-All Fieldes: “Tai Ji” OR Tai-ji OR “Tai Chi” OR “Chi, Tai” OR “Tai Ji Quan” OR “Ji Quan, Tai”</w:t>
            </w:r>
          </w:p>
          <w:p>
            <w:pPr>
              <w:rPr>
                <w:rFonts w:hint="eastAsia" w:ascii="Times New Roman" w:hAnsi="Times New Roman" w:cs="Times New Roman"/>
                <w:sz w:val="21"/>
                <w:szCs w:val="21"/>
                <w:lang w:eastAsia="zh-Hans"/>
              </w:rPr>
            </w:pPr>
            <w:r>
              <w:rPr>
                <w:rFonts w:hint="eastAsia" w:ascii="Times New Roman" w:hAnsi="Times New Roman" w:cs="Times New Roman"/>
                <w:sz w:val="21"/>
                <w:szCs w:val="21"/>
                <w:lang w:eastAsia="zh-Hans"/>
              </w:rPr>
              <w:t>OR “Quan, Tai Ji” OR Taiji OR Taijiquan OR “T’ai Chi” OR “Tai Chi Chuan”</w:t>
            </w:r>
          </w:p>
          <w:p>
            <w:pPr>
              <w:rPr>
                <w:rFonts w:hint="eastAsia" w:ascii="Times New Roman" w:hAnsi="Times New Roman" w:cs="Times New Roman"/>
                <w:sz w:val="21"/>
                <w:szCs w:val="21"/>
                <w:lang w:eastAsia="zh-Hans"/>
              </w:rPr>
            </w:pPr>
            <w:r>
              <w:rPr>
                <w:rFonts w:hint="eastAsia" w:ascii="Times New Roman" w:hAnsi="Times New Roman" w:cs="Times New Roman"/>
                <w:sz w:val="21"/>
                <w:szCs w:val="21"/>
                <w:lang w:eastAsia="zh-Hans"/>
              </w:rPr>
              <w:t>#3-All Fieldes: “cognition” OR “cognitions” OR “cognitive function” OR “cognitive functions” OR “function, cognitive” OR “functions, cognitive”</w:t>
            </w:r>
          </w:p>
          <w:p>
            <w:pPr>
              <w:rPr>
                <w:rFonts w:hint="default" w:ascii="Times New Roman Bold" w:hAnsi="Times New Roman Bold" w:cs="Times New Roman Bold"/>
                <w:b/>
                <w:bCs/>
                <w:sz w:val="21"/>
                <w:szCs w:val="21"/>
                <w:lang w:eastAsia="zh-Hans"/>
              </w:rPr>
            </w:pPr>
            <w:r>
              <w:rPr>
                <w:rFonts w:hint="default" w:ascii="Times New Roman Bold" w:hAnsi="Times New Roman Bold" w:cs="Times New Roman Bold"/>
                <w:b/>
                <w:bCs/>
                <w:sz w:val="21"/>
                <w:szCs w:val="21"/>
                <w:lang w:eastAsia="zh-Hans"/>
              </w:rPr>
              <w:t>Web of Science</w:t>
            </w:r>
          </w:p>
          <w:p>
            <w:pPr>
              <w:rPr>
                <w:rFonts w:hint="eastAsia" w:ascii="Times New Roman" w:hAnsi="Times New Roman" w:cs="Times New Roman"/>
                <w:sz w:val="21"/>
                <w:szCs w:val="21"/>
                <w:lang w:eastAsia="zh-Hans"/>
              </w:rPr>
            </w:pPr>
            <w:r>
              <w:rPr>
                <w:rFonts w:hint="eastAsia" w:ascii="Times New Roman" w:hAnsi="Times New Roman" w:cs="Times New Roman"/>
                <w:sz w:val="21"/>
                <w:szCs w:val="21"/>
                <w:lang w:eastAsia="zh-Hans"/>
              </w:rPr>
              <w:t>((Topic (TS)=(Parkinson disease)) AND TS=(tai ji)) AND TS=(cognition)</w:t>
            </w:r>
          </w:p>
          <w:p>
            <w:pPr>
              <w:rPr>
                <w:rFonts w:hint="default" w:ascii="Times New Roman Bold" w:hAnsi="Times New Roman Bold" w:cs="Times New Roman Bold"/>
                <w:b/>
                <w:bCs/>
                <w:sz w:val="21"/>
                <w:szCs w:val="21"/>
                <w:lang w:eastAsia="zh-Hans"/>
              </w:rPr>
            </w:pPr>
            <w:r>
              <w:rPr>
                <w:rFonts w:hint="default" w:ascii="Times New Roman Bold" w:hAnsi="Times New Roman Bold" w:cs="Times New Roman Bold"/>
                <w:b/>
                <w:bCs/>
                <w:sz w:val="21"/>
                <w:szCs w:val="21"/>
                <w:lang w:eastAsia="zh-Hans"/>
              </w:rPr>
              <w:t>Scopus</w:t>
            </w:r>
          </w:p>
          <w:p>
            <w:pPr>
              <w:rPr>
                <w:rFonts w:hint="eastAsia" w:ascii="Times New Roman" w:hAnsi="Times New Roman" w:cs="Times New Roman"/>
                <w:sz w:val="21"/>
                <w:szCs w:val="21"/>
                <w:lang w:eastAsia="zh-Hans"/>
              </w:rPr>
            </w:pPr>
            <w:r>
              <w:rPr>
                <w:rFonts w:hint="eastAsia" w:ascii="Times New Roman" w:hAnsi="Times New Roman" w:cs="Times New Roman"/>
                <w:sz w:val="21"/>
                <w:szCs w:val="21"/>
                <w:lang w:eastAsia="zh-Hans"/>
              </w:rPr>
              <w:t>TITLE-ABS-KEY ( “Parkinson disease” ) AND TITLE-ABS-KEY ( “tai ji” ) AND TITLE-ABS-KEY ( cognition )</w:t>
            </w:r>
          </w:p>
          <w:p>
            <w:pPr>
              <w:rPr>
                <w:rFonts w:hint="default" w:ascii="Times New Roman Bold" w:hAnsi="Times New Roman Bold" w:cs="Times New Roman Bold"/>
                <w:b/>
                <w:bCs/>
                <w:sz w:val="21"/>
                <w:szCs w:val="21"/>
                <w:lang w:eastAsia="zh-Hans"/>
              </w:rPr>
            </w:pPr>
            <w:r>
              <w:rPr>
                <w:rFonts w:hint="default" w:ascii="Times New Roman Bold" w:hAnsi="Times New Roman Bold" w:cs="Times New Roman Bold"/>
                <w:b/>
                <w:bCs/>
                <w:sz w:val="21"/>
                <w:szCs w:val="21"/>
                <w:lang w:eastAsia="zh-Hans"/>
              </w:rPr>
              <w:t>Cochrane Library</w:t>
            </w:r>
          </w:p>
          <w:p>
            <w:pPr>
              <w:rPr>
                <w:rFonts w:hint="eastAsia" w:ascii="Times New Roman" w:hAnsi="Times New Roman" w:cs="Times New Roman"/>
                <w:sz w:val="21"/>
                <w:szCs w:val="21"/>
                <w:lang w:eastAsia="zh-Hans"/>
              </w:rPr>
            </w:pPr>
            <w:r>
              <w:rPr>
                <w:rFonts w:hint="eastAsia" w:ascii="Times New Roman" w:hAnsi="Times New Roman" w:cs="Times New Roman"/>
                <w:sz w:val="21"/>
                <w:szCs w:val="21"/>
                <w:lang w:eastAsia="zh-Hans"/>
              </w:rPr>
              <w:t>#1 MeSH descriptor: [Parkinson Disease] explode all trees</w:t>
            </w:r>
          </w:p>
          <w:p>
            <w:pPr>
              <w:rPr>
                <w:rFonts w:hint="eastAsia" w:ascii="Times New Roman" w:hAnsi="Times New Roman" w:cs="Times New Roman"/>
                <w:sz w:val="21"/>
                <w:szCs w:val="21"/>
                <w:lang w:eastAsia="zh-Hans"/>
              </w:rPr>
            </w:pPr>
            <w:r>
              <w:rPr>
                <w:rFonts w:hint="eastAsia" w:ascii="Times New Roman" w:hAnsi="Times New Roman" w:cs="Times New Roman"/>
                <w:sz w:val="21"/>
                <w:szCs w:val="21"/>
                <w:lang w:eastAsia="zh-Hans"/>
              </w:rPr>
              <w:t>#2 MeSH descriptor: [Tai Ji] explode all trees</w:t>
            </w:r>
          </w:p>
          <w:p>
            <w:pPr>
              <w:rPr>
                <w:rFonts w:hint="eastAsia" w:ascii="Times New Roman" w:hAnsi="Times New Roman" w:cs="Times New Roman"/>
                <w:sz w:val="21"/>
                <w:szCs w:val="21"/>
                <w:lang w:eastAsia="zh-Hans"/>
              </w:rPr>
            </w:pPr>
            <w:r>
              <w:rPr>
                <w:rFonts w:hint="eastAsia" w:ascii="Times New Roman" w:hAnsi="Times New Roman" w:cs="Times New Roman"/>
                <w:sz w:val="21"/>
                <w:szCs w:val="21"/>
                <w:lang w:eastAsia="zh-Hans"/>
              </w:rPr>
              <w:t>#3 MeSH descriptor: [Cognition] explode all trees</w:t>
            </w:r>
          </w:p>
          <w:p>
            <w:pPr>
              <w:rPr>
                <w:rFonts w:hint="eastAsia" w:ascii="Times New Roman" w:hAnsi="Times New Roman" w:cs="Times New Roman"/>
                <w:sz w:val="21"/>
                <w:szCs w:val="21"/>
                <w:lang w:eastAsia="zh-Hans"/>
              </w:rPr>
            </w:pPr>
            <w:r>
              <w:rPr>
                <w:rFonts w:hint="eastAsia" w:ascii="Times New Roman" w:hAnsi="Times New Roman" w:cs="Times New Roman"/>
                <w:sz w:val="21"/>
                <w:szCs w:val="21"/>
                <w:lang w:eastAsia="zh-Hans"/>
              </w:rPr>
              <w:t>#4 #1 ADN #2 AND #3</w:t>
            </w:r>
          </w:p>
          <w:p>
            <w:pPr>
              <w:rPr>
                <w:rFonts w:hint="default" w:ascii="Times New Roman Bold" w:hAnsi="Times New Roman Bold" w:cs="Times New Roman Bold"/>
                <w:b/>
                <w:bCs/>
                <w:sz w:val="21"/>
                <w:szCs w:val="21"/>
                <w:lang w:eastAsia="zh-Hans"/>
              </w:rPr>
            </w:pPr>
            <w:r>
              <w:rPr>
                <w:rFonts w:hint="default" w:ascii="Times New Roman Bold" w:hAnsi="Times New Roman Bold" w:cs="Times New Roman Bold"/>
                <w:b/>
                <w:bCs/>
                <w:sz w:val="21"/>
                <w:szCs w:val="21"/>
                <w:lang w:eastAsia="zh-Hans"/>
              </w:rPr>
              <w:t>EBSCOhost</w:t>
            </w:r>
          </w:p>
          <w:p>
            <w:pPr>
              <w:rPr>
                <w:rFonts w:hint="eastAsia" w:ascii="Times New Roman" w:hAnsi="Times New Roman" w:cs="Times New Roman"/>
                <w:sz w:val="21"/>
                <w:szCs w:val="21"/>
                <w:lang w:eastAsia="zh-Hans"/>
              </w:rPr>
            </w:pPr>
            <w:r>
              <w:rPr>
                <w:rFonts w:hint="eastAsia" w:ascii="Times New Roman" w:hAnsi="Times New Roman" w:cs="Times New Roman"/>
                <w:sz w:val="21"/>
                <w:szCs w:val="21"/>
                <w:lang w:eastAsia="zh-Hans"/>
              </w:rPr>
              <w:t>TI: “Parkinson Disease”</w:t>
            </w:r>
          </w:p>
          <w:p>
            <w:pPr>
              <w:rPr>
                <w:rFonts w:hint="eastAsia" w:ascii="Times New Roman" w:hAnsi="Times New Roman" w:cs="Times New Roman"/>
                <w:sz w:val="21"/>
                <w:szCs w:val="21"/>
                <w:lang w:eastAsia="zh-Hans"/>
              </w:rPr>
            </w:pPr>
            <w:r>
              <w:rPr>
                <w:rFonts w:hint="eastAsia" w:ascii="Times New Roman" w:hAnsi="Times New Roman" w:cs="Times New Roman"/>
                <w:sz w:val="21"/>
                <w:szCs w:val="21"/>
                <w:lang w:eastAsia="zh-Hans"/>
              </w:rPr>
              <w:t xml:space="preserve">AND TX: “tai ji” </w:t>
            </w:r>
          </w:p>
          <w:p>
            <w:pPr>
              <w:rPr>
                <w:rFonts w:hint="eastAsia" w:ascii="Times New Roman" w:hAnsi="Times New Roman" w:cs="Times New Roman"/>
                <w:sz w:val="21"/>
                <w:szCs w:val="21"/>
                <w:lang w:eastAsia="zh-Hans"/>
              </w:rPr>
            </w:pPr>
            <w:r>
              <w:rPr>
                <w:rFonts w:hint="eastAsia" w:ascii="Times New Roman" w:hAnsi="Times New Roman" w:cs="Times New Roman"/>
                <w:sz w:val="21"/>
                <w:szCs w:val="21"/>
                <w:lang w:eastAsia="zh-Hans"/>
              </w:rPr>
              <w:t>AND TX: cognition</w:t>
            </w:r>
          </w:p>
          <w:p>
            <w:pPr>
              <w:rPr>
                <w:rFonts w:hint="default" w:ascii="Times New Roman Bold" w:hAnsi="Times New Roman Bold" w:cs="Times New Roman Bold"/>
                <w:b/>
                <w:bCs/>
                <w:sz w:val="21"/>
                <w:szCs w:val="21"/>
                <w:lang w:eastAsia="zh-Hans"/>
              </w:rPr>
            </w:pPr>
            <w:r>
              <w:rPr>
                <w:rFonts w:hint="default" w:ascii="Times New Roman Bold" w:hAnsi="Times New Roman Bold" w:cs="Times New Roman Bold"/>
                <w:b/>
                <w:bCs/>
                <w:sz w:val="21"/>
                <w:szCs w:val="21"/>
                <w:lang w:eastAsia="zh-Hans"/>
              </w:rPr>
              <w:t>WBM (Chinese Database)</w:t>
            </w:r>
          </w:p>
          <w:p>
            <w:pPr>
              <w:rPr>
                <w:rFonts w:hint="eastAsia" w:ascii="Times New Roman" w:hAnsi="Times New Roman" w:cs="Times New Roman"/>
                <w:sz w:val="21"/>
                <w:szCs w:val="21"/>
                <w:lang w:eastAsia="zh-Hans"/>
              </w:rPr>
            </w:pPr>
            <w:r>
              <w:rPr>
                <w:rFonts w:hint="eastAsia" w:ascii="Times New Roman" w:hAnsi="Times New Roman" w:cs="Times New Roman"/>
                <w:sz w:val="21"/>
                <w:szCs w:val="21"/>
                <w:lang w:eastAsia="zh-Hans"/>
              </w:rPr>
              <w:t>Title and keywords: tai ji</w:t>
            </w:r>
          </w:p>
          <w:p>
            <w:pPr>
              <w:rPr>
                <w:rFonts w:hint="eastAsia" w:ascii="Times New Roman" w:hAnsi="Times New Roman" w:cs="Times New Roman"/>
                <w:sz w:val="21"/>
                <w:szCs w:val="21"/>
                <w:lang w:eastAsia="zh-Hans"/>
              </w:rPr>
            </w:pPr>
            <w:r>
              <w:rPr>
                <w:rFonts w:hint="eastAsia" w:ascii="Times New Roman" w:hAnsi="Times New Roman" w:cs="Times New Roman"/>
                <w:sz w:val="21"/>
                <w:szCs w:val="21"/>
                <w:lang w:eastAsia="zh-Hans"/>
              </w:rPr>
              <w:t xml:space="preserve">AND Title and keywords: Parkinson Disease </w:t>
            </w:r>
          </w:p>
          <w:p>
            <w:pPr>
              <w:rPr>
                <w:rFonts w:hint="eastAsia" w:ascii="Times New Roman" w:hAnsi="Times New Roman" w:cs="Times New Roman"/>
                <w:sz w:val="21"/>
                <w:szCs w:val="21"/>
                <w:lang w:eastAsia="zh-Hans"/>
              </w:rPr>
            </w:pPr>
            <w:r>
              <w:rPr>
                <w:rFonts w:hint="eastAsia" w:ascii="Times New Roman" w:hAnsi="Times New Roman" w:cs="Times New Roman"/>
                <w:sz w:val="21"/>
                <w:szCs w:val="21"/>
                <w:lang w:eastAsia="zh-Hans"/>
              </w:rPr>
              <w:t>AND Title and keywords: cognition</w:t>
            </w:r>
          </w:p>
          <w:p>
            <w:pPr>
              <w:rPr>
                <w:rFonts w:hint="eastAsia" w:ascii="Times New Roman" w:hAnsi="Times New Roman" w:cs="Times New Roman"/>
                <w:sz w:val="21"/>
                <w:szCs w:val="21"/>
                <w:lang w:eastAsia="zh-Hans"/>
              </w:rPr>
            </w:pPr>
            <w:r>
              <w:rPr>
                <w:rFonts w:hint="default" w:ascii="Times New Roman Bold" w:hAnsi="Times New Roman Bold" w:eastAsia="TimesNewRomanPSMT" w:cs="Times New Roman Bold"/>
                <w:b/>
                <w:bCs/>
                <w:sz w:val="21"/>
                <w:szCs w:val="21"/>
              </w:rPr>
              <w:t xml:space="preserve">CNKI (Chinese Database) </w:t>
            </w:r>
          </w:p>
          <w:p>
            <w:pPr>
              <w:rPr>
                <w:rFonts w:hint="eastAsia" w:ascii="Times New Roman" w:hAnsi="Times New Roman" w:cs="Times New Roman"/>
                <w:sz w:val="21"/>
                <w:szCs w:val="21"/>
                <w:lang w:eastAsia="zh-Hans"/>
              </w:rPr>
            </w:pPr>
            <w:r>
              <w:rPr>
                <w:rFonts w:hint="eastAsia" w:ascii="Times New Roman" w:hAnsi="Times New Roman" w:cs="Times New Roman"/>
                <w:sz w:val="21"/>
                <w:szCs w:val="21"/>
                <w:lang w:eastAsia="zh-Hans"/>
              </w:rPr>
              <w:t xml:space="preserve">Topic:Parkinson Disease AND </w:t>
            </w:r>
          </w:p>
          <w:p>
            <w:pPr>
              <w:rPr>
                <w:rFonts w:hint="eastAsia" w:ascii="Times New Roman" w:hAnsi="Times New Roman" w:cs="Times New Roman"/>
                <w:sz w:val="21"/>
                <w:szCs w:val="21"/>
                <w:lang w:eastAsia="zh-Hans"/>
              </w:rPr>
            </w:pPr>
            <w:r>
              <w:rPr>
                <w:rFonts w:hint="eastAsia" w:ascii="Times New Roman" w:hAnsi="Times New Roman" w:cs="Times New Roman"/>
                <w:sz w:val="21"/>
                <w:szCs w:val="21"/>
                <w:lang w:eastAsia="zh-Hans"/>
              </w:rPr>
              <w:t>Topic:tai ji</w:t>
            </w:r>
          </w:p>
          <w:p>
            <w:pPr>
              <w:rPr>
                <w:rFonts w:ascii="Times New Roman" w:hAnsi="Times New Roman" w:cs="Times New Roman"/>
                <w:lang w:eastAsia="zh-Hans"/>
              </w:rPr>
            </w:pPr>
            <w:r>
              <w:rPr>
                <w:rFonts w:hint="eastAsia" w:ascii="Times New Roman" w:hAnsi="Times New Roman" w:cs="Times New Roman"/>
                <w:sz w:val="21"/>
                <w:szCs w:val="21"/>
                <w:lang w:eastAsia="zh-Hans"/>
              </w:rPr>
              <w:t>AND Topic:cognition</w:t>
            </w:r>
          </w:p>
        </w:tc>
        <w:tc>
          <w:tcPr>
            <w:tcW w:w="579" w:type="pct"/>
          </w:tcPr>
          <w:p>
            <w:pPr>
              <w:rPr>
                <w:rFonts w:hint="default" w:ascii="Times New Roman" w:hAnsi="Times New Roman" w:cs="Times New Roman"/>
              </w:rPr>
            </w:pPr>
            <w:r>
              <w:rPr>
                <w:rFonts w:hint="default" w:ascii="Times New Roman" w:hAnsi="Times New Roman" w:cs="Times New Roma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7" w:type="pct"/>
          </w:tcPr>
          <w:p>
            <w:pPr>
              <w:rPr>
                <w:rFonts w:ascii="Times New Roman" w:hAnsi="Times New Roman" w:cs="Times New Roman"/>
              </w:rPr>
            </w:pPr>
            <w:r>
              <w:rPr>
                <w:rFonts w:ascii="Times New Roman" w:hAnsi="Times New Roman" w:cs="Times New Roman"/>
              </w:rPr>
              <w:t>Study selection</w:t>
            </w:r>
          </w:p>
        </w:tc>
        <w:tc>
          <w:tcPr>
            <w:tcW w:w="249" w:type="pct"/>
          </w:tcPr>
          <w:p>
            <w:pPr>
              <w:rPr>
                <w:rFonts w:ascii="Times New Roman" w:hAnsi="Times New Roman" w:cs="Times New Roman"/>
              </w:rPr>
            </w:pPr>
            <w:r>
              <w:rPr>
                <w:rFonts w:ascii="Times New Roman" w:hAnsi="Times New Roman" w:cs="Times New Roman"/>
              </w:rPr>
              <w:t>9</w:t>
            </w:r>
          </w:p>
        </w:tc>
        <w:tc>
          <w:tcPr>
            <w:tcW w:w="3393" w:type="pct"/>
          </w:tcPr>
          <w:p>
            <w:pPr>
              <w:rPr>
                <w:rFonts w:hint="default" w:ascii="Times New Roman" w:hAnsi="Times New Roman" w:cs="Times New Roman"/>
              </w:rPr>
            </w:pPr>
            <w:r>
              <w:rPr>
                <w:rFonts w:hint="eastAsia" w:ascii="Times New Roman" w:hAnsi="Times New Roman" w:cs="Times New Roman"/>
              </w:rPr>
              <w:t>The databases yielded a total of 43 articles, where 16 were excluded before screening. Thirteen articles were dis- regarded after reading the titles and abstracts. The remaining 14 were required to be read in their entirety. One article was not retrieved. Seven articles were excluded because of too low quality (n = 2), TJ intervention present in both experimental and control groups (n = 1), outcome indexes did not mention cognitive component (n = 2), and the out- come data unavailable (n = 2). The remaining 6 articles were quantitatively synthesized and analyzed</w:t>
            </w:r>
            <w:r>
              <w:rPr>
                <w:rFonts w:hint="default" w:ascii="Times New Roman" w:hAnsi="Times New Roman" w:cs="Times New Roman"/>
              </w:rPr>
              <w:t>.</w:t>
            </w:r>
          </w:p>
        </w:tc>
        <w:tc>
          <w:tcPr>
            <w:tcW w:w="579" w:type="pct"/>
          </w:tcPr>
          <w:p>
            <w:pPr>
              <w:rPr>
                <w:rFonts w:ascii="Times New Roman" w:hAnsi="Times New Roman" w:cs="Times New Roman"/>
              </w:rPr>
            </w:pPr>
            <w:r>
              <w:rPr>
                <w:rFonts w:ascii="Times New Roman" w:hAnsi="Times New Roman" w:cs="Times New Roma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7" w:type="pct"/>
          </w:tcPr>
          <w:p>
            <w:pPr>
              <w:rPr>
                <w:rFonts w:ascii="Times New Roman" w:hAnsi="Times New Roman" w:cs="Times New Roman"/>
              </w:rPr>
            </w:pPr>
            <w:r>
              <w:rPr>
                <w:rFonts w:ascii="Times New Roman" w:hAnsi="Times New Roman" w:cs="Times New Roman"/>
              </w:rPr>
              <w:t>Data collection process</w:t>
            </w:r>
          </w:p>
        </w:tc>
        <w:tc>
          <w:tcPr>
            <w:tcW w:w="249" w:type="pct"/>
          </w:tcPr>
          <w:p>
            <w:pPr>
              <w:rPr>
                <w:rFonts w:ascii="Times New Roman" w:hAnsi="Times New Roman" w:cs="Times New Roman"/>
              </w:rPr>
            </w:pPr>
            <w:r>
              <w:rPr>
                <w:rFonts w:ascii="Times New Roman" w:hAnsi="Times New Roman" w:cs="Times New Roman"/>
              </w:rPr>
              <w:t>10</w:t>
            </w:r>
          </w:p>
        </w:tc>
        <w:tc>
          <w:tcPr>
            <w:tcW w:w="3393" w:type="pct"/>
          </w:tcPr>
          <w:p>
            <w:pPr>
              <w:rPr>
                <w:rFonts w:ascii="Times New Roman" w:hAnsi="Times New Roman" w:cs="Times New Roman"/>
              </w:rPr>
            </w:pPr>
            <w:r>
              <w:rPr>
                <w:rFonts w:hint="eastAsia" w:ascii="Times New Roman" w:hAnsi="Times New Roman" w:cs="Times New Roman"/>
              </w:rPr>
              <w:t>The inclusion and exclusion criteria for the designed study were as follows: (i) Participants: people with PD and no other primary disease; (ii) Intervention and comparison: studies comparing TJ interventions with active and inactive controls were included; studies where TJ was specified as control condition or TJ combined with other practices or exercise forms were excluded; (iii) Outcomes: any data assessing the cognitive function; (iv) Study type: studies with randomized controlled trials (RCTs) were included.</w:t>
            </w:r>
          </w:p>
        </w:tc>
        <w:tc>
          <w:tcPr>
            <w:tcW w:w="579" w:type="pct"/>
          </w:tcPr>
          <w:p>
            <w:pPr>
              <w:rPr>
                <w:rFonts w:ascii="Times New Roman" w:hAnsi="Times New Roman" w:cs="Times New Roman"/>
              </w:rPr>
            </w:pPr>
            <w:r>
              <w:rPr>
                <w:rFonts w:ascii="Times New Roman" w:hAnsi="Times New Roman" w:cs="Times New Roma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7" w:type="pct"/>
          </w:tcPr>
          <w:p>
            <w:pPr>
              <w:rPr>
                <w:rFonts w:ascii="Times New Roman" w:hAnsi="Times New Roman" w:cs="Times New Roman"/>
              </w:rPr>
            </w:pPr>
            <w:r>
              <w:rPr>
                <w:rFonts w:ascii="Times New Roman" w:hAnsi="Times New Roman" w:cs="Times New Roman"/>
              </w:rPr>
              <w:t>Data items</w:t>
            </w:r>
          </w:p>
        </w:tc>
        <w:tc>
          <w:tcPr>
            <w:tcW w:w="249" w:type="pct"/>
          </w:tcPr>
          <w:p>
            <w:pPr>
              <w:rPr>
                <w:rFonts w:ascii="Times New Roman" w:hAnsi="Times New Roman" w:cs="Times New Roman"/>
              </w:rPr>
            </w:pPr>
            <w:r>
              <w:rPr>
                <w:rFonts w:ascii="Times New Roman" w:hAnsi="Times New Roman" w:cs="Times New Roman"/>
              </w:rPr>
              <w:t>11</w:t>
            </w:r>
          </w:p>
        </w:tc>
        <w:tc>
          <w:tcPr>
            <w:tcW w:w="3393" w:type="pct"/>
          </w:tcPr>
          <w:p>
            <w:pPr>
              <w:rPr>
                <w:rFonts w:hint="default" w:ascii="Times New Roman" w:hAnsi="Times New Roman" w:cs="Times New Roman"/>
              </w:rPr>
            </w:pPr>
            <w:r>
              <w:rPr>
                <w:rFonts w:ascii="Times New Roman" w:hAnsi="Times New Roman" w:cs="Times New Roman"/>
              </w:rPr>
              <w:t>P</w:t>
            </w:r>
            <w:r>
              <w:rPr>
                <w:rFonts w:hint="default" w:ascii="Times New Roman" w:hAnsi="Times New Roman" w:cs="Times New Roman"/>
              </w:rPr>
              <w:t>: “</w:t>
            </w:r>
            <w:r>
              <w:rPr>
                <w:rFonts w:ascii="Times New Roman" w:hAnsi="Times New Roman" w:eastAsia="宋体" w:cs="Times New Roman"/>
              </w:rPr>
              <w:t>Parkinson disease</w:t>
            </w:r>
            <w:r>
              <w:rPr>
                <w:rFonts w:hint="default" w:ascii="Times New Roman" w:hAnsi="Times New Roman" w:eastAsia="宋体" w:cs="Times New Roman"/>
              </w:rPr>
              <w:t>”</w:t>
            </w:r>
            <w:r>
              <w:rPr>
                <w:rFonts w:ascii="Times New Roman" w:hAnsi="Times New Roman" w:eastAsia="宋体" w:cs="Times New Roman"/>
              </w:rPr>
              <w:t>(MeSH); I</w:t>
            </w:r>
            <w:r>
              <w:rPr>
                <w:rFonts w:hint="default" w:ascii="Times New Roman" w:hAnsi="Times New Roman" w:eastAsia="宋体" w:cs="Times New Roman"/>
              </w:rPr>
              <w:t>:</w:t>
            </w:r>
            <w:r>
              <w:rPr>
                <w:rFonts w:ascii="Times New Roman" w:hAnsi="Times New Roman" w:eastAsia="宋体" w:cs="Times New Roman"/>
                <w:lang w:eastAsia="zh-Hans"/>
              </w:rPr>
              <w:t xml:space="preserve"> </w:t>
            </w:r>
            <w:r>
              <w:rPr>
                <w:rFonts w:hint="default" w:ascii="Times New Roman" w:hAnsi="Times New Roman" w:eastAsia="宋体" w:cs="Times New Roman"/>
                <w:lang w:eastAsia="zh-Hans"/>
              </w:rPr>
              <w:t>“</w:t>
            </w:r>
            <w:r>
              <w:rPr>
                <w:rFonts w:ascii="Times New Roman" w:hAnsi="Times New Roman" w:eastAsia="宋体" w:cs="Times New Roman"/>
                <w:lang w:eastAsia="zh-Hans"/>
              </w:rPr>
              <w:t>Tai Ji”</w:t>
            </w:r>
            <w:r>
              <w:rPr>
                <w:rFonts w:ascii="Times New Roman" w:hAnsi="Times New Roman" w:eastAsia="宋体" w:cs="Times New Roman"/>
              </w:rPr>
              <w:t xml:space="preserve">(MeSH); C: </w:t>
            </w:r>
            <w:r>
              <w:rPr>
                <w:rFonts w:ascii="Times New Roman" w:hAnsi="Times New Roman" w:eastAsia="宋体" w:cs="Times New Roman"/>
                <w:lang w:eastAsia="zh-Hans"/>
              </w:rPr>
              <w:t>“randomized controlled trial”</w:t>
            </w:r>
            <w:r>
              <w:rPr>
                <w:rFonts w:ascii="Times New Roman" w:hAnsi="Times New Roman" w:eastAsia="宋体" w:cs="Times New Roman"/>
              </w:rPr>
              <w:t xml:space="preserve">(MeSH); </w:t>
            </w:r>
            <w:r>
              <w:rPr>
                <w:rFonts w:ascii="Times New Roman" w:hAnsi="Times New Roman" w:eastAsia="宋体" w:cs="Times New Roman"/>
                <w:lang w:eastAsia="zh-Hans"/>
              </w:rPr>
              <w:t xml:space="preserve">O: </w:t>
            </w:r>
            <w:r>
              <w:rPr>
                <w:rFonts w:hint="eastAsia" w:ascii="Times New Roman" w:hAnsi="Times New Roman" w:eastAsia="宋体" w:cs="Times New Roman"/>
                <w:lang w:eastAsia="zh-Hans"/>
              </w:rPr>
              <w:t>cog</w:t>
            </w:r>
            <w:r>
              <w:rPr>
                <w:rFonts w:ascii="Times New Roman" w:hAnsi="Times New Roman" w:eastAsia="宋体" w:cs="Times New Roman"/>
                <w:lang w:eastAsia="zh-Hans"/>
              </w:rPr>
              <w:t>nition</w:t>
            </w:r>
            <w:r>
              <w:rPr>
                <w:rFonts w:ascii="Times New Roman" w:hAnsi="Times New Roman" w:eastAsia="宋体" w:cs="Times New Roman"/>
              </w:rPr>
              <w:t>(MeSH)</w:t>
            </w:r>
            <w:r>
              <w:rPr>
                <w:rFonts w:hint="default" w:ascii="Times New Roman" w:hAnsi="Times New Roman" w:eastAsia="宋体" w:cs="Times New Roman"/>
              </w:rPr>
              <w:t>.</w:t>
            </w:r>
          </w:p>
        </w:tc>
        <w:tc>
          <w:tcPr>
            <w:tcW w:w="579" w:type="pct"/>
          </w:tcPr>
          <w:p>
            <w:pPr>
              <w:rPr>
                <w:rFonts w:hint="default" w:ascii="Times New Roman" w:hAnsi="Times New Roman" w:cs="Times New Roman"/>
              </w:rPr>
            </w:pPr>
            <w:r>
              <w:rPr>
                <w:rFonts w:hint="default" w:ascii="Times New Roman" w:hAnsi="Times New Roman" w:cs="Times New Roma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7" w:type="pct"/>
          </w:tcPr>
          <w:p>
            <w:pPr>
              <w:rPr>
                <w:rFonts w:ascii="Times New Roman" w:hAnsi="Times New Roman" w:cs="Times New Roman"/>
              </w:rPr>
            </w:pPr>
            <w:r>
              <w:rPr>
                <w:rFonts w:ascii="Times New Roman" w:hAnsi="Times New Roman" w:cs="Times New Roman"/>
              </w:rPr>
              <w:t>Risk of bias in individual studies</w:t>
            </w:r>
          </w:p>
        </w:tc>
        <w:tc>
          <w:tcPr>
            <w:tcW w:w="249" w:type="pct"/>
          </w:tcPr>
          <w:p>
            <w:pPr>
              <w:rPr>
                <w:rFonts w:ascii="Times New Roman" w:hAnsi="Times New Roman" w:cs="Times New Roman"/>
              </w:rPr>
            </w:pPr>
            <w:r>
              <w:rPr>
                <w:rFonts w:ascii="Times New Roman" w:hAnsi="Times New Roman" w:cs="Times New Roman"/>
              </w:rPr>
              <w:t>12</w:t>
            </w:r>
          </w:p>
        </w:tc>
        <w:tc>
          <w:tcPr>
            <w:tcW w:w="3393" w:type="pct"/>
          </w:tcPr>
          <w:p>
            <w:pPr>
              <w:rPr>
                <w:rFonts w:ascii="Times New Roman" w:hAnsi="Times New Roman" w:cs="Times New Roman"/>
              </w:rPr>
            </w:pPr>
            <w:r>
              <w:rPr>
                <w:rFonts w:hint="eastAsia" w:ascii="Times New Roman" w:hAnsi="Times New Roman" w:cs="Times New Roman"/>
              </w:rPr>
              <w:t>The searches used the article quality assessment cri- teria manual recommended by Cochrane Manual 5.1.0 to assess the quality of included literature [19] and evaluated each sub-item as “low risk”, “unclear” and “high risk”.</w:t>
            </w:r>
          </w:p>
        </w:tc>
        <w:tc>
          <w:tcPr>
            <w:tcW w:w="579" w:type="pct"/>
          </w:tcPr>
          <w:p>
            <w:pPr>
              <w:rPr>
                <w:rFonts w:ascii="Times New Roman" w:hAnsi="Times New Roman" w:cs="Times New Roman"/>
              </w:rPr>
            </w:pPr>
            <w:r>
              <w:rPr>
                <w:rFonts w:ascii="Times New Roman" w:hAnsi="Times New Roman" w:cs="Times New Roma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777" w:type="pct"/>
          </w:tcPr>
          <w:p>
            <w:pPr>
              <w:rPr>
                <w:rFonts w:ascii="Times New Roman" w:hAnsi="Times New Roman" w:cs="Times New Roman"/>
              </w:rPr>
            </w:pPr>
            <w:r>
              <w:rPr>
                <w:rFonts w:ascii="Times New Roman" w:hAnsi="Times New Roman" w:cs="Times New Roman"/>
              </w:rPr>
              <w:t>Summary measures</w:t>
            </w:r>
          </w:p>
        </w:tc>
        <w:tc>
          <w:tcPr>
            <w:tcW w:w="249" w:type="pct"/>
          </w:tcPr>
          <w:p>
            <w:pPr>
              <w:rPr>
                <w:rFonts w:ascii="Times New Roman" w:hAnsi="Times New Roman" w:cs="Times New Roman"/>
              </w:rPr>
            </w:pPr>
            <w:r>
              <w:rPr>
                <w:rFonts w:ascii="Times New Roman" w:hAnsi="Times New Roman" w:cs="Times New Roman"/>
              </w:rPr>
              <w:t>13</w:t>
            </w:r>
          </w:p>
        </w:tc>
        <w:tc>
          <w:tcPr>
            <w:tcW w:w="3393" w:type="pct"/>
          </w:tcPr>
          <w:p>
            <w:pPr>
              <w:rPr>
                <w:rFonts w:ascii="Times New Roman" w:hAnsi="Times New Roman" w:eastAsia="宋体" w:cs="Times New Roman"/>
              </w:rPr>
            </w:pPr>
            <w:r>
              <w:rPr>
                <w:rFonts w:hint="eastAsia" w:ascii="Times New Roman" w:hAnsi="Times New Roman" w:eastAsia="宋体" w:cs="Times New Roman"/>
              </w:rPr>
              <w:t xml:space="preserve">Five studies (83.3%) reported the random sequence generation methods. Four (66.7%) mentioned the alloca- tion concealment techniques. Three (50%) managed to blind the subjects and staff. They thus had low bias risk because of assessors’ blinding. Regarding bias reporting, every study reported the anticipated findings. The major- ity of studies lacked a description of additional bias risks. Three studies (50%) were of excellent quality providing an overview of 6 RCTs’ quality ratings. </w:t>
            </w:r>
          </w:p>
        </w:tc>
        <w:tc>
          <w:tcPr>
            <w:tcW w:w="579" w:type="pct"/>
          </w:tcPr>
          <w:p>
            <w:pPr>
              <w:rPr>
                <w:rFonts w:hint="default" w:ascii="Times New Roman" w:hAnsi="Times New Roman" w:cs="Times New Roman"/>
              </w:rPr>
            </w:pPr>
            <w:r>
              <w:rPr>
                <w:rFonts w:hint="default" w:ascii="Times New Roman" w:hAnsi="Times New Roman" w:cs="Times New Roma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3" w:hRule="atLeast"/>
        </w:trPr>
        <w:tc>
          <w:tcPr>
            <w:tcW w:w="777" w:type="pct"/>
          </w:tcPr>
          <w:p>
            <w:pPr>
              <w:rPr>
                <w:rFonts w:ascii="Times New Roman" w:hAnsi="Times New Roman" w:cs="Times New Roman"/>
              </w:rPr>
            </w:pPr>
            <w:r>
              <w:rPr>
                <w:rFonts w:ascii="Times New Roman" w:hAnsi="Times New Roman" w:cs="Times New Roman"/>
              </w:rPr>
              <w:t>Synthesis of results</w:t>
            </w:r>
          </w:p>
        </w:tc>
        <w:tc>
          <w:tcPr>
            <w:tcW w:w="249" w:type="pct"/>
          </w:tcPr>
          <w:p>
            <w:pPr>
              <w:rPr>
                <w:rFonts w:ascii="Times New Roman" w:hAnsi="Times New Roman" w:cs="Times New Roman"/>
              </w:rPr>
            </w:pPr>
            <w:r>
              <w:rPr>
                <w:rFonts w:ascii="Times New Roman" w:hAnsi="Times New Roman" w:cs="Times New Roman"/>
              </w:rPr>
              <w:t>14</w:t>
            </w:r>
          </w:p>
        </w:tc>
        <w:tc>
          <w:tcPr>
            <w:tcW w:w="3393" w:type="pct"/>
          </w:tcPr>
          <w:p>
            <w:pPr>
              <w:rPr>
                <w:rFonts w:hint="default" w:ascii="Times New Roman" w:hAnsi="Times New Roman" w:eastAsia="宋体" w:cs="Times New Roman"/>
              </w:rPr>
            </w:pPr>
            <w:r>
              <w:rPr>
                <w:rFonts w:hint="eastAsia" w:ascii="Times New Roman" w:hAnsi="Times New Roman" w:eastAsia="宋体" w:cs="Times New Roman"/>
              </w:rPr>
              <w:t>Forest maps were plotted for included publications using Review Manager 5.3 (RevMan 5.3, The Nordic Cochrane Centre, The Cochrane Collaboration, Copenhagen, Denmark), and the calculated effect sizes were analyzed through standardized mean differences (SMD). The fixed-effects and random-effects models’ 95% confidence intervals (95% CI) were estimated. I</w:t>
            </w:r>
            <w:r>
              <w:rPr>
                <w:rFonts w:hint="eastAsia" w:ascii="Times New Roman" w:hAnsi="Times New Roman" w:eastAsia="宋体" w:cs="Times New Roman"/>
                <w:vertAlign w:val="superscript"/>
              </w:rPr>
              <w:t>2</w:t>
            </w:r>
            <w:r>
              <w:rPr>
                <w:rFonts w:hint="eastAsia" w:ascii="Times New Roman" w:hAnsi="Times New Roman" w:eastAsia="宋体" w:cs="Times New Roman"/>
              </w:rPr>
              <w:t xml:space="preserve"> was the main indicator of heterogeneity; If I</w:t>
            </w:r>
            <w:r>
              <w:rPr>
                <w:rFonts w:hint="eastAsia" w:ascii="Times New Roman" w:hAnsi="Times New Roman" w:eastAsia="宋体" w:cs="Times New Roman"/>
                <w:vertAlign w:val="superscript"/>
              </w:rPr>
              <w:t>2</w:t>
            </w:r>
            <w:r>
              <w:rPr>
                <w:rFonts w:hint="eastAsia" w:ascii="Times New Roman" w:hAnsi="Times New Roman" w:eastAsia="宋体" w:cs="Times New Roman"/>
              </w:rPr>
              <w:t xml:space="preserve"> was &lt;50%, the heterogeneity could be ignored, and a fixed-effect model was applied; if I</w:t>
            </w:r>
            <w:r>
              <w:rPr>
                <w:rFonts w:hint="eastAsia" w:ascii="Times New Roman" w:hAnsi="Times New Roman" w:eastAsia="宋体" w:cs="Times New Roman"/>
                <w:vertAlign w:val="superscript"/>
              </w:rPr>
              <w:t>2</w:t>
            </w:r>
            <w:r>
              <w:rPr>
                <w:rFonts w:hint="eastAsia" w:ascii="Times New Roman" w:hAnsi="Times New Roman" w:eastAsia="宋体" w:cs="Times New Roman"/>
              </w:rPr>
              <w:t xml:space="preserve"> was between 50% and 75%, heterogeneity was mod- erate; and if I</w:t>
            </w:r>
            <w:r>
              <w:rPr>
                <w:rFonts w:hint="eastAsia" w:ascii="Times New Roman" w:hAnsi="Times New Roman" w:eastAsia="宋体" w:cs="Times New Roman"/>
                <w:vertAlign w:val="superscript"/>
              </w:rPr>
              <w:t>2</w:t>
            </w:r>
            <w:r>
              <w:rPr>
                <w:rFonts w:hint="eastAsia" w:ascii="Times New Roman" w:hAnsi="Times New Roman" w:eastAsia="宋体" w:cs="Times New Roman"/>
              </w:rPr>
              <w:t xml:space="preserve"> was &gt;75%, the random effect model was applied, and heterogeneity causes were discussed and analyzed. SMD ≥0.2 was the modest, ≥0.5 was medium, and</w:t>
            </w:r>
            <w:r>
              <w:rPr>
                <w:rFonts w:hint="default" w:ascii="Times New Roman" w:hAnsi="Times New Roman" w:eastAsia="宋体" w:cs="Times New Roman"/>
              </w:rPr>
              <w:t xml:space="preserve"> </w:t>
            </w:r>
            <w:r>
              <w:rPr>
                <w:rFonts w:hint="eastAsia" w:ascii="Times New Roman" w:hAnsi="Times New Roman" w:eastAsia="宋体" w:cs="Times New Roman"/>
              </w:rPr>
              <w:t>≥</w:t>
            </w:r>
            <w:r>
              <w:rPr>
                <w:rFonts w:hint="default" w:ascii="Times New Roman" w:hAnsi="Times New Roman" w:eastAsia="宋体" w:cs="Times New Roman"/>
              </w:rPr>
              <w:t xml:space="preserve">0.8 was large when calculating the effect size. A significant impact was considered with </w:t>
            </w:r>
            <w:r>
              <w:rPr>
                <w:rFonts w:hint="default" w:ascii="Times New Roman Italic" w:hAnsi="Times New Roman Italic" w:eastAsia="宋体" w:cs="Times New Roman Italic"/>
                <w:i/>
                <w:iCs/>
              </w:rPr>
              <w:t xml:space="preserve">p </w:t>
            </w:r>
            <w:r>
              <w:rPr>
                <w:rFonts w:hint="default" w:ascii="Times New Roman" w:hAnsi="Times New Roman" w:eastAsia="宋体" w:cs="Times New Roman"/>
              </w:rPr>
              <w:t>&lt; 0.05.</w:t>
            </w:r>
          </w:p>
        </w:tc>
        <w:tc>
          <w:tcPr>
            <w:tcW w:w="579" w:type="pct"/>
          </w:tcPr>
          <w:p>
            <w:pPr>
              <w:rPr>
                <w:rFonts w:hint="default" w:ascii="Times New Roman" w:hAnsi="Times New Roman" w:cs="Times New Roman"/>
              </w:rPr>
            </w:pPr>
            <w:r>
              <w:rPr>
                <w:rFonts w:hint="default" w:ascii="Times New Roman" w:hAnsi="Times New Roman" w:cs="Times New Roman"/>
              </w:rPr>
              <w:t>3</w:t>
            </w:r>
          </w:p>
        </w:tc>
      </w:tr>
    </w:tbl>
    <w:p>
      <w:pPr>
        <w:rPr>
          <w:rFonts w:hint="eastAsia" w:ascii="Times New Roman" w:hAnsi="Times New Roman" w:cs="Times New Roma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00000000" w:csb1="00000000"/>
  </w:font>
  <w:font w:name="Arial">
    <w:panose1 w:val="020B0604020202020204"/>
    <w:charset w:val="01"/>
    <w:family w:val="swiss"/>
    <w:pitch w:val="default"/>
    <w:sig w:usb0="00000000" w:usb1="00000000" w:usb2="00000000" w:usb3="00000000" w:csb0="00000000" w:csb1="00000000"/>
  </w:font>
  <w:font w:name="黑体">
    <w:altName w:val="汉仪中黑KW"/>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00000000" w:usb1="00000000" w:usb2="00000000" w:usb3="00000000" w:csb0="00000000" w:csb1="0000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汉仪书宋二KW">
    <w:panose1 w:val="00020600040101010101"/>
    <w:charset w:val="86"/>
    <w:family w:val="auto"/>
    <w:pitch w:val="default"/>
    <w:sig w:usb0="00000000" w:usb1="00000000" w:usb2="00000000" w:usb3="00000000" w:csb0="00160000" w:csb1="00000000"/>
  </w:font>
  <w:font w:name="Times New Roman Bold">
    <w:panose1 w:val="02020603050405020304"/>
    <w:charset w:val="00"/>
    <w:family w:val="auto"/>
    <w:pitch w:val="default"/>
    <w:sig w:usb0="00000000" w:usb1="00000000" w:usb2="00000000" w:usb3="00000000" w:csb0="00000000" w:csb1="00000000"/>
  </w:font>
  <w:font w:name="TimesNewRomanPSMT">
    <w:panose1 w:val="02020603050405020304"/>
    <w:charset w:val="00"/>
    <w:family w:val="auto"/>
    <w:pitch w:val="default"/>
    <w:sig w:usb0="00000000" w:usb1="00000000" w:usb2="00000000" w:usb3="00000000" w:csb0="00000000" w:csb1="00000000"/>
  </w:font>
  <w:font w:name="Times New Roman Italic">
    <w:panose1 w:val="02020603050405020304"/>
    <w:charset w:val="00"/>
    <w:family w:val="auto"/>
    <w:pitch w:val="default"/>
    <w:sig w:usb0="00000000" w:usb1="00000000" w:usb2="00000000" w:usb3="00000000" w:csb0="00000000" w:csb1="00000000"/>
  </w:font>
  <w:font w:name="汉仪中黑KW">
    <w:panose1 w:val="00020600040101010101"/>
    <w:charset w:val="86"/>
    <w:family w:val="auto"/>
    <w:pitch w:val="default"/>
    <w:sig w:usb0="00000000" w:usb1="00000000" w:usb2="00000000" w:usb3="00000000" w:csb0="00160000" w:csb1="00000000"/>
  </w:font>
  <w:font w:name="Kingsoft Sign">
    <w:panose1 w:val="05050102010706020507"/>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5N2FiYWRhODJiYjA0MmQ3ODJkYzFmYmVjOGJlYmIifQ=="/>
  </w:docVars>
  <w:rsids>
    <w:rsidRoot w:val="00EF2E36"/>
    <w:rsid w:val="003B653B"/>
    <w:rsid w:val="007525B7"/>
    <w:rsid w:val="00C94BA3"/>
    <w:rsid w:val="00EF2E36"/>
    <w:rsid w:val="01D94E22"/>
    <w:rsid w:val="022D62FC"/>
    <w:rsid w:val="08985D0F"/>
    <w:rsid w:val="099E49B0"/>
    <w:rsid w:val="0A60366D"/>
    <w:rsid w:val="0D572E8D"/>
    <w:rsid w:val="0E0565FB"/>
    <w:rsid w:val="160F6C02"/>
    <w:rsid w:val="19436634"/>
    <w:rsid w:val="1D0E5183"/>
    <w:rsid w:val="20A54D26"/>
    <w:rsid w:val="24517ACA"/>
    <w:rsid w:val="248D10AB"/>
    <w:rsid w:val="26A1329D"/>
    <w:rsid w:val="278307A4"/>
    <w:rsid w:val="2D411C4E"/>
    <w:rsid w:val="2E282A50"/>
    <w:rsid w:val="2EF0181A"/>
    <w:rsid w:val="34C27960"/>
    <w:rsid w:val="39D30B18"/>
    <w:rsid w:val="3A54066F"/>
    <w:rsid w:val="3BD7B67A"/>
    <w:rsid w:val="3EA641D5"/>
    <w:rsid w:val="414D4E80"/>
    <w:rsid w:val="483139BB"/>
    <w:rsid w:val="49E77CDD"/>
    <w:rsid w:val="4B79342B"/>
    <w:rsid w:val="54050423"/>
    <w:rsid w:val="56034349"/>
    <w:rsid w:val="564A6312"/>
    <w:rsid w:val="58726012"/>
    <w:rsid w:val="5BF44F90"/>
    <w:rsid w:val="5D4B35B7"/>
    <w:rsid w:val="5F6444C4"/>
    <w:rsid w:val="5F9C46D4"/>
    <w:rsid w:val="60531C25"/>
    <w:rsid w:val="6A9B2F97"/>
    <w:rsid w:val="6B0B7175"/>
    <w:rsid w:val="6F150831"/>
    <w:rsid w:val="6FF520CB"/>
    <w:rsid w:val="70877872"/>
    <w:rsid w:val="7141612A"/>
    <w:rsid w:val="73C51294"/>
    <w:rsid w:val="753044D5"/>
    <w:rsid w:val="7C610047"/>
    <w:rsid w:val="7D6649ED"/>
    <w:rsid w:val="7EFC60BF"/>
    <w:rsid w:val="7F3C5271"/>
    <w:rsid w:val="7F6F9247"/>
    <w:rsid w:val="CFB8B268"/>
    <w:rsid w:val="EDBF9EE1"/>
    <w:rsid w:val="FF71BA28"/>
    <w:rsid w:val="FFFC3DA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endnote text"/>
    <w:basedOn w:val="1"/>
    <w:qFormat/>
    <w:uiPriority w:val="0"/>
    <w:pPr>
      <w:snapToGrid w:val="0"/>
      <w:jc w:val="left"/>
    </w:p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endnote reference"/>
    <w:basedOn w:val="8"/>
    <w:qFormat/>
    <w:uiPriority w:val="0"/>
    <w:rPr>
      <w:vertAlign w:val="superscript"/>
    </w:rPr>
  </w:style>
  <w:style w:type="character" w:styleId="10">
    <w:name w:val="Hyperlink"/>
    <w:basedOn w:val="8"/>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1154</Words>
  <Characters>6579</Characters>
  <Lines>54</Lines>
  <Paragraphs>15</Paragraphs>
  <TotalTime>5</TotalTime>
  <ScaleCrop>false</ScaleCrop>
  <LinksUpToDate>false</LinksUpToDate>
  <CharactersWithSpaces>7718</CharactersWithSpaces>
  <Application>WPS Office_5.5.1.7991_F1E327BC-269C-435d-A152-05C5408002CA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2022-12-09T11:32:00Z</dcterms:created>
  <dc:creator>liuyang</dc:creator>
  <cp:lastModifiedBy>yinjinling</cp:lastModifiedBy>
  <dcterms:modified xsi:type="dcterms:W3CDTF">2023-08-07T18:48:16Z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2052-5.5.1.7991</vt:lpwstr>
  </property>
  <property fmtid="{D5CDD505-2E9C-101B-9397-08002B2CF9AE}" pid="3" name="ICV">
    <vt:lpwstr>64FCE9CDA2D521A9EEBAD064AFDD44ED_43</vt:lpwstr>
  </property>
</Properties>
</file>