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257717" w14:textId="552B9739" w:rsidR="008845B2" w:rsidRPr="009F4319" w:rsidRDefault="00773637">
      <w:pPr>
        <w:rPr>
          <w:rFonts w:ascii="Times New Roman" w:hAnsi="Times New Roman" w:cs="Times New Roman"/>
          <w:b/>
          <w:bCs/>
          <w:sz w:val="21"/>
          <w:szCs w:val="21"/>
          <w:u w:val="single"/>
        </w:rPr>
      </w:pPr>
      <w:r w:rsidRPr="009F4319">
        <w:rPr>
          <w:rFonts w:ascii="Times New Roman" w:hAnsi="Times New Roman" w:cs="Times New Roman"/>
          <w:b/>
          <w:bCs/>
          <w:sz w:val="21"/>
          <w:szCs w:val="21"/>
          <w:u w:val="single"/>
        </w:rPr>
        <w:t>Tests of Normality</w:t>
      </w:r>
      <w:r w:rsidR="00870F41" w:rsidRPr="009F4319">
        <w:rPr>
          <w:rFonts w:ascii="Times New Roman" w:hAnsi="Times New Roman" w:cs="Times New Roman"/>
          <w:b/>
          <w:bCs/>
          <w:sz w:val="21"/>
          <w:szCs w:val="21"/>
          <w:u w:val="single"/>
        </w:rPr>
        <w:t xml:space="preserve"> for Demographic Data</w:t>
      </w:r>
    </w:p>
    <w:p w14:paraId="44A64E4D" w14:textId="77777777" w:rsidR="0071366B" w:rsidRPr="009F4319" w:rsidRDefault="0071366B" w:rsidP="0071366B">
      <w:pPr>
        <w:rPr>
          <w:rFonts w:ascii="Times New Roman" w:hAnsi="Times New Roman" w:cs="Times New Roman"/>
          <w:sz w:val="21"/>
          <w:szCs w:val="21"/>
        </w:rPr>
      </w:pPr>
      <w:r w:rsidRPr="009F4319">
        <w:rPr>
          <w:rFonts w:ascii="Times New Roman" w:hAnsi="Times New Roman" w:cs="Times New Roman"/>
          <w:sz w:val="21"/>
          <w:szCs w:val="21"/>
        </w:rPr>
        <w:t>Two tests of normality, Kolmogorov-Smirnov and Shapiro-Wilk, were conducted for the demographic data for both cases and controls. The null hypothesis of both tests states that the data is taken from normally distributed data, therefore a p-value &gt;0.05 (displayed as ‘Sig.’ in this table from SPSS calculations) confirms this null hypothesis of normal distribution.</w:t>
      </w:r>
    </w:p>
    <w:p w14:paraId="45185CC1" w14:textId="7C0862E9" w:rsidR="0071366B" w:rsidRPr="009F4319" w:rsidRDefault="0071366B" w:rsidP="0071366B">
      <w:pPr>
        <w:rPr>
          <w:rFonts w:ascii="Times New Roman" w:hAnsi="Times New Roman" w:cs="Times New Roman"/>
          <w:sz w:val="21"/>
          <w:szCs w:val="21"/>
        </w:rPr>
      </w:pPr>
      <w:r w:rsidRPr="009F4319">
        <w:rPr>
          <w:rFonts w:ascii="Times New Roman" w:hAnsi="Times New Roman" w:cs="Times New Roman"/>
          <w:sz w:val="21"/>
          <w:szCs w:val="21"/>
        </w:rPr>
        <w:t>As demonstrated in the table below, ‘Birth Gestational Age’ and ‘Age at EEG’ showed data with a non-normal distribution (Sig, &lt;0.05)</w:t>
      </w:r>
      <w:r w:rsidR="009A4376" w:rsidRPr="009F4319">
        <w:rPr>
          <w:rFonts w:ascii="Times New Roman" w:hAnsi="Times New Roman" w:cs="Times New Roman"/>
          <w:sz w:val="21"/>
          <w:szCs w:val="21"/>
        </w:rPr>
        <w:t>. The ‘Age at EEG’ data was log-transformed to normality so a parametric significance test (</w:t>
      </w:r>
      <w:r w:rsidR="009A4376" w:rsidRPr="009F4319">
        <w:rPr>
          <w:rFonts w:ascii="Times New Roman" w:eastAsia="SimSun" w:hAnsi="Times New Roman" w:cs="Times New Roman"/>
          <w:sz w:val="21"/>
          <w:szCs w:val="21"/>
        </w:rPr>
        <w:t xml:space="preserve">Two-sample T-test) was then used to compare the two groups. Median and Range were still used as the most useful descriptive statistics given the </w:t>
      </w:r>
      <w:r w:rsidR="005357C0" w:rsidRPr="009F4319">
        <w:rPr>
          <w:rFonts w:ascii="Times New Roman" w:eastAsia="SimSun" w:hAnsi="Times New Roman" w:cs="Times New Roman"/>
          <w:sz w:val="21"/>
          <w:szCs w:val="21"/>
        </w:rPr>
        <w:t>skew of the data.</w:t>
      </w:r>
      <w:r w:rsidR="009A4376" w:rsidRPr="009F4319">
        <w:rPr>
          <w:rFonts w:ascii="Times New Roman" w:eastAsia="SimSun" w:hAnsi="Times New Roman" w:cs="Times New Roman"/>
          <w:sz w:val="21"/>
          <w:szCs w:val="21"/>
        </w:rPr>
        <w:t xml:space="preserve"> The ‘Birth Gestational Age’ data was not able to be transformed to normality and</w:t>
      </w:r>
      <w:r w:rsidRPr="009F4319">
        <w:rPr>
          <w:rFonts w:ascii="Times New Roman" w:hAnsi="Times New Roman" w:cs="Times New Roman"/>
          <w:sz w:val="21"/>
          <w:szCs w:val="21"/>
        </w:rPr>
        <w:t xml:space="preserve"> so </w:t>
      </w:r>
      <w:r w:rsidRPr="009F4319">
        <w:rPr>
          <w:rFonts w:ascii="Times New Roman" w:eastAsia="SimSun" w:hAnsi="Times New Roman" w:cs="Times New Roman"/>
          <w:sz w:val="21"/>
          <w:szCs w:val="21"/>
        </w:rPr>
        <w:t>Median, Range and Mann-Whitney U tests</w:t>
      </w:r>
      <w:r w:rsidRPr="009F4319">
        <w:rPr>
          <w:rFonts w:ascii="Times New Roman" w:hAnsi="Times New Roman" w:cs="Times New Roman"/>
          <w:sz w:val="21"/>
          <w:szCs w:val="21"/>
        </w:rPr>
        <w:t xml:space="preserve"> were used for statistical analysis.</w:t>
      </w:r>
    </w:p>
    <w:p w14:paraId="1ACFE746" w14:textId="25CC734C" w:rsidR="0071366B" w:rsidRPr="009F4319" w:rsidRDefault="0071366B" w:rsidP="0071366B">
      <w:pPr>
        <w:rPr>
          <w:rFonts w:ascii="Times New Roman" w:eastAsia="SimSun" w:hAnsi="Times New Roman" w:cs="Times New Roman"/>
          <w:sz w:val="21"/>
          <w:szCs w:val="21"/>
        </w:rPr>
      </w:pPr>
      <w:r w:rsidRPr="009F4319">
        <w:rPr>
          <w:rFonts w:ascii="Times New Roman" w:hAnsi="Times New Roman" w:cs="Times New Roman"/>
          <w:sz w:val="21"/>
          <w:szCs w:val="21"/>
        </w:rPr>
        <w:t>Both ‘Corrected Gestational Age’ and ‘Birth Weight’ show some borderline significance</w:t>
      </w:r>
      <w:r w:rsidR="009A4376" w:rsidRPr="009F4319">
        <w:rPr>
          <w:rFonts w:ascii="Times New Roman" w:hAnsi="Times New Roman" w:cs="Times New Roman"/>
          <w:sz w:val="21"/>
          <w:szCs w:val="21"/>
        </w:rPr>
        <w:t xml:space="preserve"> (Sig. close to 0.05)</w:t>
      </w:r>
      <w:r w:rsidRPr="009F4319">
        <w:rPr>
          <w:rFonts w:ascii="Times New Roman" w:hAnsi="Times New Roman" w:cs="Times New Roman"/>
          <w:sz w:val="21"/>
          <w:szCs w:val="21"/>
        </w:rPr>
        <w:t xml:space="preserve">, particularly in the case group, with different results seen between the two normality tests. Overall, </w:t>
      </w:r>
      <w:r w:rsidR="009A4376" w:rsidRPr="009F4319">
        <w:rPr>
          <w:rFonts w:ascii="Times New Roman" w:hAnsi="Times New Roman" w:cs="Times New Roman"/>
          <w:sz w:val="21"/>
          <w:szCs w:val="21"/>
        </w:rPr>
        <w:t xml:space="preserve">we assessed the tests to suggest normally distributed data and so </w:t>
      </w:r>
      <w:r w:rsidR="009A4376" w:rsidRPr="009F4319">
        <w:rPr>
          <w:rFonts w:ascii="Times New Roman" w:eastAsia="SimSun" w:hAnsi="Times New Roman" w:cs="Times New Roman"/>
          <w:sz w:val="21"/>
          <w:szCs w:val="21"/>
        </w:rPr>
        <w:t>Mean, standard deviation and a Two-sample T-test were used for statistical analysis.</w:t>
      </w:r>
    </w:p>
    <w:p w14:paraId="724E7C29" w14:textId="66A97287" w:rsidR="009A4376" w:rsidRPr="009F4319" w:rsidRDefault="009A4376" w:rsidP="0071366B">
      <w:pPr>
        <w:rPr>
          <w:rFonts w:ascii="Times New Roman" w:hAnsi="Times New Roman" w:cs="Times New Roman"/>
          <w:sz w:val="21"/>
          <w:szCs w:val="21"/>
        </w:rPr>
      </w:pPr>
      <w:r w:rsidRPr="009F4319">
        <w:rPr>
          <w:rFonts w:ascii="Times New Roman" w:eastAsia="SimSun" w:hAnsi="Times New Roman" w:cs="Times New Roman"/>
          <w:sz w:val="21"/>
          <w:szCs w:val="21"/>
        </w:rPr>
        <w:t>Visual inspection of histograms and Q-Q plots was also used to confirm the data distribution.</w:t>
      </w:r>
    </w:p>
    <w:p w14:paraId="0B8F5D97" w14:textId="77777777" w:rsidR="00773637" w:rsidRPr="009F4319" w:rsidRDefault="00773637">
      <w:pPr>
        <w:rPr>
          <w:rFonts w:ascii="Times New Roman" w:hAnsi="Times New Roman" w:cs="Times New Roman"/>
          <w:sz w:val="21"/>
          <w:szCs w:val="21"/>
        </w:rPr>
      </w:pPr>
    </w:p>
    <w:p w14:paraId="561609F9" w14:textId="04362391" w:rsidR="008F22DB" w:rsidRPr="009F4319" w:rsidRDefault="008F22DB">
      <w:pPr>
        <w:rPr>
          <w:rFonts w:ascii="Times New Roman" w:hAnsi="Times New Roman" w:cs="Times New Roman"/>
          <w:sz w:val="21"/>
          <w:szCs w:val="21"/>
        </w:rPr>
      </w:pPr>
      <w:r w:rsidRPr="009F4319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2BFF18F1" wp14:editId="120F3EB9">
            <wp:extent cx="5731510" cy="2640965"/>
            <wp:effectExtent l="0" t="0" r="2540" b="6985"/>
            <wp:docPr id="5" name="Content Placeholder 4" descr="A screenshot of a test result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D692A94-6F97-D98B-0AC5-12E7F7D7B0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 descr="A screenshot of a test results&#10;&#10;Description automatically generated">
                      <a:extLst>
                        <a:ext uri="{FF2B5EF4-FFF2-40B4-BE49-F238E27FC236}">
                          <a16:creationId xmlns:a16="http://schemas.microsoft.com/office/drawing/2014/main" id="{ED692A94-6F97-D98B-0AC5-12E7F7D7B0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F2F5A" w14:textId="7CC15AB2" w:rsidR="00773637" w:rsidRPr="009F4319" w:rsidRDefault="009F4319">
      <w:pPr>
        <w:rPr>
          <w:rFonts w:ascii="Times New Roman" w:hAnsi="Times New Roman" w:cs="Times New Roman"/>
          <w:sz w:val="21"/>
          <w:szCs w:val="21"/>
        </w:rPr>
      </w:pPr>
      <w:r w:rsidRPr="009F4319">
        <w:rPr>
          <w:rFonts w:ascii="Times New Roman" w:eastAsia="SimSun" w:hAnsi="Times New Roman" w:cs="Times New Roman"/>
          <w:noProof/>
          <w:sz w:val="21"/>
          <w:szCs w:val="21"/>
        </w:rPr>
        <mc:AlternateContent>
          <mc:Choice Requires="wps">
            <w:drawing>
              <wp:inline distT="0" distB="0" distL="0" distR="0" wp14:anchorId="20C15FC5" wp14:editId="3583BAD8">
                <wp:extent cx="3095625" cy="276225"/>
                <wp:effectExtent l="0" t="0" r="28575" b="28575"/>
                <wp:docPr id="1578288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C1F81" w14:textId="77777777" w:rsidR="009F4319" w:rsidRPr="00D20946" w:rsidRDefault="009F4319" w:rsidP="009F431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Supplementary Material Table 1 – Tests of Normality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0C15F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243.75pt;height:2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">
                <v:textbox>
                  <w:txbxContent>
                    <w:p w14:paraId="092C1F81" w14:textId="77777777" w:rsidR="009F4319" w:rsidRPr="00D20946" w:rsidRDefault="009F4319" w:rsidP="009F4319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Supplementary Material Table 1 – Tests of Normality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CC4E14" w14:textId="5D49714C" w:rsidR="00870F41" w:rsidRPr="009F4319" w:rsidRDefault="00870F41">
      <w:pPr>
        <w:rPr>
          <w:rFonts w:ascii="Times New Roman" w:hAnsi="Times New Roman" w:cs="Times New Roman"/>
          <w:sz w:val="21"/>
          <w:szCs w:val="21"/>
        </w:rPr>
      </w:pPr>
    </w:p>
    <w:p w14:paraId="4C982DD5" w14:textId="0477D027" w:rsidR="00870F41" w:rsidRPr="009F4319" w:rsidRDefault="00870F41">
      <w:pPr>
        <w:rPr>
          <w:rFonts w:ascii="Times New Roman" w:hAnsi="Times New Roman" w:cs="Times New Roman"/>
          <w:sz w:val="21"/>
          <w:szCs w:val="21"/>
        </w:rPr>
      </w:pPr>
    </w:p>
    <w:p w14:paraId="6CD2D5F7" w14:textId="063513E4" w:rsidR="005357C0" w:rsidRPr="009F4319" w:rsidRDefault="00870F41">
      <w:pPr>
        <w:rPr>
          <w:rFonts w:ascii="Times New Roman" w:hAnsi="Times New Roman" w:cs="Times New Roman"/>
          <w:b/>
          <w:bCs/>
          <w:sz w:val="21"/>
          <w:szCs w:val="21"/>
          <w:u w:val="single"/>
        </w:rPr>
      </w:pPr>
      <w:r w:rsidRPr="009F4319">
        <w:rPr>
          <w:rFonts w:ascii="Times New Roman" w:hAnsi="Times New Roman" w:cs="Times New Roman"/>
          <w:sz w:val="21"/>
          <w:szCs w:val="21"/>
        </w:rPr>
        <w:br w:type="page"/>
      </w:r>
      <w:r w:rsidR="005357C0" w:rsidRPr="009F4319">
        <w:rPr>
          <w:rFonts w:ascii="Times New Roman" w:hAnsi="Times New Roman" w:cs="Times New Roman"/>
          <w:b/>
          <w:bCs/>
          <w:sz w:val="21"/>
          <w:szCs w:val="21"/>
          <w:u w:val="single"/>
        </w:rPr>
        <w:lastRenderedPageBreak/>
        <w:t xml:space="preserve">Persyst </w:t>
      </w:r>
      <w:r w:rsidR="008873CC" w:rsidRPr="009F4319">
        <w:rPr>
          <w:rFonts w:ascii="Times New Roman" w:hAnsi="Times New Roman" w:cs="Times New Roman"/>
          <w:b/>
          <w:bCs/>
          <w:sz w:val="21"/>
          <w:szCs w:val="21"/>
          <w:u w:val="single"/>
        </w:rPr>
        <w:t xml:space="preserve">Seizure Detector </w:t>
      </w:r>
      <w:r w:rsidR="005357C0" w:rsidRPr="009F4319">
        <w:rPr>
          <w:rFonts w:ascii="Times New Roman" w:hAnsi="Times New Roman" w:cs="Times New Roman"/>
          <w:b/>
          <w:bCs/>
          <w:sz w:val="21"/>
          <w:szCs w:val="21"/>
          <w:u w:val="single"/>
        </w:rPr>
        <w:t>Settings</w:t>
      </w:r>
    </w:p>
    <w:p w14:paraId="1D9F252D" w14:textId="179FD69F" w:rsidR="00EF02A7" w:rsidRPr="004925D3" w:rsidRDefault="008873CC" w:rsidP="00EF02A7">
      <w:pPr>
        <w:adjustRightInd w:val="0"/>
        <w:snapToGrid w:val="0"/>
        <w:spacing w:line="288" w:lineRule="auto"/>
        <w:ind w:firstLine="420"/>
        <w:rPr>
          <w:rFonts w:eastAsia="SimSun"/>
          <w:szCs w:val="20"/>
        </w:rPr>
      </w:pPr>
      <w:r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 xml:space="preserve">The Persyst neonatal SDA settings can be adapted for each centre, with adjustments according to the standard montages in use. </w:t>
      </w:r>
      <w:r w:rsidR="009F4319"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>We used f</w:t>
      </w:r>
      <w:r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 xml:space="preserve">our different settings </w:t>
      </w:r>
      <w:r w:rsidR="009F4319"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 xml:space="preserve">in this study. </w:t>
      </w:r>
      <w:r w:rsidR="005357C0"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>Channel mapping of similarly placed electrodes was required to adapt GOSH cEEG recordings to match montages recognised by the seizure detector and give it as much information as possible (</w:t>
      </w:r>
      <w:r w:rsidR="005357C0" w:rsidRPr="009F4319">
        <w:rPr>
          <w:rFonts w:ascii="Times New Roman" w:hAnsi="Times New Roman" w:cs="Times New Roman"/>
          <w:b/>
          <w:bCs/>
          <w:kern w:val="0"/>
          <w:sz w:val="21"/>
          <w:szCs w:val="21"/>
          <w:lang w:eastAsia="en-GB"/>
        </w:rPr>
        <w:t xml:space="preserve">see </w:t>
      </w:r>
      <w:r w:rsidR="009F4319">
        <w:rPr>
          <w:rFonts w:ascii="Times New Roman" w:hAnsi="Times New Roman" w:cs="Times New Roman"/>
          <w:b/>
          <w:bCs/>
          <w:kern w:val="0"/>
          <w:sz w:val="21"/>
          <w:szCs w:val="21"/>
          <w:lang w:eastAsia="en-GB"/>
        </w:rPr>
        <w:t>Fig. 1</w:t>
      </w:r>
      <w:r w:rsidR="009F4319" w:rsidRPr="009F4319">
        <w:rPr>
          <w:rFonts w:ascii="Times New Roman" w:hAnsi="Times New Roman" w:cs="Times New Roman"/>
          <w:b/>
          <w:bCs/>
          <w:kern w:val="0"/>
          <w:sz w:val="21"/>
          <w:szCs w:val="21"/>
          <w:lang w:eastAsia="en-GB"/>
        </w:rPr>
        <w:t xml:space="preserve"> below</w:t>
      </w:r>
      <w:r w:rsidR="005357C0"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 xml:space="preserve">). </w:t>
      </w:r>
      <w:r w:rsidR="009F4319"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>The neonatal SDA was run on f</w:t>
      </w:r>
      <w:r w:rsidR="009F4319" w:rsidRPr="009F4319">
        <w:rPr>
          <w:rFonts w:ascii="Times New Roman" w:eastAsia="SimSun" w:hAnsi="Times New Roman" w:cs="Times New Roman"/>
          <w:sz w:val="21"/>
          <w:szCs w:val="21"/>
        </w:rPr>
        <w:t xml:space="preserve">ive randomly selected case and control cEEG recordings </w:t>
      </w:r>
      <w:r w:rsidR="009F4319">
        <w:rPr>
          <w:rFonts w:ascii="Times New Roman" w:eastAsia="SimSun" w:hAnsi="Times New Roman" w:cs="Times New Roman"/>
          <w:sz w:val="21"/>
          <w:szCs w:val="21"/>
        </w:rPr>
        <w:t xml:space="preserve">initially </w:t>
      </w:r>
      <w:r w:rsidR="009F4319" w:rsidRPr="009F4319">
        <w:rPr>
          <w:rFonts w:ascii="Times New Roman" w:eastAsia="SimSun" w:hAnsi="Times New Roman" w:cs="Times New Roman"/>
          <w:sz w:val="21"/>
          <w:szCs w:val="21"/>
        </w:rPr>
        <w:t>to test the channel mapping and study settings</w:t>
      </w:r>
      <w:r w:rsidR="009F4319">
        <w:rPr>
          <w:rFonts w:ascii="Times New Roman" w:eastAsia="SimSun" w:hAnsi="Times New Roman" w:cs="Times New Roman"/>
          <w:sz w:val="21"/>
          <w:szCs w:val="21"/>
        </w:rPr>
        <w:t>, before processing e</w:t>
      </w:r>
      <w:r w:rsidR="009F4319"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 xml:space="preserve">ach case and control cEEG </w:t>
      </w:r>
      <w:r w:rsidR="009F4319" w:rsidRPr="00EF02A7">
        <w:rPr>
          <w:rFonts w:ascii="Times New Roman" w:hAnsi="Times New Roman" w:cs="Times New Roman"/>
          <w:kern w:val="0"/>
          <w:sz w:val="21"/>
          <w:szCs w:val="21"/>
          <w:lang w:eastAsia="en-GB"/>
        </w:rPr>
        <w:t>clip.</w:t>
      </w:r>
      <w:r w:rsidR="00EF02A7" w:rsidRPr="00EF02A7">
        <w:rPr>
          <w:rFonts w:ascii="Times New Roman" w:eastAsia="SimSun" w:hAnsi="Times New Roman" w:cs="Times New Roman"/>
          <w:sz w:val="21"/>
          <w:szCs w:val="21"/>
        </w:rPr>
        <w:t xml:space="preserve"> The majority of cEEG clips in both groups used setting 1 (</w:t>
      </w:r>
      <w:r w:rsidR="00EF02A7" w:rsidRPr="00EF02A7">
        <w:rPr>
          <w:rFonts w:ascii="Times New Roman" w:eastAsia="SimSun" w:hAnsi="Times New Roman" w:cs="Times New Roman"/>
          <w:b/>
          <w:bCs/>
          <w:sz w:val="21"/>
          <w:szCs w:val="21"/>
        </w:rPr>
        <w:t>see Fig. 1</w:t>
      </w:r>
      <w:r w:rsidR="00EF02A7" w:rsidRPr="00EF02A7">
        <w:rPr>
          <w:rFonts w:ascii="Times New Roman" w:eastAsia="SimSun" w:hAnsi="Times New Roman" w:cs="Times New Roman"/>
          <w:sz w:val="21"/>
          <w:szCs w:val="21"/>
        </w:rPr>
        <w:t>); 75% of cases and 71% of controls (</w:t>
      </w:r>
      <w:r w:rsidR="00EF02A7" w:rsidRPr="00EF02A7">
        <w:rPr>
          <w:rFonts w:ascii="Times New Roman" w:eastAsia="SimSun" w:hAnsi="Times New Roman" w:cs="Times New Roman"/>
          <w:i/>
          <w:iCs/>
          <w:sz w:val="21"/>
          <w:szCs w:val="21"/>
        </w:rPr>
        <w:t>p</w:t>
      </w:r>
      <w:r w:rsidR="00EF02A7" w:rsidRPr="00EF02A7">
        <w:rPr>
          <w:rFonts w:ascii="Times New Roman" w:eastAsia="SimSun" w:hAnsi="Times New Roman" w:cs="Times New Roman"/>
          <w:sz w:val="21"/>
          <w:szCs w:val="21"/>
        </w:rPr>
        <w:t xml:space="preserve"> = 0.647).</w:t>
      </w:r>
    </w:p>
    <w:p w14:paraId="6238FCE8" w14:textId="78FAE1F7" w:rsidR="005357C0" w:rsidRPr="009F4319" w:rsidRDefault="005357C0" w:rsidP="005357C0">
      <w:pPr>
        <w:pStyle w:val="NormalWeb"/>
        <w:rPr>
          <w:sz w:val="21"/>
          <w:szCs w:val="21"/>
        </w:rPr>
      </w:pPr>
      <w:r w:rsidRPr="009F4319">
        <w:rPr>
          <w:noProof/>
          <w:sz w:val="21"/>
          <w:szCs w:val="21"/>
        </w:rPr>
        <w:drawing>
          <wp:inline distT="0" distB="0" distL="0" distR="0" wp14:anchorId="3ABC3B3A" wp14:editId="6A2FBF24">
            <wp:extent cx="5731510" cy="2573655"/>
            <wp:effectExtent l="0" t="0" r="2540" b="0"/>
            <wp:docPr id="846337470" name="Picture 1" descr="A collage of images of a sphe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337470" name="Picture 1" descr="A collage of images of a sphe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7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9350D" w14:textId="22D49A6E" w:rsidR="009F4319" w:rsidRPr="009F4319" w:rsidRDefault="009F4319">
      <w:pPr>
        <w:rPr>
          <w:rFonts w:ascii="Times New Roman" w:hAnsi="Times New Roman" w:cs="Times New Roman"/>
          <w:sz w:val="21"/>
          <w:szCs w:val="21"/>
        </w:rPr>
      </w:pPr>
      <w:r w:rsidRPr="009F4319">
        <w:rPr>
          <w:rFonts w:ascii="Times New Roman" w:eastAsia="SimSun" w:hAnsi="Times New Roman" w:cs="Times New Roman"/>
          <w:noProof/>
          <w:sz w:val="21"/>
          <w:szCs w:val="21"/>
        </w:rPr>
        <mc:AlternateContent>
          <mc:Choice Requires="wps">
            <w:drawing>
              <wp:inline distT="0" distB="0" distL="0" distR="0" wp14:anchorId="2BC477D9" wp14:editId="59D69978">
                <wp:extent cx="5731510" cy="1003300"/>
                <wp:effectExtent l="0" t="0" r="21590" b="25400"/>
                <wp:docPr id="15257996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1510" cy="100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FA9BEF" w14:textId="19248565" w:rsidR="009F4319" w:rsidRPr="009F4319" w:rsidRDefault="009F4319" w:rsidP="009F43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Supplementary Material Fig. 1 - </w:t>
                            </w:r>
                            <w:r w:rsidRPr="009F43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Channel mapping.</w:t>
                            </w:r>
                          </w:p>
                          <w:p w14:paraId="2A3D0C9F" w14:textId="77777777" w:rsidR="009F4319" w:rsidRPr="009F4319" w:rsidRDefault="009F4319" w:rsidP="009F431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9F431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Each panel A-D shows how the four montages in clinical use at GOSH montages were adapted to be read by the Persyst neonatal seizure detector. Left of each panel: GOSH montage from recordings. Right of each panel: channel mapping input to produce montages read by Persyst SDA (Settings 1 to 4). Purple electrodes: used in montage. White electrodes: not in use. Red X (Panel B): Fz channel switched off in Setting 2.</w:t>
                            </w:r>
                          </w:p>
                          <w:p w14:paraId="0319FFB7" w14:textId="77777777" w:rsidR="009F4319" w:rsidRPr="00D20946" w:rsidRDefault="009F4319" w:rsidP="009F4319">
                            <w:pPr>
                              <w:ind w:firstLine="422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BC477D9" id="_x0000_s1027" type="#_x0000_t202" style="width:451.3pt;height:7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">
                <v:textbox>
                  <w:txbxContent>
                    <w:p w14:paraId="75FA9BEF" w14:textId="19248565" w:rsidR="009F4319" w:rsidRPr="009F4319" w:rsidRDefault="009F4319" w:rsidP="009F43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Supplementary Material Fig. 1 - </w:t>
                      </w:r>
                      <w:r w:rsidRPr="009F4319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Channel mapping.</w:t>
                      </w:r>
                    </w:p>
                    <w:p w14:paraId="2A3D0C9F" w14:textId="77777777" w:rsidR="009F4319" w:rsidRPr="009F4319" w:rsidRDefault="009F4319" w:rsidP="009F4319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9F431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Each panel A-D shows how the four montages in clinical use at GOSH montages were adapted to be read by the Persyst neonatal seizure detector. Left of each panel: GOSH montage from recordings. Right of each panel: channel mapping input to produce montages read by Persyst SDA (Settings 1 to 4). Purple electrodes: used in montage. White electrodes: not in use. Red X (Panel B): Fz channel switched off in Setting 2.</w:t>
                      </w:r>
                    </w:p>
                    <w:p w14:paraId="0319FFB7" w14:textId="77777777" w:rsidR="009F4319" w:rsidRPr="00D20946" w:rsidRDefault="009F4319" w:rsidP="009F4319">
                      <w:pPr>
                        <w:ind w:firstLine="422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02B92D4" w14:textId="77777777" w:rsidR="009F4319" w:rsidRDefault="009F4319" w:rsidP="009F4319">
      <w:pPr>
        <w:rPr>
          <w:rFonts w:ascii="Times New Roman" w:hAnsi="Times New Roman" w:cs="Times New Roman"/>
          <w:kern w:val="0"/>
          <w:sz w:val="21"/>
          <w:szCs w:val="21"/>
          <w:lang w:eastAsia="en-GB"/>
        </w:rPr>
      </w:pPr>
    </w:p>
    <w:p w14:paraId="48A2319E" w14:textId="77777777" w:rsidR="00870F41" w:rsidRPr="009F4319" w:rsidRDefault="00870F41">
      <w:pPr>
        <w:rPr>
          <w:rFonts w:ascii="Times New Roman" w:hAnsi="Times New Roman" w:cs="Times New Roman"/>
          <w:sz w:val="21"/>
          <w:szCs w:val="21"/>
        </w:rPr>
      </w:pPr>
    </w:p>
    <w:p w14:paraId="35BCC276" w14:textId="77777777" w:rsidR="009F4319" w:rsidRDefault="009F4319">
      <w:pPr>
        <w:rPr>
          <w:rFonts w:ascii="Times New Roman" w:hAnsi="Times New Roman" w:cs="Times New Roman"/>
          <w:b/>
          <w:bCs/>
          <w:sz w:val="21"/>
          <w:szCs w:val="21"/>
          <w:u w:val="single"/>
        </w:rPr>
      </w:pPr>
      <w:r>
        <w:rPr>
          <w:rFonts w:ascii="Times New Roman" w:hAnsi="Times New Roman" w:cs="Times New Roman"/>
          <w:b/>
          <w:bCs/>
          <w:sz w:val="21"/>
          <w:szCs w:val="21"/>
          <w:u w:val="single"/>
        </w:rPr>
        <w:br w:type="page"/>
      </w:r>
    </w:p>
    <w:p w14:paraId="653F6B85" w14:textId="2125587C" w:rsidR="00870F41" w:rsidRDefault="00870F41">
      <w:pPr>
        <w:rPr>
          <w:rFonts w:ascii="Times New Roman" w:hAnsi="Times New Roman" w:cs="Times New Roman"/>
          <w:b/>
          <w:bCs/>
          <w:sz w:val="21"/>
          <w:szCs w:val="21"/>
          <w:u w:val="single"/>
        </w:rPr>
      </w:pPr>
      <w:r w:rsidRPr="009F4319">
        <w:rPr>
          <w:rFonts w:ascii="Times New Roman" w:hAnsi="Times New Roman" w:cs="Times New Roman"/>
          <w:b/>
          <w:bCs/>
          <w:sz w:val="21"/>
          <w:szCs w:val="21"/>
          <w:u w:val="single"/>
        </w:rPr>
        <w:lastRenderedPageBreak/>
        <w:t xml:space="preserve">Persyst </w:t>
      </w:r>
      <w:r w:rsidR="008873CC" w:rsidRPr="009F4319">
        <w:rPr>
          <w:rFonts w:ascii="Times New Roman" w:hAnsi="Times New Roman" w:cs="Times New Roman"/>
          <w:b/>
          <w:bCs/>
          <w:sz w:val="21"/>
          <w:szCs w:val="21"/>
          <w:u w:val="single"/>
        </w:rPr>
        <w:t>Seizure Detector Output</w:t>
      </w:r>
    </w:p>
    <w:p w14:paraId="40E4D235" w14:textId="6FD8BF8B" w:rsidR="009F4319" w:rsidRPr="009F4319" w:rsidRDefault="009F4319">
      <w:pPr>
        <w:rPr>
          <w:rFonts w:ascii="Times New Roman" w:hAnsi="Times New Roman" w:cs="Times New Roman"/>
          <w:b/>
          <w:bCs/>
          <w:sz w:val="21"/>
          <w:szCs w:val="21"/>
          <w:u w:val="single"/>
        </w:rPr>
      </w:pPr>
      <w:r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>To select the output trends,</w:t>
      </w:r>
      <w:r>
        <w:rPr>
          <w:rFonts w:ascii="Times New Roman" w:hAnsi="Times New Roman" w:cs="Times New Roman"/>
          <w:kern w:val="0"/>
          <w:sz w:val="21"/>
          <w:szCs w:val="21"/>
          <w:lang w:eastAsia="en-GB"/>
        </w:rPr>
        <w:t xml:space="preserve"> </w:t>
      </w:r>
      <w:r w:rsidRPr="009F4319">
        <w:rPr>
          <w:rFonts w:ascii="Times New Roman" w:hAnsi="Times New Roman" w:cs="Times New Roman"/>
          <w:kern w:val="0"/>
          <w:sz w:val="21"/>
          <w:szCs w:val="21"/>
          <w:lang w:eastAsia="en-GB"/>
        </w:rPr>
        <w:t xml:space="preserve">the ‘SeizureProbability (Neonatal)’ calculation engine was added and the ‘SeizureProbabilityP14’ and ‘SeizureEventsP14’ trends were selected and displayed in the Persyst trends panel. The ‘SeizureProbabilityP14’ trend produced a graph of seizure probability against time, represented as blue bars in the Persyst trends panel. A data file of the seizure probability at each second of the recording was also downloaded. The ‘SeizureEventsP14’ trend alerts the reviewer to segments where the seizure probability had risen above a user selected threshold, represented as red bars in the Persyst trends panel. Two display options are shown </w:t>
      </w:r>
      <w:r>
        <w:rPr>
          <w:rFonts w:ascii="Times New Roman" w:hAnsi="Times New Roman" w:cs="Times New Roman"/>
          <w:kern w:val="0"/>
          <w:sz w:val="21"/>
          <w:szCs w:val="21"/>
          <w:lang w:eastAsia="en-GB"/>
        </w:rPr>
        <w:t>below:</w:t>
      </w:r>
    </w:p>
    <w:p w14:paraId="46FBC2C4" w14:textId="72AE3AE3" w:rsidR="005B4FA1" w:rsidRPr="009F4319" w:rsidRDefault="007B3ADB">
      <w:pPr>
        <w:rPr>
          <w:rFonts w:ascii="Times New Roman" w:hAnsi="Times New Roman" w:cs="Times New Roman"/>
          <w:sz w:val="21"/>
          <w:szCs w:val="21"/>
        </w:rPr>
      </w:pPr>
      <w:r w:rsidRPr="007B3ADB">
        <w:rPr>
          <w:rFonts w:ascii="Times New Roman" w:hAnsi="Times New Roman" w:cs="Times New Roman"/>
          <w:noProof/>
          <w:sz w:val="21"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AED071" wp14:editId="0FA46A6B">
                <wp:simplePos x="0" y="0"/>
                <wp:positionH relativeFrom="column">
                  <wp:posOffset>4210050</wp:posOffset>
                </wp:positionH>
                <wp:positionV relativeFrom="paragraph">
                  <wp:posOffset>25400</wp:posOffset>
                </wp:positionV>
                <wp:extent cx="352425" cy="390525"/>
                <wp:effectExtent l="0" t="0" r="28575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1CFF5" w14:textId="16A381F4" w:rsidR="007B3ADB" w:rsidRPr="007B3ADB" w:rsidRDefault="007B3AD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7B3AD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ED071" id="_x0000_s1028" type="#_x0000_t202" style="position:absolute;margin-left:331.5pt;margin-top:2pt;width:27.75pt;height:30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">
                <v:textbox>
                  <w:txbxContent>
                    <w:p w14:paraId="57B1CFF5" w14:textId="16A381F4" w:rsidR="007B3ADB" w:rsidRPr="007B3ADB" w:rsidRDefault="007B3AD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</w:pPr>
                      <w:r w:rsidRPr="007B3ADB"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870F41" w:rsidRPr="009F4319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6A2FF1A5" wp14:editId="1EBD3110">
            <wp:extent cx="4603766" cy="4505325"/>
            <wp:effectExtent l="0" t="0" r="6350" b="0"/>
            <wp:docPr id="797024584" name="Picture 4" descr="A screenshot of a compute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6B0FDB3-FAF4-F315-9B2F-9445D9E908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024584" name="Picture 4" descr="A screenshot of a computer&#10;&#10;Description automatically generated">
                      <a:extLst>
                        <a:ext uri="{FF2B5EF4-FFF2-40B4-BE49-F238E27FC236}">
                          <a16:creationId xmlns:a16="http://schemas.microsoft.com/office/drawing/2014/main" id="{86B0FDB3-FAF4-F315-9B2F-9445D9E908A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4726" cy="4555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F0CB0" w14:textId="2116061C" w:rsidR="00870F41" w:rsidRDefault="007B3ADB">
      <w:pPr>
        <w:rPr>
          <w:rFonts w:ascii="Times New Roman" w:hAnsi="Times New Roman" w:cs="Times New Roman"/>
          <w:sz w:val="21"/>
          <w:szCs w:val="21"/>
        </w:rPr>
      </w:pPr>
      <w:r w:rsidRPr="007B3ADB">
        <w:rPr>
          <w:rFonts w:ascii="Times New Roman" w:hAnsi="Times New Roman" w:cs="Times New Roman"/>
          <w:noProof/>
          <w:sz w:val="21"/>
          <w:szCs w:val="2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C8E09DB" wp14:editId="26D03BCF">
                <wp:simplePos x="0" y="0"/>
                <wp:positionH relativeFrom="column">
                  <wp:posOffset>4743450</wp:posOffset>
                </wp:positionH>
                <wp:positionV relativeFrom="paragraph">
                  <wp:posOffset>6985</wp:posOffset>
                </wp:positionV>
                <wp:extent cx="352425" cy="390525"/>
                <wp:effectExtent l="0" t="0" r="28575" b="28575"/>
                <wp:wrapNone/>
                <wp:docPr id="808104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305E6" w14:textId="2CB9EE0B" w:rsidR="007B3ADB" w:rsidRPr="007B3ADB" w:rsidRDefault="007B3ADB" w:rsidP="007B3AD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E09DB" id="_x0000_s1029" type="#_x0000_t202" style="position:absolute;margin-left:373.5pt;margin-top:.55pt;width:27.7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">
                <v:textbox>
                  <w:txbxContent>
                    <w:p w14:paraId="7AF305E6" w14:textId="2CB9EE0B" w:rsidR="007B3ADB" w:rsidRPr="007B3ADB" w:rsidRDefault="007B3ADB" w:rsidP="007B3ADB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40"/>
                          <w:szCs w:val="4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5B4FA1" w:rsidRPr="009F4319"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5A2323DB" wp14:editId="7C701D13">
            <wp:extent cx="5238750" cy="1871231"/>
            <wp:effectExtent l="0" t="0" r="0" b="0"/>
            <wp:docPr id="6" name="Picture 5" descr="A screenshot of a vide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4960392-E089-2843-D000-2C295096E3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screenshot of a video&#10;&#10;Description automatically generated">
                      <a:extLst>
                        <a:ext uri="{FF2B5EF4-FFF2-40B4-BE49-F238E27FC236}">
                          <a16:creationId xmlns:a16="http://schemas.microsoft.com/office/drawing/2014/main" id="{74960392-E089-2843-D000-2C295096E3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8781" cy="1874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9BD01" w14:textId="670EA47E" w:rsidR="009F4319" w:rsidRPr="009F4319" w:rsidRDefault="009F4319">
      <w:pPr>
        <w:rPr>
          <w:rFonts w:ascii="Times New Roman" w:hAnsi="Times New Roman" w:cs="Times New Roman"/>
          <w:sz w:val="21"/>
          <w:szCs w:val="21"/>
        </w:rPr>
      </w:pPr>
      <w:r w:rsidRPr="009F4319">
        <w:rPr>
          <w:rFonts w:ascii="Times New Roman" w:eastAsia="SimSun" w:hAnsi="Times New Roman" w:cs="Times New Roman"/>
          <w:noProof/>
          <w:sz w:val="21"/>
          <w:szCs w:val="21"/>
        </w:rPr>
        <mc:AlternateContent>
          <mc:Choice Requires="wps">
            <w:drawing>
              <wp:inline distT="0" distB="0" distL="0" distR="0" wp14:anchorId="36DA84F3" wp14:editId="5D795B6F">
                <wp:extent cx="5715000" cy="600075"/>
                <wp:effectExtent l="0" t="0" r="19050" b="28575"/>
                <wp:docPr id="20189597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6672D" w14:textId="7DD25390" w:rsidR="009F4319" w:rsidRPr="007B3ADB" w:rsidRDefault="009F4319" w:rsidP="007B3AD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3AD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Supplementary Material Fig. 2 </w:t>
                            </w:r>
                            <w:r w:rsidR="007B3ADB" w:rsidRPr="007B3AD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–</w:t>
                            </w:r>
                            <w:r w:rsidRPr="007B3AD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B3ADB" w:rsidRPr="007B3AD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Persyst Seizure Detector Output</w:t>
                            </w:r>
                          </w:p>
                          <w:p w14:paraId="09E12C67" w14:textId="365EDCFC" w:rsidR="009F4319" w:rsidRPr="007B3ADB" w:rsidRDefault="007B3ADB" w:rsidP="007B3ADB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The </w:t>
                            </w:r>
                            <w:r w:rsidRPr="007B3AD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Persyst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neonatal</w:t>
                            </w:r>
                            <w:r w:rsidRPr="007B3AD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seizure detector output is displayed with two trends selected – ‘SeizureProbabilityP14’ (blue bars) and ‘SeizureEventsP14’ (red bars). Two different display options are shown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(A) and (B)</w:t>
                            </w:r>
                            <w:r w:rsidRPr="007B3ADB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6DA84F3" id="_x0000_s1030" type="#_x0000_t202" style="width:450pt;height:4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">
                <v:textbox>
                  <w:txbxContent>
                    <w:p w14:paraId="6AF6672D" w14:textId="7DD25390" w:rsidR="009F4319" w:rsidRPr="007B3ADB" w:rsidRDefault="009F4319" w:rsidP="007B3ADB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7B3AD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Supplementary Material Fig. 2 </w:t>
                      </w:r>
                      <w:r w:rsidR="007B3ADB" w:rsidRPr="007B3AD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–</w:t>
                      </w:r>
                      <w:r w:rsidRPr="007B3AD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7B3ADB" w:rsidRPr="007B3AD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Persyst Seizure Detector Output</w:t>
                      </w:r>
                    </w:p>
                    <w:p w14:paraId="09E12C67" w14:textId="365EDCFC" w:rsidR="009F4319" w:rsidRPr="007B3ADB" w:rsidRDefault="007B3ADB" w:rsidP="007B3ADB">
                      <w:pPr>
                        <w:spacing w:after="0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The </w:t>
                      </w:r>
                      <w:r w:rsidRPr="007B3AD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Persyst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neonatal</w:t>
                      </w:r>
                      <w:r w:rsidRPr="007B3AD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seizure detector output is displayed with two trends selected – ‘SeizureProbabilityP14’ (blue bars) and ‘SeizureEventsP14’ (red bars). Two different display options are shown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(A) and (B)</w:t>
                      </w:r>
                      <w:r w:rsidRPr="007B3ADB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9F4319" w:rsidRPr="009F43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637"/>
    <w:rsid w:val="000C5606"/>
    <w:rsid w:val="000D5353"/>
    <w:rsid w:val="0010324A"/>
    <w:rsid w:val="003124CE"/>
    <w:rsid w:val="003C6080"/>
    <w:rsid w:val="00403F34"/>
    <w:rsid w:val="005059F0"/>
    <w:rsid w:val="005357C0"/>
    <w:rsid w:val="005B4FA1"/>
    <w:rsid w:val="006458C1"/>
    <w:rsid w:val="0071366B"/>
    <w:rsid w:val="00773637"/>
    <w:rsid w:val="007B3ADB"/>
    <w:rsid w:val="008239B7"/>
    <w:rsid w:val="00870F41"/>
    <w:rsid w:val="008845B2"/>
    <w:rsid w:val="008873CC"/>
    <w:rsid w:val="00891159"/>
    <w:rsid w:val="008F22DB"/>
    <w:rsid w:val="00967369"/>
    <w:rsid w:val="009A4376"/>
    <w:rsid w:val="009F4319"/>
    <w:rsid w:val="00AA7D95"/>
    <w:rsid w:val="00B46FBE"/>
    <w:rsid w:val="00CD20C4"/>
    <w:rsid w:val="00EF02A7"/>
    <w:rsid w:val="00F8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9F347"/>
  <w15:chartTrackingRefBased/>
  <w15:docId w15:val="{A3B250C0-B5FF-4D6D-8042-3DD5F6DD7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36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6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6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6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6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6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6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6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6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6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6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6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6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6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6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6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6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6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6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6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6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6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6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6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6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6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6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6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637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B46FB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qFormat/>
    <w:rsid w:val="00B46F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B46F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B46F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6F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6FBE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535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3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Duckworth</dc:creator>
  <cp:keywords/>
  <dc:description/>
  <cp:lastModifiedBy>Ellie Duckworth</cp:lastModifiedBy>
  <cp:revision>4</cp:revision>
  <dcterms:created xsi:type="dcterms:W3CDTF">2024-06-07T00:05:00Z</dcterms:created>
  <dcterms:modified xsi:type="dcterms:W3CDTF">2024-06-07T01:10:00Z</dcterms:modified>
</cp:coreProperties>
</file>