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6"/>
        <w:rPr>
          <w:bCs/>
        </w:rPr>
      </w:pPr>
      <w:r>
        <w:rPr>
          <w:bCs/>
        </w:rPr>
        <w:t xml:space="preserve">Supplementary Table 1. </w:t>
      </w:r>
      <w:r>
        <w:t>Definitions and ICD-10 codes used for defining the comorbidities and clinical outcomes.</w:t>
      </w:r>
    </w:p>
    <w:tbl>
      <w:tblPr>
        <w:tblStyle w:val="19"/>
        <w:tblW w:w="4894"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2392"/>
        <w:gridCol w:w="2925"/>
        <w:gridCol w:w="37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322" w:type="pct"/>
            <w:tcMar>
              <w:top w:w="0" w:type="dxa"/>
              <w:left w:w="108" w:type="dxa"/>
              <w:bottom w:w="0" w:type="dxa"/>
              <w:right w:w="108" w:type="dxa"/>
            </w:tcMar>
            <w:vAlign w:val="center"/>
          </w:tcPr>
          <w:p>
            <w:pPr>
              <w:pStyle w:val="77"/>
            </w:pPr>
          </w:p>
        </w:tc>
        <w:tc>
          <w:tcPr>
            <w:tcW w:w="1617" w:type="pct"/>
            <w:tcMar>
              <w:top w:w="0" w:type="dxa"/>
              <w:left w:w="108" w:type="dxa"/>
              <w:bottom w:w="0" w:type="dxa"/>
              <w:right w:w="108" w:type="dxa"/>
            </w:tcMar>
            <w:vAlign w:val="center"/>
          </w:tcPr>
          <w:p>
            <w:pPr>
              <w:pStyle w:val="77"/>
              <w:rPr>
                <w:rFonts w:eastAsia="Calibri"/>
                <w:lang w:eastAsia="da-DK"/>
              </w:rPr>
            </w:pPr>
            <w:r>
              <w:rPr>
                <w:rFonts w:eastAsia="Malgun Gothic"/>
              </w:rPr>
              <w:t>Definitions</w:t>
            </w:r>
          </w:p>
        </w:tc>
        <w:tc>
          <w:tcPr>
            <w:tcW w:w="2061" w:type="pct"/>
            <w:tcMar>
              <w:top w:w="0" w:type="dxa"/>
              <w:left w:w="108" w:type="dxa"/>
              <w:bottom w:w="0" w:type="dxa"/>
              <w:right w:w="108" w:type="dxa"/>
            </w:tcMar>
            <w:vAlign w:val="center"/>
          </w:tcPr>
          <w:p>
            <w:pPr>
              <w:pStyle w:val="77"/>
              <w:rPr>
                <w:rFonts w:eastAsia="Calibri"/>
                <w:iCs/>
                <w:lang w:eastAsia="da-DK"/>
              </w:rPr>
            </w:pPr>
            <w:r>
              <w:rPr>
                <w:rFonts w:eastAsia="Malgun Gothic"/>
              </w:rPr>
              <w:t>ICD-10 codes or conditions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322" w:type="pct"/>
            <w:tcMar>
              <w:top w:w="0" w:type="dxa"/>
              <w:left w:w="108" w:type="dxa"/>
              <w:bottom w:w="0" w:type="dxa"/>
              <w:right w:w="108" w:type="dxa"/>
            </w:tcMar>
            <w:vAlign w:val="center"/>
          </w:tcPr>
          <w:p>
            <w:pPr>
              <w:pStyle w:val="77"/>
            </w:pPr>
            <w:r>
              <w:t>Comorbidities</w:t>
            </w:r>
          </w:p>
        </w:tc>
        <w:tc>
          <w:tcPr>
            <w:tcW w:w="1617" w:type="pct"/>
            <w:tcMar>
              <w:top w:w="0" w:type="dxa"/>
              <w:left w:w="108" w:type="dxa"/>
              <w:bottom w:w="0" w:type="dxa"/>
              <w:right w:w="108" w:type="dxa"/>
            </w:tcMar>
            <w:vAlign w:val="center"/>
          </w:tcPr>
          <w:p>
            <w:pPr>
              <w:pStyle w:val="77"/>
              <w:rPr>
                <w:rFonts w:eastAsia="Calibri"/>
                <w:lang w:eastAsia="da-DK"/>
              </w:rPr>
            </w:pPr>
          </w:p>
        </w:tc>
        <w:tc>
          <w:tcPr>
            <w:tcW w:w="2061" w:type="pct"/>
            <w:tcMar>
              <w:top w:w="0" w:type="dxa"/>
              <w:left w:w="108" w:type="dxa"/>
              <w:bottom w:w="0" w:type="dxa"/>
              <w:right w:w="108" w:type="dxa"/>
            </w:tcMar>
            <w:vAlign w:val="center"/>
          </w:tcPr>
          <w:p>
            <w:pPr>
              <w:pStyle w:val="77"/>
              <w:rPr>
                <w:rFonts w:eastAsia="Calibri"/>
                <w:iCs/>
                <w:lang w:eastAsia="da-D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322" w:type="pct"/>
            <w:tcMar>
              <w:top w:w="0" w:type="dxa"/>
              <w:left w:w="108" w:type="dxa"/>
              <w:bottom w:w="0" w:type="dxa"/>
              <w:right w:w="108" w:type="dxa"/>
            </w:tcMar>
            <w:vAlign w:val="center"/>
          </w:tcPr>
          <w:p>
            <w:pPr>
              <w:pStyle w:val="77"/>
              <w:rPr>
                <w:rFonts w:eastAsia="Calibri"/>
                <w:color w:val="000000" w:themeColor="text1"/>
                <w:lang w:eastAsia="da-DK"/>
                <w14:textFill>
                  <w14:solidFill>
                    <w14:schemeClr w14:val="tx1"/>
                  </w14:solidFill>
                </w14:textFill>
              </w:rPr>
            </w:pPr>
            <w:r>
              <w:rPr>
                <w:rFonts w:eastAsia="Calibri"/>
                <w:color w:val="000000" w:themeColor="text1"/>
                <w:lang w:eastAsia="da-DK"/>
                <w14:textFill>
                  <w14:solidFill>
                    <w14:schemeClr w14:val="tx1"/>
                  </w14:solidFill>
                </w14:textFill>
              </w:rPr>
              <w:t>Atrial fibrillation</w:t>
            </w:r>
            <w:r>
              <w:rPr>
                <w:rFonts w:eastAsia="Calibri"/>
                <w:color w:val="000000" w:themeColor="text1"/>
                <w:vertAlign w:val="superscript"/>
                <w:lang w:eastAsia="da-DK"/>
                <w14:textFill>
                  <w14:solidFill>
                    <w14:schemeClr w14:val="tx1"/>
                  </w14:solidFill>
                </w14:textFill>
              </w:rPr>
              <w:t>1-3</w:t>
            </w:r>
          </w:p>
        </w:tc>
        <w:tc>
          <w:tcPr>
            <w:tcW w:w="1617" w:type="pct"/>
            <w:tcMar>
              <w:top w:w="0" w:type="dxa"/>
              <w:left w:w="108" w:type="dxa"/>
              <w:bottom w:w="0" w:type="dxa"/>
              <w:right w:w="108" w:type="dxa"/>
            </w:tcMar>
            <w:vAlign w:val="center"/>
          </w:tcPr>
          <w:p>
            <w:pPr>
              <w:pStyle w:val="77"/>
              <w:rPr>
                <w:rFonts w:eastAsia="Calibri"/>
                <w:lang w:eastAsia="da-DK"/>
              </w:rPr>
            </w:pPr>
            <w:r>
              <w:rPr>
                <w:rFonts w:eastAsia="Calibri"/>
                <w:lang w:eastAsia="da-DK"/>
              </w:rPr>
              <w:t>Defined from diagnosis*</w:t>
            </w:r>
          </w:p>
        </w:tc>
        <w:tc>
          <w:tcPr>
            <w:tcW w:w="2061" w:type="pct"/>
            <w:tcMar>
              <w:top w:w="0" w:type="dxa"/>
              <w:left w:w="108" w:type="dxa"/>
              <w:bottom w:w="0" w:type="dxa"/>
              <w:right w:w="108" w:type="dxa"/>
            </w:tcMar>
            <w:vAlign w:val="center"/>
          </w:tcPr>
          <w:p>
            <w:pPr>
              <w:pStyle w:val="77"/>
              <w:rPr>
                <w:rFonts w:eastAsia="Calibri"/>
                <w:iCs/>
                <w:lang w:eastAsia="da-DK"/>
              </w:rPr>
            </w:pPr>
            <w:r>
              <w:rPr>
                <w:rFonts w:eastAsia="Calibri"/>
                <w:iCs/>
                <w:lang w:eastAsia="da-DK"/>
              </w:rPr>
              <w:t>ICD-10</w:t>
            </w:r>
            <w:r>
              <w:rPr>
                <w:rFonts w:eastAsia="Calibri"/>
                <w:lang w:eastAsia="da-DK"/>
              </w:rPr>
              <w:t>: </w:t>
            </w:r>
            <w:r>
              <w:rPr>
                <w:rFonts w:eastAsia="Calibri"/>
                <w:iCs/>
                <w:lang w:eastAsia="da-DK"/>
              </w:rPr>
              <w:t>I48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322" w:type="pct"/>
            <w:tcMar>
              <w:top w:w="0" w:type="dxa"/>
              <w:left w:w="108" w:type="dxa"/>
              <w:bottom w:w="0" w:type="dxa"/>
              <w:right w:w="108" w:type="dxa"/>
            </w:tcMar>
            <w:vAlign w:val="center"/>
          </w:tcPr>
          <w:p>
            <w:pPr>
              <w:pStyle w:val="77"/>
              <w:rPr>
                <w:rFonts w:eastAsia="Calibri"/>
                <w:color w:val="000000" w:themeColor="text1"/>
                <w:lang w:eastAsia="da-DK"/>
                <w14:textFill>
                  <w14:solidFill>
                    <w14:schemeClr w14:val="tx1"/>
                  </w14:solidFill>
                </w14:textFill>
              </w:rPr>
            </w:pPr>
            <w:r>
              <w:rPr>
                <w:rFonts w:eastAsia="Calibri"/>
                <w:color w:val="000000" w:themeColor="text1"/>
                <w:lang w:eastAsia="da-DK"/>
                <w14:textFill>
                  <w14:solidFill>
                    <w14:schemeClr w14:val="tx1"/>
                  </w14:solidFill>
                </w14:textFill>
              </w:rPr>
              <w:t>Heart failure</w:t>
            </w:r>
            <w:r>
              <w:rPr>
                <w:rFonts w:eastAsia="Calibri"/>
                <w:color w:val="000000" w:themeColor="text1"/>
                <w:vertAlign w:val="superscript"/>
                <w:lang w:eastAsia="da-DK"/>
                <w14:textFill>
                  <w14:solidFill>
                    <w14:schemeClr w14:val="tx1"/>
                  </w14:solidFill>
                </w14:textFill>
              </w:rPr>
              <w:t>2,3</w:t>
            </w:r>
          </w:p>
        </w:tc>
        <w:tc>
          <w:tcPr>
            <w:tcW w:w="1617" w:type="pct"/>
            <w:tcMar>
              <w:top w:w="0" w:type="dxa"/>
              <w:left w:w="108" w:type="dxa"/>
              <w:bottom w:w="0" w:type="dxa"/>
              <w:right w:w="108" w:type="dxa"/>
            </w:tcMar>
            <w:vAlign w:val="center"/>
          </w:tcPr>
          <w:p>
            <w:pPr>
              <w:pStyle w:val="77"/>
              <w:rPr>
                <w:rFonts w:eastAsia="Calibri"/>
                <w:lang w:eastAsia="da-DK"/>
              </w:rPr>
            </w:pPr>
            <w:r>
              <w:rPr>
                <w:rFonts w:eastAsia="Calibri"/>
                <w:lang w:eastAsia="da-DK"/>
              </w:rPr>
              <w:t>Defined from diagnosis*</w:t>
            </w:r>
          </w:p>
        </w:tc>
        <w:tc>
          <w:tcPr>
            <w:tcW w:w="2061" w:type="pct"/>
            <w:tcMar>
              <w:top w:w="0" w:type="dxa"/>
              <w:left w:w="108" w:type="dxa"/>
              <w:bottom w:w="0" w:type="dxa"/>
              <w:right w:w="108" w:type="dxa"/>
            </w:tcMar>
            <w:vAlign w:val="center"/>
          </w:tcPr>
          <w:p>
            <w:pPr>
              <w:pStyle w:val="77"/>
              <w:rPr>
                <w:rFonts w:eastAsia="Calibri"/>
                <w:lang w:eastAsia="da-DK"/>
              </w:rPr>
            </w:pPr>
            <w:r>
              <w:rPr>
                <w:rFonts w:eastAsia="Calibri"/>
                <w:iCs/>
                <w:lang w:eastAsia="da-DK"/>
              </w:rPr>
              <w:t>ICD-10</w:t>
            </w:r>
            <w:r>
              <w:rPr>
                <w:rFonts w:eastAsia="Calibri"/>
                <w:lang w:eastAsia="da-DK"/>
              </w:rPr>
              <w:t>: </w:t>
            </w:r>
            <w:r>
              <w:rPr>
                <w:rFonts w:eastAsia="Calibri"/>
                <w:iCs/>
                <w:lang w:eastAsia="da-DK"/>
              </w:rPr>
              <w:t>I11.0, I50, I97.1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322" w:type="pct"/>
            <w:tcMar>
              <w:top w:w="0" w:type="dxa"/>
              <w:left w:w="108" w:type="dxa"/>
              <w:bottom w:w="0" w:type="dxa"/>
              <w:right w:w="108" w:type="dxa"/>
            </w:tcMar>
            <w:vAlign w:val="center"/>
          </w:tcPr>
          <w:p>
            <w:pPr>
              <w:pStyle w:val="77"/>
              <w:rPr>
                <w:rFonts w:eastAsia="Calibri"/>
                <w:color w:val="000000" w:themeColor="text1"/>
                <w:lang w:eastAsia="da-DK"/>
                <w14:textFill>
                  <w14:solidFill>
                    <w14:schemeClr w14:val="tx1"/>
                  </w14:solidFill>
                </w14:textFill>
              </w:rPr>
            </w:pPr>
            <w:r>
              <w:rPr>
                <w:rFonts w:eastAsia="Malgun Gothic"/>
                <w:color w:val="000000" w:themeColor="text1"/>
                <w14:textFill>
                  <w14:solidFill>
                    <w14:schemeClr w14:val="tx1"/>
                  </w14:solidFill>
                </w14:textFill>
              </w:rPr>
              <w:t>Hypertension</w:t>
            </w:r>
            <w:r>
              <w:rPr>
                <w:rFonts w:eastAsia="Calibri"/>
                <w:color w:val="000000" w:themeColor="text1"/>
                <w:vertAlign w:val="superscript"/>
                <w:lang w:eastAsia="da-DK"/>
                <w14:textFill>
                  <w14:solidFill>
                    <w14:schemeClr w14:val="tx1"/>
                  </w14:solidFill>
                </w14:textFill>
              </w:rPr>
              <w:t>2,3,4</w:t>
            </w:r>
          </w:p>
        </w:tc>
        <w:tc>
          <w:tcPr>
            <w:tcW w:w="1617" w:type="pct"/>
            <w:tcMar>
              <w:top w:w="0" w:type="dxa"/>
              <w:left w:w="108" w:type="dxa"/>
              <w:bottom w:w="0" w:type="dxa"/>
              <w:right w:w="108" w:type="dxa"/>
            </w:tcMar>
            <w:vAlign w:val="center"/>
          </w:tcPr>
          <w:p>
            <w:pPr>
              <w:pStyle w:val="77"/>
              <w:rPr>
                <w:rFonts w:eastAsia="Calibri"/>
                <w:lang w:eastAsia="da-DK"/>
              </w:rPr>
            </w:pPr>
            <w:r>
              <w:rPr>
                <w:rFonts w:eastAsia="Malgun Gothic"/>
              </w:rPr>
              <w:t>Defined from diagnosis*</w:t>
            </w:r>
          </w:p>
        </w:tc>
        <w:tc>
          <w:tcPr>
            <w:tcW w:w="2061" w:type="pct"/>
            <w:tcMar>
              <w:top w:w="0" w:type="dxa"/>
              <w:left w:w="108" w:type="dxa"/>
              <w:bottom w:w="0" w:type="dxa"/>
              <w:right w:w="108" w:type="dxa"/>
            </w:tcMar>
            <w:vAlign w:val="center"/>
          </w:tcPr>
          <w:p>
            <w:pPr>
              <w:pStyle w:val="77"/>
              <w:rPr>
                <w:rFonts w:eastAsia="Calibri"/>
                <w:iCs/>
                <w:lang w:eastAsia="da-DK"/>
              </w:rPr>
            </w:pPr>
            <w:r>
              <w:rPr>
                <w:rFonts w:eastAsia="Calibri"/>
                <w:iCs/>
                <w:lang w:eastAsia="da-DK"/>
              </w:rPr>
              <w:t>ICD-10</w:t>
            </w:r>
            <w:r>
              <w:rPr>
                <w:rFonts w:eastAsia="Calibri"/>
                <w:lang w:eastAsia="da-DK"/>
              </w:rPr>
              <w:t>: </w:t>
            </w:r>
            <w:r>
              <w:rPr>
                <w:rFonts w:eastAsia="Malgun Gothic"/>
              </w:rPr>
              <w:t>I10, I11, I12, I13, I15 and antihypertensive medication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322" w:type="pct"/>
            <w:tcMar>
              <w:top w:w="0" w:type="dxa"/>
              <w:left w:w="108" w:type="dxa"/>
              <w:bottom w:w="0" w:type="dxa"/>
              <w:right w:w="108" w:type="dxa"/>
            </w:tcMar>
            <w:vAlign w:val="center"/>
          </w:tcPr>
          <w:p>
            <w:pPr>
              <w:pStyle w:val="77"/>
              <w:rPr>
                <w:rFonts w:eastAsia="Calibri"/>
                <w:color w:val="000000" w:themeColor="text1"/>
                <w:lang w:eastAsia="da-DK"/>
                <w14:textFill>
                  <w14:solidFill>
                    <w14:schemeClr w14:val="tx1"/>
                  </w14:solidFill>
                </w14:textFill>
              </w:rPr>
            </w:pPr>
            <w:r>
              <w:rPr>
                <w:rFonts w:eastAsia="Calibri"/>
                <w:color w:val="000000" w:themeColor="text1"/>
                <w:lang w:eastAsia="da-DK"/>
                <w14:textFill>
                  <w14:solidFill>
                    <w14:schemeClr w14:val="tx1"/>
                  </w14:solidFill>
                </w14:textFill>
              </w:rPr>
              <w:t>Diabetes mellitus</w:t>
            </w:r>
            <w:r>
              <w:rPr>
                <w:rFonts w:eastAsia="Calibri"/>
                <w:color w:val="000000" w:themeColor="text1"/>
                <w:vertAlign w:val="superscript"/>
                <w:lang w:eastAsia="da-DK"/>
                <w14:textFill>
                  <w14:solidFill>
                    <w14:schemeClr w14:val="tx1"/>
                  </w14:solidFill>
                </w14:textFill>
              </w:rPr>
              <w:t>2,3</w:t>
            </w:r>
          </w:p>
        </w:tc>
        <w:tc>
          <w:tcPr>
            <w:tcW w:w="1617" w:type="pct"/>
            <w:tcMar>
              <w:top w:w="0" w:type="dxa"/>
              <w:left w:w="108" w:type="dxa"/>
              <w:bottom w:w="0" w:type="dxa"/>
              <w:right w:w="108" w:type="dxa"/>
            </w:tcMar>
            <w:vAlign w:val="center"/>
          </w:tcPr>
          <w:p>
            <w:pPr>
              <w:pStyle w:val="77"/>
              <w:rPr>
                <w:rFonts w:eastAsia="Calibri"/>
                <w:lang w:eastAsia="da-DK"/>
              </w:rPr>
            </w:pPr>
            <w:r>
              <w:rPr>
                <w:rFonts w:eastAsia="Calibri"/>
                <w:lang w:eastAsia="da-DK"/>
              </w:rPr>
              <w:t>Defined from diagnosis* plus treatment</w:t>
            </w:r>
          </w:p>
        </w:tc>
        <w:tc>
          <w:tcPr>
            <w:tcW w:w="2061" w:type="pct"/>
            <w:tcMar>
              <w:top w:w="0" w:type="dxa"/>
              <w:left w:w="108" w:type="dxa"/>
              <w:bottom w:w="0" w:type="dxa"/>
              <w:right w:w="108" w:type="dxa"/>
            </w:tcMar>
            <w:vAlign w:val="center"/>
          </w:tcPr>
          <w:p>
            <w:pPr>
              <w:pStyle w:val="77"/>
              <w:rPr>
                <w:rFonts w:eastAsia="Calibri"/>
                <w:iCs/>
                <w:lang w:eastAsia="da-DK"/>
              </w:rPr>
            </w:pPr>
            <w:r>
              <w:rPr>
                <w:rFonts w:eastAsia="Calibri"/>
                <w:iCs/>
                <w:lang w:eastAsia="da-DK"/>
              </w:rPr>
              <w:t>ICD-10</w:t>
            </w:r>
            <w:r>
              <w:rPr>
                <w:rFonts w:eastAsia="Calibri"/>
                <w:lang w:eastAsia="da-DK"/>
              </w:rPr>
              <w:t>: </w:t>
            </w:r>
            <w:r>
              <w:rPr>
                <w:rFonts w:eastAsia="Calibri"/>
                <w:iCs/>
                <w:lang w:eastAsia="da-DK"/>
              </w:rPr>
              <w:t>E10, E11, E12, E13, E14</w:t>
            </w:r>
          </w:p>
          <w:p>
            <w:pPr>
              <w:pStyle w:val="77"/>
              <w:rPr>
                <w:rFonts w:eastAsia="Calibri"/>
                <w:lang w:eastAsia="da-DK"/>
              </w:rPr>
            </w:pPr>
            <w:r>
              <w:rPr>
                <w:rFonts w:eastAsia="Calibri"/>
                <w:lang w:eastAsia="da-DK"/>
              </w:rPr>
              <w:t>Treatment: all kinds of oral antidiabetics and insulin.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322" w:type="pct"/>
            <w:tcMar>
              <w:top w:w="0" w:type="dxa"/>
              <w:left w:w="108" w:type="dxa"/>
              <w:bottom w:w="0" w:type="dxa"/>
              <w:right w:w="108" w:type="dxa"/>
            </w:tcMar>
            <w:vAlign w:val="center"/>
          </w:tcPr>
          <w:p>
            <w:pPr>
              <w:pStyle w:val="77"/>
              <w:rPr>
                <w:color w:val="000000" w:themeColor="text1"/>
                <w14:textFill>
                  <w14:solidFill>
                    <w14:schemeClr w14:val="tx1"/>
                  </w14:solidFill>
                </w14:textFill>
              </w:rPr>
            </w:pPr>
            <w:r>
              <w:rPr>
                <w:rFonts w:eastAsia="Malgun Gothic"/>
                <w:color w:val="000000" w:themeColor="text1"/>
                <w14:textFill>
                  <w14:solidFill>
                    <w14:schemeClr w14:val="tx1"/>
                  </w14:solidFill>
                </w14:textFill>
              </w:rPr>
              <w:t>Dyslipidemia</w:t>
            </w:r>
            <w:r>
              <w:rPr>
                <w:rFonts w:eastAsia="Calibri"/>
                <w:color w:val="000000" w:themeColor="text1"/>
                <w:vertAlign w:val="superscript"/>
                <w:lang w:eastAsia="da-DK"/>
                <w14:textFill>
                  <w14:solidFill>
                    <w14:schemeClr w14:val="tx1"/>
                  </w14:solidFill>
                </w14:textFill>
              </w:rPr>
              <w:t>2,3</w:t>
            </w:r>
          </w:p>
        </w:tc>
        <w:tc>
          <w:tcPr>
            <w:tcW w:w="1617" w:type="pct"/>
            <w:tcMar>
              <w:top w:w="0" w:type="dxa"/>
              <w:left w:w="108" w:type="dxa"/>
              <w:bottom w:w="0" w:type="dxa"/>
              <w:right w:w="108" w:type="dxa"/>
            </w:tcMar>
            <w:vAlign w:val="center"/>
          </w:tcPr>
          <w:p>
            <w:pPr>
              <w:pStyle w:val="77"/>
              <w:rPr>
                <w:lang w:eastAsia="da-DK"/>
              </w:rPr>
            </w:pPr>
            <w:r>
              <w:rPr>
                <w:lang w:eastAsia="da-DK"/>
              </w:rPr>
              <w:t>Defined from diagnosis*</w:t>
            </w:r>
          </w:p>
        </w:tc>
        <w:tc>
          <w:tcPr>
            <w:tcW w:w="2061" w:type="pct"/>
            <w:tcMar>
              <w:top w:w="0" w:type="dxa"/>
              <w:left w:w="108" w:type="dxa"/>
              <w:bottom w:w="0" w:type="dxa"/>
              <w:right w:w="108" w:type="dxa"/>
            </w:tcMar>
            <w:vAlign w:val="center"/>
          </w:tcPr>
          <w:p>
            <w:pPr>
              <w:pStyle w:val="77"/>
              <w:rPr>
                <w:rFonts w:eastAsia="Malgun Gothic"/>
                <w:iCs/>
                <w:lang w:val="de-DE"/>
              </w:rPr>
            </w:pPr>
            <w:r>
              <w:rPr>
                <w:lang w:eastAsia="da-DK"/>
              </w:rPr>
              <w:t>ICD-10: E78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322" w:type="pct"/>
            <w:tcMar>
              <w:top w:w="0" w:type="dxa"/>
              <w:left w:w="108" w:type="dxa"/>
              <w:bottom w:w="0" w:type="dxa"/>
              <w:right w:w="108" w:type="dxa"/>
            </w:tcMar>
            <w:vAlign w:val="center"/>
          </w:tcPr>
          <w:p>
            <w:pPr>
              <w:pStyle w:val="77"/>
              <w:rPr>
                <w:rFonts w:eastAsia="Malgun Gothic"/>
                <w:color w:val="000000" w:themeColor="text1"/>
                <w14:textFill>
                  <w14:solidFill>
                    <w14:schemeClr w14:val="tx1"/>
                  </w14:solidFill>
                </w14:textFill>
              </w:rPr>
            </w:pPr>
            <w:r>
              <w:rPr>
                <w:rFonts w:eastAsia="Calibri"/>
                <w:lang w:eastAsia="da-DK"/>
              </w:rPr>
              <w:t>Ischemic stroke</w:t>
            </w:r>
            <w:r>
              <w:rPr>
                <w:rFonts w:eastAsia="Calibri"/>
                <w:color w:val="000000" w:themeColor="text1"/>
                <w:vertAlign w:val="superscript"/>
                <w:lang w:eastAsia="da-DK"/>
                <w14:textFill>
                  <w14:solidFill>
                    <w14:schemeClr w14:val="tx1"/>
                  </w14:solidFill>
                </w14:textFill>
              </w:rPr>
              <w:t>2,3</w:t>
            </w:r>
          </w:p>
        </w:tc>
        <w:tc>
          <w:tcPr>
            <w:tcW w:w="1617" w:type="pct"/>
            <w:tcMar>
              <w:top w:w="0" w:type="dxa"/>
              <w:left w:w="108" w:type="dxa"/>
              <w:bottom w:w="0" w:type="dxa"/>
              <w:right w:w="108" w:type="dxa"/>
            </w:tcMar>
            <w:vAlign w:val="center"/>
          </w:tcPr>
          <w:p>
            <w:pPr>
              <w:pStyle w:val="77"/>
              <w:rPr>
                <w:rFonts w:eastAsia="Malgun Gothic"/>
              </w:rPr>
            </w:pPr>
            <w:r>
              <w:rPr>
                <w:lang w:eastAsia="da-DK"/>
              </w:rPr>
              <w:t>Defined from diagnosis*</w:t>
            </w:r>
          </w:p>
        </w:tc>
        <w:tc>
          <w:tcPr>
            <w:tcW w:w="2061" w:type="pct"/>
            <w:tcMar>
              <w:top w:w="0" w:type="dxa"/>
              <w:left w:w="108" w:type="dxa"/>
              <w:bottom w:w="0" w:type="dxa"/>
              <w:right w:w="108" w:type="dxa"/>
            </w:tcMar>
            <w:vAlign w:val="center"/>
          </w:tcPr>
          <w:p>
            <w:pPr>
              <w:pStyle w:val="77"/>
              <w:rPr>
                <w:rFonts w:eastAsia="Calibri"/>
                <w:iCs/>
                <w:lang w:eastAsia="da-DK"/>
              </w:rPr>
            </w:pPr>
            <w:r>
              <w:rPr>
                <w:iCs/>
              </w:rPr>
              <w:t xml:space="preserve">ICD-10: </w:t>
            </w:r>
            <w:r>
              <w:rPr>
                <w:lang w:eastAsia="da-DK"/>
              </w:rPr>
              <w:t>I63, I64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322" w:type="pct"/>
            <w:tcMar>
              <w:top w:w="0" w:type="dxa"/>
              <w:left w:w="108" w:type="dxa"/>
              <w:bottom w:w="0" w:type="dxa"/>
              <w:right w:w="108" w:type="dxa"/>
            </w:tcMar>
            <w:vAlign w:val="center"/>
          </w:tcPr>
          <w:p>
            <w:pPr>
              <w:pStyle w:val="77"/>
              <w:rPr>
                <w:rFonts w:eastAsia="Malgun Gothic"/>
                <w:color w:val="000000" w:themeColor="text1"/>
                <w14:textFill>
                  <w14:solidFill>
                    <w14:schemeClr w14:val="tx1"/>
                  </w14:solidFill>
                </w14:textFill>
              </w:rPr>
            </w:pPr>
            <w:r>
              <w:rPr>
                <w:rFonts w:eastAsia="Malgun Gothic"/>
                <w:color w:val="000000" w:themeColor="text1"/>
                <w14:textFill>
                  <w14:solidFill>
                    <w14:schemeClr w14:val="tx1"/>
                  </w14:solidFill>
                </w14:textFill>
              </w:rPr>
              <w:t>Transient ischemic attack</w:t>
            </w:r>
            <w:r>
              <w:rPr>
                <w:rFonts w:eastAsia="Calibri"/>
                <w:color w:val="000000" w:themeColor="text1"/>
                <w:vertAlign w:val="superscript"/>
                <w:lang w:eastAsia="da-DK"/>
                <w14:textFill>
                  <w14:solidFill>
                    <w14:schemeClr w14:val="tx1"/>
                  </w14:solidFill>
                </w14:textFill>
              </w:rPr>
              <w:t>2,3</w:t>
            </w:r>
          </w:p>
        </w:tc>
        <w:tc>
          <w:tcPr>
            <w:tcW w:w="1617" w:type="pct"/>
            <w:tcMar>
              <w:top w:w="0" w:type="dxa"/>
              <w:left w:w="108" w:type="dxa"/>
              <w:bottom w:w="0" w:type="dxa"/>
              <w:right w:w="108" w:type="dxa"/>
            </w:tcMar>
            <w:vAlign w:val="center"/>
          </w:tcPr>
          <w:p>
            <w:pPr>
              <w:pStyle w:val="77"/>
              <w:rPr>
                <w:rFonts w:eastAsia="Malgun Gothic"/>
              </w:rPr>
            </w:pPr>
            <w:r>
              <w:rPr>
                <w:rFonts w:eastAsia="Malgun Gothic"/>
              </w:rPr>
              <w:t>Defined from diagnosis*</w:t>
            </w:r>
          </w:p>
        </w:tc>
        <w:tc>
          <w:tcPr>
            <w:tcW w:w="2061" w:type="pct"/>
            <w:tcMar>
              <w:top w:w="0" w:type="dxa"/>
              <w:left w:w="108" w:type="dxa"/>
              <w:bottom w:w="0" w:type="dxa"/>
              <w:right w:w="108" w:type="dxa"/>
            </w:tcMar>
            <w:vAlign w:val="center"/>
          </w:tcPr>
          <w:p>
            <w:pPr>
              <w:pStyle w:val="77"/>
              <w:rPr>
                <w:rFonts w:eastAsia="Malgun Gothic"/>
              </w:rPr>
            </w:pPr>
            <w:r>
              <w:rPr>
                <w:rFonts w:eastAsia="Calibri"/>
                <w:iCs/>
                <w:lang w:eastAsia="da-DK"/>
              </w:rPr>
              <w:t>ICD-10</w:t>
            </w:r>
            <w:r>
              <w:rPr>
                <w:rFonts w:eastAsia="Calibri"/>
                <w:lang w:eastAsia="da-DK"/>
              </w:rPr>
              <w:t>: </w:t>
            </w:r>
            <w:r>
              <w:rPr>
                <w:rFonts w:eastAsia="Malgun Gothic"/>
              </w:rPr>
              <w:t>G45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322" w:type="pct"/>
            <w:tcMar>
              <w:top w:w="0" w:type="dxa"/>
              <w:left w:w="108" w:type="dxa"/>
              <w:bottom w:w="0" w:type="dxa"/>
              <w:right w:w="108" w:type="dxa"/>
            </w:tcMar>
            <w:vAlign w:val="center"/>
          </w:tcPr>
          <w:p>
            <w:pPr>
              <w:pStyle w:val="77"/>
              <w:rPr>
                <w:rFonts w:eastAsia="Malgun Gothic"/>
                <w:color w:val="000000" w:themeColor="text1"/>
                <w14:textFill>
                  <w14:solidFill>
                    <w14:schemeClr w14:val="tx1"/>
                  </w14:solidFill>
                </w14:textFill>
              </w:rPr>
            </w:pPr>
            <w:r>
              <w:rPr>
                <w:rFonts w:eastAsia="Malgun Gothic"/>
                <w:color w:val="000000" w:themeColor="text1"/>
                <w14:textFill>
                  <w14:solidFill>
                    <w14:schemeClr w14:val="tx1"/>
                  </w14:solidFill>
                </w14:textFill>
              </w:rPr>
              <w:t>Hemorrhagic stroke</w:t>
            </w:r>
          </w:p>
        </w:tc>
        <w:tc>
          <w:tcPr>
            <w:tcW w:w="1617" w:type="pct"/>
            <w:tcMar>
              <w:top w:w="0" w:type="dxa"/>
              <w:left w:w="108" w:type="dxa"/>
              <w:bottom w:w="0" w:type="dxa"/>
              <w:right w:w="108" w:type="dxa"/>
            </w:tcMar>
            <w:vAlign w:val="center"/>
          </w:tcPr>
          <w:p>
            <w:pPr>
              <w:pStyle w:val="77"/>
              <w:rPr>
                <w:rFonts w:eastAsia="Malgun Gothic"/>
              </w:rPr>
            </w:pPr>
            <w:r>
              <w:rPr>
                <w:lang w:eastAsia="da-DK"/>
              </w:rPr>
              <w:t>Defined from diagnosis*</w:t>
            </w:r>
          </w:p>
        </w:tc>
        <w:tc>
          <w:tcPr>
            <w:tcW w:w="2061" w:type="pct"/>
            <w:tcMar>
              <w:top w:w="0" w:type="dxa"/>
              <w:left w:w="108" w:type="dxa"/>
              <w:bottom w:w="0" w:type="dxa"/>
              <w:right w:w="108" w:type="dxa"/>
            </w:tcMar>
            <w:vAlign w:val="center"/>
          </w:tcPr>
          <w:p>
            <w:pPr>
              <w:pStyle w:val="77"/>
              <w:rPr>
                <w:iCs/>
              </w:rPr>
            </w:pPr>
            <w:r>
              <w:rPr>
                <w:iCs/>
              </w:rPr>
              <w:t xml:space="preserve">ICD-10: </w:t>
            </w:r>
            <w:r>
              <w:rPr>
                <w:iCs/>
                <w:lang w:eastAsia="da-DK"/>
              </w:rPr>
              <w:t>I60, I61, I62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322" w:type="pct"/>
            <w:tcMar>
              <w:top w:w="0" w:type="dxa"/>
              <w:left w:w="108" w:type="dxa"/>
              <w:bottom w:w="0" w:type="dxa"/>
              <w:right w:w="108" w:type="dxa"/>
            </w:tcMar>
            <w:vAlign w:val="center"/>
          </w:tcPr>
          <w:p>
            <w:pPr>
              <w:pStyle w:val="77"/>
              <w:rPr>
                <w:rFonts w:eastAsia="Calibri"/>
                <w:color w:val="000000" w:themeColor="text1"/>
                <w:lang w:eastAsia="da-DK"/>
                <w14:textFill>
                  <w14:solidFill>
                    <w14:schemeClr w14:val="tx1"/>
                  </w14:solidFill>
                </w14:textFill>
              </w:rPr>
            </w:pPr>
            <w:r>
              <w:rPr>
                <w:rFonts w:eastAsia="Calibri"/>
                <w:color w:val="000000" w:themeColor="text1"/>
                <w:lang w:eastAsia="da-DK"/>
                <w14:textFill>
                  <w14:solidFill>
                    <w14:schemeClr w14:val="tx1"/>
                  </w14:solidFill>
                </w14:textFill>
              </w:rPr>
              <w:t>Myocardial infarction</w:t>
            </w:r>
            <w:r>
              <w:rPr>
                <w:rFonts w:eastAsia="Calibri"/>
                <w:color w:val="000000" w:themeColor="text1"/>
                <w:vertAlign w:val="superscript"/>
                <w:lang w:eastAsia="da-DK"/>
                <w14:textFill>
                  <w14:solidFill>
                    <w14:schemeClr w14:val="tx1"/>
                  </w14:solidFill>
                </w14:textFill>
              </w:rPr>
              <w:t>5</w:t>
            </w:r>
          </w:p>
        </w:tc>
        <w:tc>
          <w:tcPr>
            <w:tcW w:w="1617" w:type="pct"/>
            <w:tcMar>
              <w:top w:w="0" w:type="dxa"/>
              <w:left w:w="108" w:type="dxa"/>
              <w:bottom w:w="0" w:type="dxa"/>
              <w:right w:w="108" w:type="dxa"/>
            </w:tcMar>
            <w:vAlign w:val="center"/>
          </w:tcPr>
          <w:p>
            <w:pPr>
              <w:pStyle w:val="77"/>
              <w:rPr>
                <w:rFonts w:eastAsia="Calibri"/>
                <w:lang w:eastAsia="da-DK"/>
              </w:rPr>
            </w:pPr>
            <w:r>
              <w:rPr>
                <w:rFonts w:eastAsia="Calibri"/>
                <w:lang w:eastAsia="da-DK"/>
              </w:rPr>
              <w:t>Defined from diagnosis*</w:t>
            </w:r>
          </w:p>
        </w:tc>
        <w:tc>
          <w:tcPr>
            <w:tcW w:w="2061" w:type="pct"/>
            <w:tcMar>
              <w:top w:w="0" w:type="dxa"/>
              <w:left w:w="108" w:type="dxa"/>
              <w:bottom w:w="0" w:type="dxa"/>
              <w:right w:w="108" w:type="dxa"/>
            </w:tcMar>
            <w:vAlign w:val="center"/>
          </w:tcPr>
          <w:p>
            <w:pPr>
              <w:pStyle w:val="77"/>
              <w:rPr>
                <w:rFonts w:eastAsia="Calibri"/>
                <w:iCs/>
                <w:lang w:eastAsia="da-DK"/>
              </w:rPr>
            </w:pPr>
            <w:r>
              <w:rPr>
                <w:rFonts w:eastAsia="Calibri"/>
                <w:iCs/>
                <w:lang w:eastAsia="da-DK"/>
              </w:rPr>
              <w:t>ICD-10</w:t>
            </w:r>
            <w:r>
              <w:rPr>
                <w:rFonts w:eastAsia="Calibri"/>
                <w:lang w:eastAsia="da-DK"/>
              </w:rPr>
              <w:t>: </w:t>
            </w:r>
            <w:r>
              <w:rPr>
                <w:rFonts w:eastAsia="Calibri"/>
                <w:iCs/>
                <w:lang w:eastAsia="da-DK"/>
              </w:rPr>
              <w:t>I21, I22, I25.2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322" w:type="pct"/>
            <w:tcMar>
              <w:top w:w="0" w:type="dxa"/>
              <w:left w:w="108" w:type="dxa"/>
              <w:bottom w:w="0" w:type="dxa"/>
              <w:right w:w="108" w:type="dxa"/>
            </w:tcMar>
            <w:vAlign w:val="center"/>
          </w:tcPr>
          <w:p>
            <w:pPr>
              <w:pStyle w:val="77"/>
            </w:pPr>
            <w:r>
              <w:t>Coronary heart disease</w:t>
            </w:r>
          </w:p>
        </w:tc>
        <w:tc>
          <w:tcPr>
            <w:tcW w:w="1617" w:type="pct"/>
            <w:tcMar>
              <w:top w:w="0" w:type="dxa"/>
              <w:left w:w="108" w:type="dxa"/>
              <w:bottom w:w="0" w:type="dxa"/>
              <w:right w:w="108" w:type="dxa"/>
            </w:tcMar>
            <w:vAlign w:val="center"/>
          </w:tcPr>
          <w:p>
            <w:pPr>
              <w:pStyle w:val="77"/>
            </w:pPr>
            <w:r>
              <w:rPr>
                <w:sz w:val="24"/>
                <w:szCs w:val="24"/>
                <w:lang w:eastAsia="da-DK"/>
              </w:rPr>
              <w:t xml:space="preserve">Defined from a </w:t>
            </w:r>
            <w:r>
              <w:rPr>
                <w:rFonts w:hint="eastAsia"/>
                <w:sz w:val="24"/>
                <w:szCs w:val="24"/>
                <w:lang w:eastAsia="da-DK"/>
              </w:rPr>
              <w:t xml:space="preserve">history of acute </w:t>
            </w:r>
            <w:r>
              <w:rPr>
                <w:rFonts w:eastAsia="Malgun Gothic"/>
              </w:rPr>
              <w:t>myocardial infarction</w:t>
            </w:r>
            <w:r>
              <w:rPr>
                <w:sz w:val="24"/>
                <w:szCs w:val="24"/>
                <w:lang w:eastAsia="da-DK"/>
              </w:rPr>
              <w:t>, coronary revascularization, or chronic ischemic heart disease.</w:t>
            </w:r>
          </w:p>
        </w:tc>
        <w:tc>
          <w:tcPr>
            <w:tcW w:w="2061" w:type="pct"/>
            <w:tcMar>
              <w:top w:w="0" w:type="dxa"/>
              <w:left w:w="108" w:type="dxa"/>
              <w:bottom w:w="0" w:type="dxa"/>
              <w:right w:w="108" w:type="dxa"/>
            </w:tcMar>
            <w:vAlign w:val="center"/>
          </w:tcPr>
          <w:p>
            <w:pPr>
              <w:pStyle w:val="77"/>
              <w:rPr>
                <w:rFonts w:eastAsia="Malgun Gothic"/>
              </w:rPr>
            </w:pPr>
            <w:r>
              <w:rPr>
                <w:rFonts w:eastAsia="Malgun Gothic"/>
              </w:rPr>
              <w:t>Acute myocardial infarction: a</w:t>
            </w:r>
            <w:r>
              <w:rPr>
                <w:sz w:val="24"/>
                <w:szCs w:val="24"/>
                <w:lang w:eastAsia="da-DK"/>
              </w:rPr>
              <w:t xml:space="preserve">dmission diagnosis (ICD-10: </w:t>
            </w:r>
            <w:r>
              <w:rPr>
                <w:rFonts w:hint="eastAsia"/>
                <w:sz w:val="24"/>
                <w:szCs w:val="24"/>
                <w:lang w:eastAsia="da-DK"/>
              </w:rPr>
              <w:t>I</w:t>
            </w:r>
            <w:r>
              <w:rPr>
                <w:sz w:val="24"/>
                <w:szCs w:val="24"/>
                <w:lang w:eastAsia="da-DK"/>
              </w:rPr>
              <w:t xml:space="preserve">21, I22) concurrently with coronary angiography </w:t>
            </w:r>
            <w:r>
              <w:rPr>
                <w:rFonts w:eastAsia="Malgun Gothic"/>
              </w:rPr>
              <w:t>(HA670, HA680, HA681)</w:t>
            </w:r>
          </w:p>
          <w:p>
            <w:pPr>
              <w:pStyle w:val="77"/>
              <w:rPr>
                <w:rFonts w:eastAsia="Malgun Gothic"/>
              </w:rPr>
            </w:pPr>
            <w:r>
              <w:rPr>
                <w:sz w:val="24"/>
                <w:szCs w:val="24"/>
                <w:lang w:eastAsia="da-DK"/>
              </w:rPr>
              <w:t>Coronary revascularization:</w:t>
            </w:r>
            <w:r>
              <w:rPr>
                <w:rFonts w:hint="eastAsia" w:eastAsia="Malgun Gothic"/>
              </w:rPr>
              <w:t xml:space="preserve"> </w:t>
            </w:r>
            <w:r>
              <w:rPr>
                <w:rFonts w:eastAsia="Malgun Gothic"/>
              </w:rPr>
              <w:t>percutaneous coronary intervention (M6551, M6552, M6561, M6563, M6562, M6564, M6571, M6572), thrombolytic treatment (M6634), or coronary artery bypass graft (O1641, OA641, O1642, OA642, O1647, OA647)</w:t>
            </w:r>
          </w:p>
          <w:p>
            <w:pPr>
              <w:pStyle w:val="77"/>
              <w:rPr>
                <w:rFonts w:eastAsia="Malgun Gothic"/>
              </w:rPr>
            </w:pPr>
            <w:r>
              <w:rPr>
                <w:sz w:val="24"/>
                <w:szCs w:val="24"/>
                <w:lang w:eastAsia="da-DK"/>
              </w:rPr>
              <w:t>Chronic ischemic heart disease</w:t>
            </w:r>
            <w:r>
              <w:rPr>
                <w:rFonts w:hint="eastAsia"/>
                <w:sz w:val="24"/>
                <w:szCs w:val="24"/>
                <w:lang w:eastAsia="da-DK"/>
              </w:rPr>
              <w:t xml:space="preserve">: </w:t>
            </w:r>
            <w:r>
              <w:rPr>
                <w:sz w:val="24"/>
                <w:szCs w:val="24"/>
                <w:lang w:eastAsia="da-DK"/>
              </w:rPr>
              <w:t>diagnosis* (I</w:t>
            </w:r>
            <w:r>
              <w:rPr>
                <w:rFonts w:eastAsia="Calibri"/>
                <w:iCs/>
                <w:lang w:eastAsia="da-DK"/>
              </w:rPr>
              <w:t>CD-10</w:t>
            </w:r>
            <w:r>
              <w:rPr>
                <w:rFonts w:eastAsia="Calibri"/>
                <w:lang w:eastAsia="da-DK"/>
              </w:rPr>
              <w:t>: </w:t>
            </w:r>
            <w:r>
              <w:rPr>
                <w:rFonts w:eastAsia="Malgun Gothic"/>
              </w:rPr>
              <w:t>I25.2, I25.5, I25.6, I25.8, I25.9)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322" w:type="pct"/>
            <w:tcMar>
              <w:top w:w="0" w:type="dxa"/>
              <w:left w:w="108" w:type="dxa"/>
              <w:bottom w:w="0" w:type="dxa"/>
              <w:right w:w="108" w:type="dxa"/>
            </w:tcMar>
            <w:vAlign w:val="center"/>
          </w:tcPr>
          <w:p>
            <w:pPr>
              <w:pStyle w:val="77"/>
              <w:rPr>
                <w:rFonts w:eastAsia="Calibri"/>
                <w:lang w:eastAsia="da-DK"/>
              </w:rPr>
            </w:pPr>
            <w:r>
              <w:rPr>
                <w:rFonts w:eastAsia="Calibri"/>
                <w:lang w:eastAsia="da-DK"/>
              </w:rPr>
              <w:t>Peripheral arterial disease</w:t>
            </w:r>
            <w:r>
              <w:rPr>
                <w:rFonts w:eastAsia="Calibri"/>
                <w:vertAlign w:val="superscript"/>
                <w:lang w:eastAsia="da-DK"/>
              </w:rPr>
              <w:t>2,3</w:t>
            </w:r>
          </w:p>
        </w:tc>
        <w:tc>
          <w:tcPr>
            <w:tcW w:w="1617" w:type="pct"/>
            <w:tcMar>
              <w:top w:w="0" w:type="dxa"/>
              <w:left w:w="108" w:type="dxa"/>
              <w:bottom w:w="0" w:type="dxa"/>
              <w:right w:w="108" w:type="dxa"/>
            </w:tcMar>
            <w:vAlign w:val="center"/>
          </w:tcPr>
          <w:p>
            <w:pPr>
              <w:pStyle w:val="77"/>
              <w:rPr>
                <w:rFonts w:eastAsia="Calibri"/>
                <w:lang w:eastAsia="da-DK"/>
              </w:rPr>
            </w:pPr>
            <w:r>
              <w:rPr>
                <w:rFonts w:eastAsia="Calibri"/>
                <w:lang w:eastAsia="da-DK"/>
              </w:rPr>
              <w:t>Defined from diagnosis*</w:t>
            </w:r>
          </w:p>
        </w:tc>
        <w:tc>
          <w:tcPr>
            <w:tcW w:w="2061" w:type="pct"/>
            <w:tcMar>
              <w:top w:w="0" w:type="dxa"/>
              <w:left w:w="108" w:type="dxa"/>
              <w:bottom w:w="0" w:type="dxa"/>
              <w:right w:w="108" w:type="dxa"/>
            </w:tcMar>
            <w:vAlign w:val="center"/>
          </w:tcPr>
          <w:p>
            <w:pPr>
              <w:pStyle w:val="77"/>
              <w:rPr>
                <w:rFonts w:eastAsia="Calibri"/>
                <w:iCs/>
                <w:lang w:eastAsia="da-DK"/>
              </w:rPr>
            </w:pPr>
            <w:r>
              <w:rPr>
                <w:rFonts w:eastAsia="Calibri"/>
                <w:iCs/>
                <w:lang w:eastAsia="da-DK"/>
              </w:rPr>
              <w:t>ICD-10</w:t>
            </w:r>
            <w:r>
              <w:rPr>
                <w:rFonts w:eastAsia="Calibri"/>
                <w:lang w:eastAsia="da-DK"/>
              </w:rPr>
              <w:t>: I70.0, I70.1, I70.2, I70.8, I70.9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322" w:type="pct"/>
            <w:tcMar>
              <w:top w:w="0" w:type="dxa"/>
              <w:left w:w="108" w:type="dxa"/>
              <w:bottom w:w="0" w:type="dxa"/>
              <w:right w:w="108" w:type="dxa"/>
            </w:tcMar>
            <w:vAlign w:val="center"/>
          </w:tcPr>
          <w:p>
            <w:pPr>
              <w:pStyle w:val="77"/>
            </w:pPr>
            <w:r>
              <w:t>Chronic kidney disease</w:t>
            </w:r>
            <w:r>
              <w:rPr>
                <w:rFonts w:hint="eastAsia"/>
                <w:vertAlign w:val="superscript"/>
              </w:rPr>
              <w:t>2</w:t>
            </w:r>
            <w:r>
              <w:rPr>
                <w:vertAlign w:val="superscript"/>
              </w:rPr>
              <w:t>,3</w:t>
            </w:r>
          </w:p>
        </w:tc>
        <w:tc>
          <w:tcPr>
            <w:tcW w:w="1617" w:type="pct"/>
            <w:tcMar>
              <w:top w:w="0" w:type="dxa"/>
              <w:left w:w="108" w:type="dxa"/>
              <w:bottom w:w="0" w:type="dxa"/>
              <w:right w:w="108" w:type="dxa"/>
            </w:tcMar>
            <w:vAlign w:val="center"/>
          </w:tcPr>
          <w:p>
            <w:pPr>
              <w:pStyle w:val="77"/>
              <w:rPr>
                <w:lang w:eastAsia="da-DK"/>
              </w:rPr>
            </w:pPr>
            <w:r>
              <w:rPr>
                <w:lang w:eastAsia="da-DK"/>
              </w:rPr>
              <w:t>Defined from eGFR or diagnosis*</w:t>
            </w:r>
          </w:p>
          <w:p>
            <w:pPr>
              <w:pStyle w:val="77"/>
              <w:rPr>
                <w:lang w:eastAsia="da-DK"/>
              </w:rPr>
            </w:pPr>
            <w:r>
              <w:rPr>
                <w:lang w:eastAsia="da-DK"/>
              </w:rPr>
              <w:t>(if laboratory value was not available, diagnosis code was used)</w:t>
            </w:r>
          </w:p>
        </w:tc>
        <w:tc>
          <w:tcPr>
            <w:tcW w:w="2061" w:type="pct"/>
            <w:tcMar>
              <w:top w:w="0" w:type="dxa"/>
              <w:left w:w="108" w:type="dxa"/>
              <w:bottom w:w="0" w:type="dxa"/>
              <w:right w:w="108" w:type="dxa"/>
            </w:tcMar>
            <w:vAlign w:val="center"/>
          </w:tcPr>
          <w:p>
            <w:pPr>
              <w:pStyle w:val="77"/>
              <w:rPr>
                <w:rFonts w:eastAsia="Malgun Gothic"/>
                <w:iCs/>
                <w:vertAlign w:val="superscript"/>
                <w:lang w:val="de-DE"/>
              </w:rPr>
            </w:pPr>
            <w:r>
              <w:rPr>
                <w:rFonts w:eastAsia="Malgun Gothic"/>
                <w:iCs/>
                <w:lang w:val="de-DE"/>
              </w:rPr>
              <w:t>eGFR &lt;60mL/min per 1.73 m</w:t>
            </w:r>
            <w:r>
              <w:rPr>
                <w:rFonts w:eastAsia="Malgun Gothic"/>
                <w:iCs/>
                <w:vertAlign w:val="superscript"/>
                <w:lang w:val="de-DE"/>
              </w:rPr>
              <w:t xml:space="preserve">2 </w:t>
            </w:r>
          </w:p>
          <w:p>
            <w:pPr>
              <w:pStyle w:val="77"/>
            </w:pPr>
            <w:r>
              <w:rPr>
                <w:rFonts w:eastAsia="Malgun Gothic"/>
                <w:iCs/>
                <w:lang w:val="de-DE"/>
              </w:rPr>
              <w:t>ICD-10:</w:t>
            </w:r>
            <w:r>
              <w:rPr>
                <w:rFonts w:eastAsia="Malgun Gothic"/>
                <w:iCs/>
                <w:vertAlign w:val="superscript"/>
                <w:lang w:val="de-DE"/>
              </w:rPr>
              <w:t xml:space="preserve"> </w:t>
            </w:r>
            <w:r>
              <w:rPr>
                <w:rFonts w:eastAsia="Malgun Gothic"/>
                <w:iCs/>
                <w:lang w:val="de-DE"/>
              </w:rPr>
              <w:t>N18, N19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322" w:type="pct"/>
            <w:tcMar>
              <w:top w:w="0" w:type="dxa"/>
              <w:left w:w="108" w:type="dxa"/>
              <w:bottom w:w="0" w:type="dxa"/>
              <w:right w:w="108" w:type="dxa"/>
            </w:tcMar>
            <w:vAlign w:val="center"/>
          </w:tcPr>
          <w:p>
            <w:pPr>
              <w:pStyle w:val="77"/>
              <w:rPr>
                <w:rFonts w:eastAsia="Malgun Gothic"/>
              </w:rPr>
            </w:pPr>
            <w:r>
              <w:rPr>
                <w:rFonts w:eastAsia="Malgun Gothic"/>
              </w:rPr>
              <w:t>End-stage renal disease</w:t>
            </w:r>
            <w:r>
              <w:rPr>
                <w:rFonts w:eastAsia="Malgun Gothic"/>
                <w:vertAlign w:val="superscript"/>
              </w:rPr>
              <w:t>6</w:t>
            </w:r>
          </w:p>
        </w:tc>
        <w:tc>
          <w:tcPr>
            <w:tcW w:w="1617" w:type="pct"/>
            <w:tcMar>
              <w:top w:w="0" w:type="dxa"/>
              <w:left w:w="108" w:type="dxa"/>
              <w:bottom w:w="0" w:type="dxa"/>
              <w:right w:w="108" w:type="dxa"/>
            </w:tcMar>
            <w:vAlign w:val="center"/>
          </w:tcPr>
          <w:p>
            <w:pPr>
              <w:pStyle w:val="77"/>
              <w:rPr>
                <w:rFonts w:eastAsia="Malgun Gothic"/>
              </w:rPr>
            </w:pPr>
            <w:r>
              <w:rPr>
                <w:rFonts w:eastAsia="Malgun Gothic"/>
              </w:rPr>
              <w:t>Defined from national registry for severe illness.</w:t>
            </w:r>
          </w:p>
        </w:tc>
        <w:tc>
          <w:tcPr>
            <w:tcW w:w="2061" w:type="pct"/>
            <w:tcMar>
              <w:top w:w="0" w:type="dxa"/>
              <w:left w:w="108" w:type="dxa"/>
              <w:bottom w:w="0" w:type="dxa"/>
              <w:right w:w="108" w:type="dxa"/>
            </w:tcMar>
            <w:vAlign w:val="center"/>
          </w:tcPr>
          <w:p>
            <w:pPr>
              <w:pStyle w:val="77"/>
              <w:rPr>
                <w:rFonts w:eastAsia="Malgun Gothic"/>
              </w:rPr>
            </w:pPr>
            <w:r>
              <w:rPr>
                <w:rFonts w:eastAsia="Malgun Gothic"/>
              </w:rPr>
              <w:t>Patients with end-stage renal disease undergoing chronic dialysis or received a kidney transplant.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322" w:type="pct"/>
            <w:tcMar>
              <w:top w:w="0" w:type="dxa"/>
              <w:left w:w="108" w:type="dxa"/>
              <w:bottom w:w="0" w:type="dxa"/>
              <w:right w:w="108" w:type="dxa"/>
            </w:tcMar>
            <w:vAlign w:val="center"/>
          </w:tcPr>
          <w:p>
            <w:pPr>
              <w:pStyle w:val="77"/>
              <w:rPr>
                <w:rFonts w:eastAsia="Malgun Gothic"/>
              </w:rPr>
            </w:pPr>
            <w:r>
              <w:rPr>
                <w:rFonts w:eastAsia="Malgun Gothic"/>
              </w:rPr>
              <w:t>Hypertrophic cardiomyopathy</w:t>
            </w:r>
            <w:r>
              <w:rPr>
                <w:rFonts w:eastAsia="Malgun Gothic"/>
                <w:vertAlign w:val="superscript"/>
              </w:rPr>
              <w:t>7</w:t>
            </w:r>
          </w:p>
        </w:tc>
        <w:tc>
          <w:tcPr>
            <w:tcW w:w="1617" w:type="pct"/>
            <w:tcMar>
              <w:top w:w="0" w:type="dxa"/>
              <w:left w:w="108" w:type="dxa"/>
              <w:bottom w:w="0" w:type="dxa"/>
              <w:right w:w="108" w:type="dxa"/>
            </w:tcMar>
            <w:vAlign w:val="center"/>
          </w:tcPr>
          <w:p>
            <w:pPr>
              <w:pStyle w:val="77"/>
              <w:rPr>
                <w:rFonts w:eastAsia="Malgun Gothic"/>
              </w:rPr>
            </w:pPr>
            <w:r>
              <w:rPr>
                <w:rFonts w:eastAsia="Malgun Gothic"/>
              </w:rPr>
              <w:t>Defined from at least one records of either inpatient or outpatient diagnoses</w:t>
            </w:r>
          </w:p>
        </w:tc>
        <w:tc>
          <w:tcPr>
            <w:tcW w:w="2061" w:type="pct"/>
            <w:tcMar>
              <w:top w:w="0" w:type="dxa"/>
              <w:left w:w="108" w:type="dxa"/>
              <w:bottom w:w="0" w:type="dxa"/>
              <w:right w:w="108" w:type="dxa"/>
            </w:tcMar>
            <w:vAlign w:val="center"/>
          </w:tcPr>
          <w:p>
            <w:pPr>
              <w:pStyle w:val="77"/>
              <w:rPr>
                <w:rFonts w:eastAsia="Malgun Gothic"/>
              </w:rPr>
            </w:pPr>
            <w:r>
              <w:rPr>
                <w:rFonts w:eastAsia="Malgun Gothic"/>
              </w:rPr>
              <w:t>ICD-10: I42.1, I42.2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322" w:type="pct"/>
            <w:tcMar>
              <w:top w:w="0" w:type="dxa"/>
              <w:left w:w="108" w:type="dxa"/>
              <w:bottom w:w="0" w:type="dxa"/>
              <w:right w:w="108" w:type="dxa"/>
            </w:tcMar>
            <w:vAlign w:val="center"/>
          </w:tcPr>
          <w:p>
            <w:pPr>
              <w:pStyle w:val="77"/>
              <w:rPr>
                <w:rFonts w:eastAsia="Malgun Gothic"/>
              </w:rPr>
            </w:pPr>
            <w:r>
              <w:rPr>
                <w:rFonts w:eastAsia="Malgun Gothic"/>
              </w:rPr>
              <w:t>Sleep apnea</w:t>
            </w:r>
          </w:p>
        </w:tc>
        <w:tc>
          <w:tcPr>
            <w:tcW w:w="1617" w:type="pct"/>
            <w:tcMar>
              <w:top w:w="0" w:type="dxa"/>
              <w:left w:w="108" w:type="dxa"/>
              <w:bottom w:w="0" w:type="dxa"/>
              <w:right w:w="108" w:type="dxa"/>
            </w:tcMar>
            <w:vAlign w:val="center"/>
          </w:tcPr>
          <w:p>
            <w:pPr>
              <w:pStyle w:val="77"/>
              <w:rPr>
                <w:rFonts w:eastAsia="Malgun Gothic"/>
              </w:rPr>
            </w:pPr>
            <w:r>
              <w:rPr>
                <w:lang w:eastAsia="da-DK"/>
              </w:rPr>
              <w:t>Defined from diagnosis*</w:t>
            </w:r>
          </w:p>
        </w:tc>
        <w:tc>
          <w:tcPr>
            <w:tcW w:w="2061" w:type="pct"/>
            <w:tcMar>
              <w:top w:w="0" w:type="dxa"/>
              <w:left w:w="108" w:type="dxa"/>
              <w:bottom w:w="0" w:type="dxa"/>
              <w:right w:w="108" w:type="dxa"/>
            </w:tcMar>
            <w:vAlign w:val="center"/>
          </w:tcPr>
          <w:p>
            <w:pPr>
              <w:pStyle w:val="77"/>
              <w:rPr>
                <w:rFonts w:eastAsia="Malgun Gothic"/>
              </w:rPr>
            </w:pPr>
            <w:r>
              <w:rPr>
                <w:rFonts w:eastAsia="Malgun Gothic"/>
              </w:rPr>
              <w:t>ICD-10: G47.3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322" w:type="pct"/>
            <w:tcMar>
              <w:top w:w="0" w:type="dxa"/>
              <w:left w:w="108" w:type="dxa"/>
              <w:bottom w:w="0" w:type="dxa"/>
              <w:right w:w="108" w:type="dxa"/>
            </w:tcMar>
            <w:vAlign w:val="center"/>
          </w:tcPr>
          <w:p>
            <w:pPr>
              <w:pStyle w:val="77"/>
              <w:rPr>
                <w:rFonts w:eastAsia="Malgun Gothic"/>
              </w:rPr>
            </w:pPr>
            <w:r>
              <w:rPr>
                <w:lang w:eastAsia="da-DK"/>
              </w:rPr>
              <w:t>Proteinuria</w:t>
            </w:r>
          </w:p>
        </w:tc>
        <w:tc>
          <w:tcPr>
            <w:tcW w:w="1617" w:type="pct"/>
            <w:tcMar>
              <w:top w:w="0" w:type="dxa"/>
              <w:left w:w="108" w:type="dxa"/>
              <w:bottom w:w="0" w:type="dxa"/>
              <w:right w:w="108" w:type="dxa"/>
            </w:tcMar>
            <w:vAlign w:val="center"/>
          </w:tcPr>
          <w:p>
            <w:pPr>
              <w:pStyle w:val="77"/>
              <w:rPr>
                <w:rFonts w:eastAsia="Malgun Gothic"/>
              </w:rPr>
            </w:pPr>
            <w:r>
              <w:rPr>
                <w:lang w:eastAsia="da-DK"/>
              </w:rPr>
              <w:t>Defined from laboratory data (if laboratory value was not available, diagnosis code was used)</w:t>
            </w:r>
          </w:p>
        </w:tc>
        <w:tc>
          <w:tcPr>
            <w:tcW w:w="2061" w:type="pct"/>
            <w:tcMar>
              <w:top w:w="0" w:type="dxa"/>
              <w:left w:w="108" w:type="dxa"/>
              <w:bottom w:w="0" w:type="dxa"/>
              <w:right w:w="108" w:type="dxa"/>
            </w:tcMar>
            <w:vAlign w:val="center"/>
          </w:tcPr>
          <w:p>
            <w:pPr>
              <w:pStyle w:val="77"/>
              <w:rPr>
                <w:rFonts w:eastAsia="Malgun Gothic"/>
              </w:rPr>
            </w:pPr>
            <w:r>
              <w:rPr>
                <w:rFonts w:eastAsia="Malgun Gothic"/>
              </w:rPr>
              <w:t xml:space="preserve">Urine dipstick proteinuria 1+ or higher (ICD-10: </w:t>
            </w:r>
            <w:r>
              <w:rPr>
                <w:lang w:eastAsia="da-DK"/>
              </w:rPr>
              <w:t>N06, N391, N392, R80)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322" w:type="pct"/>
            <w:tcMar>
              <w:top w:w="0" w:type="dxa"/>
              <w:left w:w="108" w:type="dxa"/>
              <w:bottom w:w="0" w:type="dxa"/>
              <w:right w:w="108" w:type="dxa"/>
            </w:tcMar>
            <w:vAlign w:val="center"/>
          </w:tcPr>
          <w:p>
            <w:pPr>
              <w:pStyle w:val="77"/>
              <w:rPr>
                <w:rFonts w:eastAsia="Malgun Gothic"/>
              </w:rPr>
            </w:pPr>
            <w:r>
              <w:rPr>
                <w:rFonts w:eastAsia="Malgun Gothic"/>
              </w:rPr>
              <w:t>Osteoporosis</w:t>
            </w:r>
            <w:r>
              <w:rPr>
                <w:rFonts w:eastAsia="Malgun Gothic"/>
                <w:vertAlign w:val="superscript"/>
              </w:rPr>
              <w:t>8</w:t>
            </w:r>
          </w:p>
        </w:tc>
        <w:tc>
          <w:tcPr>
            <w:tcW w:w="1617" w:type="pct"/>
            <w:tcMar>
              <w:top w:w="0" w:type="dxa"/>
              <w:left w:w="108" w:type="dxa"/>
              <w:bottom w:w="0" w:type="dxa"/>
              <w:right w:w="108" w:type="dxa"/>
            </w:tcMar>
            <w:vAlign w:val="center"/>
          </w:tcPr>
          <w:p>
            <w:pPr>
              <w:pStyle w:val="77"/>
              <w:rPr>
                <w:rFonts w:eastAsia="Malgun Gothic"/>
              </w:rPr>
            </w:pPr>
            <w:r>
              <w:rPr>
                <w:lang w:eastAsia="da-DK"/>
              </w:rPr>
              <w:t>Defined from diagnosis*</w:t>
            </w:r>
          </w:p>
        </w:tc>
        <w:tc>
          <w:tcPr>
            <w:tcW w:w="2061" w:type="pct"/>
            <w:tcMar>
              <w:top w:w="0" w:type="dxa"/>
              <w:left w:w="108" w:type="dxa"/>
              <w:bottom w:w="0" w:type="dxa"/>
              <w:right w:w="108" w:type="dxa"/>
            </w:tcMar>
            <w:vAlign w:val="center"/>
          </w:tcPr>
          <w:p>
            <w:pPr>
              <w:pStyle w:val="77"/>
              <w:rPr>
                <w:rFonts w:eastAsia="Malgun Gothic"/>
              </w:rPr>
            </w:pPr>
            <w:r>
              <w:rPr>
                <w:rFonts w:eastAsia="Malgun Gothic"/>
              </w:rPr>
              <w:t xml:space="preserve">ICD-10: </w:t>
            </w:r>
            <w:r>
              <w:rPr>
                <w:lang w:eastAsia="da-DK"/>
              </w:rPr>
              <w:t>M80, M81, M82 (except M82.0)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0" w:hRule="atLeast"/>
          <w:jc w:val="center"/>
        </w:trPr>
        <w:tc>
          <w:tcPr>
            <w:tcW w:w="1322" w:type="pct"/>
            <w:tcMar>
              <w:top w:w="0" w:type="dxa"/>
              <w:left w:w="108" w:type="dxa"/>
              <w:bottom w:w="0" w:type="dxa"/>
              <w:right w:w="108" w:type="dxa"/>
            </w:tcMar>
            <w:vAlign w:val="center"/>
          </w:tcPr>
          <w:p>
            <w:pPr>
              <w:pStyle w:val="77"/>
              <w:rPr>
                <w:rFonts w:eastAsia="Malgun Gothic"/>
              </w:rPr>
            </w:pPr>
            <w:r>
              <w:rPr>
                <w:lang w:eastAsia="da-DK"/>
              </w:rPr>
              <w:t>Hyperthyroidism</w:t>
            </w:r>
          </w:p>
        </w:tc>
        <w:tc>
          <w:tcPr>
            <w:tcW w:w="1617" w:type="pct"/>
            <w:tcMar>
              <w:top w:w="0" w:type="dxa"/>
              <w:left w:w="108" w:type="dxa"/>
              <w:bottom w:w="0" w:type="dxa"/>
              <w:right w:w="108" w:type="dxa"/>
            </w:tcMar>
            <w:vAlign w:val="center"/>
          </w:tcPr>
          <w:p>
            <w:pPr>
              <w:pStyle w:val="77"/>
              <w:rPr>
                <w:rFonts w:eastAsia="Malgun Gothic"/>
              </w:rPr>
            </w:pPr>
            <w:r>
              <w:rPr>
                <w:lang w:eastAsia="da-DK"/>
              </w:rPr>
              <w:t>Defined from diagnosis*</w:t>
            </w:r>
          </w:p>
        </w:tc>
        <w:tc>
          <w:tcPr>
            <w:tcW w:w="2061" w:type="pct"/>
            <w:tcMar>
              <w:top w:w="0" w:type="dxa"/>
              <w:left w:w="108" w:type="dxa"/>
              <w:bottom w:w="0" w:type="dxa"/>
              <w:right w:w="108" w:type="dxa"/>
            </w:tcMar>
            <w:vAlign w:val="center"/>
          </w:tcPr>
          <w:p>
            <w:pPr>
              <w:pStyle w:val="77"/>
              <w:rPr>
                <w:rFonts w:eastAsia="Malgun Gothic"/>
              </w:rPr>
            </w:pPr>
            <w:r>
              <w:rPr>
                <w:rFonts w:eastAsia="Malgun Gothic"/>
              </w:rPr>
              <w:t xml:space="preserve">ICD-10: </w:t>
            </w:r>
            <w:r>
              <w:rPr>
                <w:lang w:eastAsia="da-DK"/>
              </w:rPr>
              <w:t>E05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322" w:type="pct"/>
            <w:tcMar>
              <w:top w:w="0" w:type="dxa"/>
              <w:left w:w="108" w:type="dxa"/>
              <w:bottom w:w="0" w:type="dxa"/>
              <w:right w:w="108" w:type="dxa"/>
            </w:tcMar>
            <w:vAlign w:val="center"/>
          </w:tcPr>
          <w:p>
            <w:pPr>
              <w:pStyle w:val="77"/>
              <w:rPr>
                <w:rFonts w:eastAsia="Malgun Gothic"/>
              </w:rPr>
            </w:pPr>
            <w:r>
              <w:rPr>
                <w:lang w:eastAsia="da-DK"/>
              </w:rPr>
              <w:t>Hypothyroidism</w:t>
            </w:r>
          </w:p>
        </w:tc>
        <w:tc>
          <w:tcPr>
            <w:tcW w:w="1617" w:type="pct"/>
            <w:tcMar>
              <w:top w:w="0" w:type="dxa"/>
              <w:left w:w="108" w:type="dxa"/>
              <w:bottom w:w="0" w:type="dxa"/>
              <w:right w:w="108" w:type="dxa"/>
            </w:tcMar>
            <w:vAlign w:val="center"/>
          </w:tcPr>
          <w:p>
            <w:pPr>
              <w:pStyle w:val="77"/>
              <w:rPr>
                <w:rFonts w:eastAsia="Malgun Gothic"/>
              </w:rPr>
            </w:pPr>
            <w:r>
              <w:rPr>
                <w:lang w:eastAsia="da-DK"/>
              </w:rPr>
              <w:t>Defined from diagnosis*</w:t>
            </w:r>
          </w:p>
        </w:tc>
        <w:tc>
          <w:tcPr>
            <w:tcW w:w="2061" w:type="pct"/>
            <w:tcMar>
              <w:top w:w="0" w:type="dxa"/>
              <w:left w:w="108" w:type="dxa"/>
              <w:bottom w:w="0" w:type="dxa"/>
              <w:right w:w="108" w:type="dxa"/>
            </w:tcMar>
            <w:vAlign w:val="center"/>
          </w:tcPr>
          <w:p>
            <w:pPr>
              <w:pStyle w:val="77"/>
              <w:rPr>
                <w:rFonts w:eastAsia="Malgun Gothic"/>
              </w:rPr>
            </w:pPr>
            <w:r>
              <w:rPr>
                <w:rFonts w:eastAsia="Malgun Gothic"/>
              </w:rPr>
              <w:t xml:space="preserve">ICD-10: </w:t>
            </w:r>
            <w:r>
              <w:rPr>
                <w:lang w:eastAsia="da-DK"/>
              </w:rPr>
              <w:t>E03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322" w:type="pct"/>
            <w:tcMar>
              <w:top w:w="0" w:type="dxa"/>
              <w:left w:w="108" w:type="dxa"/>
              <w:bottom w:w="0" w:type="dxa"/>
              <w:right w:w="108" w:type="dxa"/>
            </w:tcMar>
            <w:vAlign w:val="center"/>
          </w:tcPr>
          <w:p>
            <w:pPr>
              <w:pStyle w:val="77"/>
              <w:rPr>
                <w:rFonts w:eastAsia="Malgun Gothic"/>
              </w:rPr>
            </w:pPr>
            <w:r>
              <w:rPr>
                <w:rFonts w:eastAsia="Malgun Gothic"/>
              </w:rPr>
              <w:t>Chronic Liver disease</w:t>
            </w:r>
          </w:p>
        </w:tc>
        <w:tc>
          <w:tcPr>
            <w:tcW w:w="1617" w:type="pct"/>
            <w:tcMar>
              <w:top w:w="0" w:type="dxa"/>
              <w:left w:w="108" w:type="dxa"/>
              <w:bottom w:w="0" w:type="dxa"/>
              <w:right w:w="108" w:type="dxa"/>
            </w:tcMar>
            <w:vAlign w:val="center"/>
          </w:tcPr>
          <w:p>
            <w:pPr>
              <w:pStyle w:val="77"/>
              <w:rPr>
                <w:rFonts w:eastAsia="Malgun Gothic"/>
              </w:rPr>
            </w:pPr>
            <w:r>
              <w:rPr>
                <w:rFonts w:eastAsia="Malgun Gothic"/>
              </w:rPr>
              <w:t>Defined from diagnosis of chronic liver disease, cirrhosis, and hepatitis</w:t>
            </w:r>
          </w:p>
        </w:tc>
        <w:tc>
          <w:tcPr>
            <w:tcW w:w="2061" w:type="pct"/>
            <w:tcMar>
              <w:top w:w="0" w:type="dxa"/>
              <w:left w:w="108" w:type="dxa"/>
              <w:bottom w:w="0" w:type="dxa"/>
              <w:right w:w="108" w:type="dxa"/>
            </w:tcMar>
            <w:vAlign w:val="center"/>
          </w:tcPr>
          <w:p>
            <w:pPr>
              <w:pStyle w:val="77"/>
              <w:rPr>
                <w:rFonts w:eastAsia="Malgun Gothic"/>
              </w:rPr>
            </w:pPr>
            <w:r>
              <w:rPr>
                <w:rFonts w:eastAsia="Calibri"/>
                <w:iCs/>
                <w:lang w:eastAsia="da-DK"/>
              </w:rPr>
              <w:t>ICD-10</w:t>
            </w:r>
            <w:r>
              <w:rPr>
                <w:rFonts w:eastAsia="Calibri"/>
                <w:lang w:eastAsia="da-DK"/>
              </w:rPr>
              <w:t>: </w:t>
            </w:r>
            <w:r>
              <w:rPr>
                <w:rFonts w:eastAsia="Malgun Gothic"/>
              </w:rPr>
              <w:t>B18, K70, K71, K72, K73, K74, K76.1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322" w:type="pct"/>
            <w:tcMar>
              <w:top w:w="0" w:type="dxa"/>
              <w:left w:w="108" w:type="dxa"/>
              <w:bottom w:w="0" w:type="dxa"/>
              <w:right w:w="108" w:type="dxa"/>
            </w:tcMar>
            <w:vAlign w:val="center"/>
          </w:tcPr>
          <w:p>
            <w:pPr>
              <w:pStyle w:val="77"/>
              <w:rPr>
                <w:rFonts w:eastAsia="Malgun Gothic"/>
              </w:rPr>
            </w:pPr>
            <w:r>
              <w:rPr>
                <w:rFonts w:eastAsia="Malgun Gothic"/>
              </w:rPr>
              <w:t>Chronic obstructive pulmonary disease</w:t>
            </w:r>
            <w:r>
              <w:rPr>
                <w:rFonts w:eastAsia="Malgun Gothic"/>
                <w:vertAlign w:val="superscript"/>
              </w:rPr>
              <w:t>9</w:t>
            </w:r>
          </w:p>
        </w:tc>
        <w:tc>
          <w:tcPr>
            <w:tcW w:w="1617" w:type="pct"/>
            <w:tcMar>
              <w:top w:w="0" w:type="dxa"/>
              <w:left w:w="108" w:type="dxa"/>
              <w:bottom w:w="0" w:type="dxa"/>
              <w:right w:w="108" w:type="dxa"/>
            </w:tcMar>
            <w:vAlign w:val="center"/>
          </w:tcPr>
          <w:p>
            <w:pPr>
              <w:pStyle w:val="77"/>
              <w:rPr>
                <w:rFonts w:eastAsia="Malgun Gothic"/>
              </w:rPr>
            </w:pPr>
            <w:r>
              <w:rPr>
                <w:rFonts w:eastAsia="Malgun Gothic"/>
              </w:rPr>
              <w:t>Defined from diagnosis* plus treatment</w:t>
            </w:r>
          </w:p>
        </w:tc>
        <w:tc>
          <w:tcPr>
            <w:tcW w:w="2061" w:type="pct"/>
            <w:tcMar>
              <w:top w:w="0" w:type="dxa"/>
              <w:left w:w="108" w:type="dxa"/>
              <w:bottom w:w="0" w:type="dxa"/>
              <w:right w:w="108" w:type="dxa"/>
            </w:tcMar>
            <w:vAlign w:val="center"/>
          </w:tcPr>
          <w:p>
            <w:pPr>
              <w:pStyle w:val="77"/>
              <w:rPr>
                <w:rFonts w:eastAsia="Malgun Gothic"/>
              </w:rPr>
            </w:pPr>
            <w:r>
              <w:rPr>
                <w:rFonts w:eastAsia="Calibri"/>
                <w:iCs/>
                <w:lang w:eastAsia="da-DK"/>
              </w:rPr>
              <w:t>ICD-10</w:t>
            </w:r>
            <w:r>
              <w:rPr>
                <w:rFonts w:eastAsia="Calibri"/>
                <w:lang w:eastAsia="da-DK"/>
              </w:rPr>
              <w:t>: </w:t>
            </w:r>
            <w:r>
              <w:rPr>
                <w:rFonts w:eastAsia="Malgun Gothic"/>
              </w:rPr>
              <w:t>J42, J43(except J43.0), J44</w:t>
            </w:r>
          </w:p>
          <w:p>
            <w:pPr>
              <w:pStyle w:val="77"/>
              <w:rPr>
                <w:rFonts w:eastAsia="Malgun Gothic"/>
              </w:rPr>
            </w:pPr>
            <w:r>
              <w:rPr>
                <w:rFonts w:eastAsia="Malgun Gothic"/>
              </w:rPr>
              <w:t>Treatment: SABA, SAMA, LABA, LAMA, ICS, ICS+LABA, or methylxanthine (&gt;1 months).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322" w:type="pct"/>
            <w:tcMar>
              <w:top w:w="0" w:type="dxa"/>
              <w:left w:w="108" w:type="dxa"/>
              <w:bottom w:w="0" w:type="dxa"/>
              <w:right w:w="108" w:type="dxa"/>
            </w:tcMar>
            <w:vAlign w:val="center"/>
          </w:tcPr>
          <w:p>
            <w:pPr>
              <w:pStyle w:val="77"/>
              <w:rPr>
                <w:rFonts w:eastAsia="Malgun Gothic"/>
              </w:rPr>
            </w:pPr>
            <w:r>
              <w:rPr>
                <w:rFonts w:eastAsia="Malgun Gothic"/>
              </w:rPr>
              <w:t>Malignancy</w:t>
            </w:r>
          </w:p>
        </w:tc>
        <w:tc>
          <w:tcPr>
            <w:tcW w:w="1617" w:type="pct"/>
            <w:tcMar>
              <w:top w:w="0" w:type="dxa"/>
              <w:left w:w="108" w:type="dxa"/>
              <w:bottom w:w="0" w:type="dxa"/>
              <w:right w:w="108" w:type="dxa"/>
            </w:tcMar>
            <w:vAlign w:val="center"/>
          </w:tcPr>
          <w:p>
            <w:pPr>
              <w:pStyle w:val="77"/>
              <w:rPr>
                <w:rFonts w:eastAsia="Malgun Gothic"/>
              </w:rPr>
            </w:pPr>
            <w:r>
              <w:rPr>
                <w:rFonts w:eastAsia="Malgun Gothic"/>
              </w:rPr>
              <w:t>Defined from diagnoses of cancer (non-benign)</w:t>
            </w:r>
          </w:p>
        </w:tc>
        <w:tc>
          <w:tcPr>
            <w:tcW w:w="2061" w:type="pct"/>
            <w:tcMar>
              <w:top w:w="0" w:type="dxa"/>
              <w:left w:w="108" w:type="dxa"/>
              <w:bottom w:w="0" w:type="dxa"/>
              <w:right w:w="108" w:type="dxa"/>
            </w:tcMar>
            <w:vAlign w:val="center"/>
          </w:tcPr>
          <w:p>
            <w:pPr>
              <w:pStyle w:val="77"/>
              <w:rPr>
                <w:rFonts w:eastAsia="Malgun Gothic"/>
              </w:rPr>
            </w:pPr>
            <w:r>
              <w:rPr>
                <w:rFonts w:eastAsia="Malgun Gothic"/>
              </w:rPr>
              <w:t>ICD-10: C00-C97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322" w:type="pct"/>
            <w:tcMar>
              <w:top w:w="0" w:type="dxa"/>
              <w:left w:w="108" w:type="dxa"/>
              <w:bottom w:w="0" w:type="dxa"/>
              <w:right w:w="108" w:type="dxa"/>
            </w:tcMar>
            <w:vAlign w:val="center"/>
          </w:tcPr>
          <w:p>
            <w:pPr>
              <w:pStyle w:val="77"/>
              <w:rPr>
                <w:rFonts w:eastAsia="Malgun Gothic"/>
              </w:rPr>
            </w:pPr>
            <w:r>
              <w:rPr>
                <w:rFonts w:eastAsia="Malgun Gothic"/>
              </w:rPr>
              <w:t>Clinical outcomes</w:t>
            </w:r>
          </w:p>
        </w:tc>
        <w:tc>
          <w:tcPr>
            <w:tcW w:w="1617" w:type="pct"/>
            <w:tcMar>
              <w:top w:w="0" w:type="dxa"/>
              <w:left w:w="108" w:type="dxa"/>
              <w:bottom w:w="0" w:type="dxa"/>
              <w:right w:w="108" w:type="dxa"/>
            </w:tcMar>
            <w:vAlign w:val="center"/>
          </w:tcPr>
          <w:p>
            <w:pPr>
              <w:pStyle w:val="77"/>
              <w:rPr>
                <w:rFonts w:eastAsia="Malgun Gothic"/>
              </w:rPr>
            </w:pPr>
          </w:p>
        </w:tc>
        <w:tc>
          <w:tcPr>
            <w:tcW w:w="2061" w:type="pct"/>
            <w:tcMar>
              <w:top w:w="0" w:type="dxa"/>
              <w:left w:w="108" w:type="dxa"/>
              <w:bottom w:w="0" w:type="dxa"/>
              <w:right w:w="108" w:type="dxa"/>
            </w:tcMar>
            <w:vAlign w:val="center"/>
          </w:tcPr>
          <w:p>
            <w:pPr>
              <w:pStyle w:val="77"/>
              <w:rPr>
                <w:rFonts w:eastAsia="Malgun Gothic"/>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322" w:type="pct"/>
            <w:tcMar>
              <w:top w:w="0" w:type="dxa"/>
              <w:left w:w="108" w:type="dxa"/>
              <w:bottom w:w="0" w:type="dxa"/>
              <w:right w:w="108" w:type="dxa"/>
            </w:tcMar>
            <w:vAlign w:val="center"/>
          </w:tcPr>
          <w:p>
            <w:pPr>
              <w:pStyle w:val="77"/>
              <w:rPr>
                <w:rFonts w:eastAsia="Malgun Gothic"/>
              </w:rPr>
            </w:pPr>
            <w:r>
              <w:rPr>
                <w:rFonts w:eastAsia="Malgun Gothic"/>
              </w:rPr>
              <w:t>Coronary heart disease</w:t>
            </w:r>
          </w:p>
        </w:tc>
        <w:tc>
          <w:tcPr>
            <w:tcW w:w="1617" w:type="pct"/>
            <w:tcMar>
              <w:top w:w="0" w:type="dxa"/>
              <w:left w:w="108" w:type="dxa"/>
              <w:bottom w:w="0" w:type="dxa"/>
              <w:right w:w="108" w:type="dxa"/>
            </w:tcMar>
            <w:vAlign w:val="center"/>
          </w:tcPr>
          <w:p>
            <w:pPr>
              <w:pStyle w:val="77"/>
              <w:rPr>
                <w:rFonts w:eastAsia="Malgun Gothic"/>
              </w:rPr>
            </w:pPr>
            <w:r>
              <w:rPr>
                <w:sz w:val="24"/>
                <w:szCs w:val="24"/>
                <w:lang w:eastAsia="da-DK"/>
              </w:rPr>
              <w:t xml:space="preserve">Defined from an event of acute </w:t>
            </w:r>
            <w:r>
              <w:rPr>
                <w:rFonts w:eastAsia="Calibri"/>
                <w:lang w:eastAsia="da-DK"/>
              </w:rPr>
              <w:t>myocardial infarction</w:t>
            </w:r>
            <w:r>
              <w:rPr>
                <w:sz w:val="24"/>
                <w:szCs w:val="24"/>
                <w:lang w:eastAsia="da-DK"/>
              </w:rPr>
              <w:t xml:space="preserve">, coronary revascularization, or </w:t>
            </w:r>
            <w:bookmarkStart w:id="0" w:name="_Hlk40655501"/>
            <w:r>
              <w:rPr>
                <w:sz w:val="24"/>
                <w:szCs w:val="24"/>
                <w:lang w:eastAsia="da-DK"/>
              </w:rPr>
              <w:t xml:space="preserve">death of which the cause was recorded as a </w:t>
            </w:r>
            <w:r>
              <w:rPr>
                <w:rFonts w:eastAsia="Malgun Gothic"/>
                <w:sz w:val="24"/>
                <w:szCs w:val="24"/>
              </w:rPr>
              <w:t xml:space="preserve">coronary artery disease or </w:t>
            </w:r>
            <w:r>
              <w:rPr>
                <w:rFonts w:eastAsia="Calibri"/>
                <w:lang w:eastAsia="da-DK"/>
              </w:rPr>
              <w:t>myocardial infarction</w:t>
            </w:r>
            <w:bookmarkEnd w:id="0"/>
          </w:p>
        </w:tc>
        <w:tc>
          <w:tcPr>
            <w:tcW w:w="2061" w:type="pct"/>
            <w:tcMar>
              <w:top w:w="0" w:type="dxa"/>
              <w:left w:w="108" w:type="dxa"/>
              <w:bottom w:w="0" w:type="dxa"/>
              <w:right w:w="108" w:type="dxa"/>
            </w:tcMar>
            <w:vAlign w:val="center"/>
          </w:tcPr>
          <w:p>
            <w:pPr>
              <w:pStyle w:val="77"/>
              <w:rPr>
                <w:rFonts w:eastAsia="Malgun Gothic"/>
              </w:rPr>
            </w:pPr>
            <w:r>
              <w:rPr>
                <w:rFonts w:eastAsia="Malgun Gothic"/>
              </w:rPr>
              <w:t>Acute myocardial infarction: a</w:t>
            </w:r>
            <w:r>
              <w:rPr>
                <w:sz w:val="24"/>
                <w:szCs w:val="24"/>
                <w:lang w:eastAsia="da-DK"/>
              </w:rPr>
              <w:t xml:space="preserve">dmission diagnosis (ICD-10: </w:t>
            </w:r>
            <w:r>
              <w:rPr>
                <w:rFonts w:hint="eastAsia"/>
                <w:sz w:val="24"/>
                <w:szCs w:val="24"/>
                <w:lang w:eastAsia="da-DK"/>
              </w:rPr>
              <w:t>I</w:t>
            </w:r>
            <w:r>
              <w:rPr>
                <w:sz w:val="24"/>
                <w:szCs w:val="24"/>
                <w:lang w:eastAsia="da-DK"/>
              </w:rPr>
              <w:t xml:space="preserve">21, I22) concurrently with coronary angiography </w:t>
            </w:r>
            <w:r>
              <w:rPr>
                <w:rFonts w:eastAsia="Malgun Gothic"/>
              </w:rPr>
              <w:t>(HA670, HA680, HA681)</w:t>
            </w:r>
          </w:p>
          <w:p>
            <w:pPr>
              <w:pStyle w:val="77"/>
              <w:rPr>
                <w:rFonts w:eastAsia="Malgun Gothic"/>
              </w:rPr>
            </w:pPr>
            <w:r>
              <w:rPr>
                <w:sz w:val="24"/>
                <w:szCs w:val="24"/>
                <w:lang w:eastAsia="da-DK"/>
              </w:rPr>
              <w:t>Coronary revascularization:</w:t>
            </w:r>
            <w:r>
              <w:rPr>
                <w:rFonts w:hint="eastAsia" w:eastAsia="Malgun Gothic"/>
              </w:rPr>
              <w:t xml:space="preserve"> </w:t>
            </w:r>
            <w:r>
              <w:rPr>
                <w:rFonts w:eastAsia="Malgun Gothic"/>
              </w:rPr>
              <w:t>percutaneous coronary intervention (M6551, M6552, M6561, M6563, M6562, M6564, M6571, M6572), thrombolytic treatment (M6634), or coronary artery bypass graft (O1641, OA641, O1642, OA642, O1647, OA647)</w:t>
            </w:r>
          </w:p>
          <w:p>
            <w:pPr>
              <w:pStyle w:val="77"/>
              <w:rPr>
                <w:sz w:val="24"/>
                <w:szCs w:val="24"/>
                <w:lang w:eastAsia="da-DK"/>
              </w:rPr>
            </w:pPr>
            <w:r>
              <w:rPr>
                <w:sz w:val="24"/>
                <w:szCs w:val="24"/>
                <w:lang w:eastAsia="da-DK"/>
              </w:rPr>
              <w:t xml:space="preserve">Coronary artery disease or </w:t>
            </w:r>
            <w:r>
              <w:rPr>
                <w:rFonts w:eastAsia="Calibri"/>
                <w:lang w:eastAsia="da-DK"/>
              </w:rPr>
              <w:t>myocardial infarction</w:t>
            </w:r>
            <w:r>
              <w:rPr>
                <w:sz w:val="24"/>
                <w:szCs w:val="24"/>
                <w:lang w:eastAsia="da-DK"/>
              </w:rPr>
              <w:t xml:space="preserve">: </w:t>
            </w:r>
          </w:p>
          <w:p>
            <w:pPr>
              <w:pStyle w:val="77"/>
              <w:rPr>
                <w:sz w:val="24"/>
                <w:szCs w:val="24"/>
                <w:lang w:eastAsia="da-DK"/>
              </w:rPr>
            </w:pPr>
            <w:r>
              <w:rPr>
                <w:sz w:val="24"/>
                <w:szCs w:val="24"/>
                <w:lang w:eastAsia="da-DK"/>
              </w:rPr>
              <w:t>ICD-10: I20, I21, I22, I23, I25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322" w:type="pct"/>
            <w:tcMar>
              <w:top w:w="0" w:type="dxa"/>
              <w:left w:w="108" w:type="dxa"/>
              <w:bottom w:w="0" w:type="dxa"/>
              <w:right w:w="108" w:type="dxa"/>
            </w:tcMar>
            <w:vAlign w:val="center"/>
          </w:tcPr>
          <w:p>
            <w:pPr>
              <w:pStyle w:val="77"/>
              <w:rPr>
                <w:rFonts w:eastAsia="Calibri"/>
                <w:lang w:eastAsia="da-DK"/>
              </w:rPr>
            </w:pPr>
            <w:r>
              <w:rPr>
                <w:rFonts w:eastAsia="Calibri"/>
                <w:color w:val="000000" w:themeColor="text1"/>
                <w:lang w:eastAsia="da-DK"/>
                <w14:textFill>
                  <w14:solidFill>
                    <w14:schemeClr w14:val="tx1"/>
                  </w14:solidFill>
                </w14:textFill>
              </w:rPr>
              <w:t>Ischemic stroke</w:t>
            </w:r>
            <w:r>
              <w:rPr>
                <w:rFonts w:eastAsia="Calibri"/>
                <w:color w:val="000000" w:themeColor="text1"/>
                <w:vertAlign w:val="superscript"/>
                <w:lang w:eastAsia="da-DK"/>
                <w14:textFill>
                  <w14:solidFill>
                    <w14:schemeClr w14:val="tx1"/>
                  </w14:solidFill>
                </w14:textFill>
              </w:rPr>
              <w:t>1,3</w:t>
            </w:r>
          </w:p>
        </w:tc>
        <w:tc>
          <w:tcPr>
            <w:tcW w:w="1617" w:type="pct"/>
            <w:tcMar>
              <w:top w:w="0" w:type="dxa"/>
              <w:left w:w="108" w:type="dxa"/>
              <w:bottom w:w="0" w:type="dxa"/>
              <w:right w:w="108" w:type="dxa"/>
            </w:tcMar>
            <w:vAlign w:val="center"/>
          </w:tcPr>
          <w:p>
            <w:pPr>
              <w:pStyle w:val="77"/>
              <w:rPr>
                <w:rFonts w:eastAsia="Calibri"/>
                <w:lang w:eastAsia="da-DK"/>
              </w:rPr>
            </w:pPr>
            <w:r>
              <w:rPr>
                <w:rFonts w:eastAsia="Calibri"/>
                <w:lang w:eastAsia="da-DK"/>
              </w:rPr>
              <w:t>Defined from any discharge diagnoses with concomitant imaging studies</w:t>
            </w:r>
          </w:p>
        </w:tc>
        <w:tc>
          <w:tcPr>
            <w:tcW w:w="2061" w:type="pct"/>
            <w:tcMar>
              <w:top w:w="0" w:type="dxa"/>
              <w:left w:w="108" w:type="dxa"/>
              <w:bottom w:w="0" w:type="dxa"/>
              <w:right w:w="108" w:type="dxa"/>
            </w:tcMar>
            <w:vAlign w:val="center"/>
          </w:tcPr>
          <w:p>
            <w:pPr>
              <w:pStyle w:val="77"/>
              <w:rPr>
                <w:rFonts w:eastAsia="Calibri"/>
                <w:lang w:eastAsia="da-DK"/>
              </w:rPr>
            </w:pPr>
            <w:r>
              <w:rPr>
                <w:rFonts w:eastAsia="Calibri"/>
                <w:iCs/>
                <w:lang w:eastAsia="da-DK"/>
              </w:rPr>
              <w:t>ICD-10</w:t>
            </w:r>
            <w:r>
              <w:rPr>
                <w:rFonts w:eastAsia="Calibri"/>
                <w:lang w:eastAsia="da-DK"/>
              </w:rPr>
              <w:t>: I63, I64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322" w:type="pct"/>
            <w:tcMar>
              <w:top w:w="0" w:type="dxa"/>
              <w:left w:w="108" w:type="dxa"/>
              <w:bottom w:w="0" w:type="dxa"/>
              <w:right w:w="108" w:type="dxa"/>
            </w:tcMar>
            <w:vAlign w:val="center"/>
          </w:tcPr>
          <w:p>
            <w:pPr>
              <w:pStyle w:val="77"/>
              <w:rPr>
                <w:rFonts w:eastAsia="Calibri"/>
                <w:lang w:eastAsia="da-DK"/>
              </w:rPr>
            </w:pPr>
            <w:r>
              <w:rPr>
                <w:lang w:eastAsia="da-DK"/>
              </w:rPr>
              <w:t>Systemic embolism</w:t>
            </w:r>
          </w:p>
        </w:tc>
        <w:tc>
          <w:tcPr>
            <w:tcW w:w="1617" w:type="pct"/>
            <w:tcMar>
              <w:top w:w="0" w:type="dxa"/>
              <w:left w:w="108" w:type="dxa"/>
              <w:bottom w:w="0" w:type="dxa"/>
              <w:right w:w="108" w:type="dxa"/>
            </w:tcMar>
            <w:vAlign w:val="center"/>
          </w:tcPr>
          <w:p>
            <w:pPr>
              <w:pStyle w:val="77"/>
              <w:rPr>
                <w:rFonts w:eastAsia="Calibri"/>
                <w:lang w:eastAsia="da-DK"/>
              </w:rPr>
            </w:pPr>
            <w:r>
              <w:rPr>
                <w:lang w:eastAsia="da-DK"/>
              </w:rPr>
              <w:t>Defined from admission diagnosis or related death</w:t>
            </w:r>
          </w:p>
        </w:tc>
        <w:tc>
          <w:tcPr>
            <w:tcW w:w="2061" w:type="pct"/>
            <w:tcMar>
              <w:top w:w="0" w:type="dxa"/>
              <w:left w:w="108" w:type="dxa"/>
              <w:bottom w:w="0" w:type="dxa"/>
              <w:right w:w="108" w:type="dxa"/>
            </w:tcMar>
            <w:vAlign w:val="center"/>
          </w:tcPr>
          <w:p>
            <w:pPr>
              <w:pStyle w:val="77"/>
              <w:rPr>
                <w:rFonts w:eastAsia="Calibri"/>
                <w:iCs/>
                <w:lang w:eastAsia="da-DK"/>
              </w:rPr>
            </w:pPr>
            <w:r>
              <w:rPr>
                <w:rFonts w:eastAsia="Calibri"/>
                <w:iCs/>
                <w:lang w:eastAsia="da-DK"/>
              </w:rPr>
              <w:t>ICD-10</w:t>
            </w:r>
            <w:r>
              <w:rPr>
                <w:rFonts w:eastAsia="Calibri"/>
                <w:lang w:eastAsia="da-DK"/>
              </w:rPr>
              <w:t>: </w:t>
            </w:r>
            <w:r>
              <w:rPr>
                <w:lang w:eastAsia="da-DK"/>
              </w:rPr>
              <w:t>I74, N280 (including renal infarction)</w:t>
            </w:r>
          </w:p>
        </w:tc>
      </w:tr>
    </w:tbl>
    <w:p>
      <w:pPr>
        <w:pStyle w:val="57"/>
        <w:rPr>
          <w:rFonts w:eastAsia="MS Mincho"/>
        </w:rPr>
        <w:sectPr>
          <w:pgSz w:w="11906" w:h="16838"/>
          <w:pgMar w:top="1701" w:right="1440" w:bottom="1440" w:left="1440" w:header="851" w:footer="992" w:gutter="0"/>
          <w:cols w:space="425" w:num="1"/>
          <w:docGrid w:linePitch="360" w:charSpace="0"/>
        </w:sectPr>
      </w:pPr>
      <w:r>
        <w:t>Abbreviations: eGFR, estimated glomerular filtration rate; ICD-10,</w:t>
      </w:r>
      <w:r>
        <w:rPr>
          <w:rFonts w:eastAsia="MS Mincho"/>
        </w:rPr>
        <w:t xml:space="preserve"> International Classification of Diseases-10th Revision.</w:t>
      </w:r>
      <w:r>
        <w:rPr>
          <w:rFonts w:hint="eastAsia" w:eastAsia="等线"/>
        </w:rPr>
        <w:t xml:space="preserve"> </w:t>
      </w:r>
      <w:r>
        <w:t>*To ensure accuracy, comorbidities were established based on one inpatient or two outpatient records of ICD-10 codes in the database.</w:t>
      </w:r>
    </w:p>
    <w:p>
      <w:pPr>
        <w:pStyle w:val="56"/>
      </w:pPr>
      <w:r>
        <w:rPr>
          <w:bCs/>
        </w:rPr>
        <w:t xml:space="preserve">Supplementary Table </w:t>
      </w:r>
      <w:r>
        <w:t>2. Risk of all-cause mortality, cardiovascular mortality, and non-cardiovascular disease related mortality according to physical activity among older adults with heart failure.</w:t>
      </w:r>
    </w:p>
    <w:tbl>
      <w:tblPr>
        <w:tblStyle w:val="2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547"/>
        <w:gridCol w:w="1417"/>
        <w:gridCol w:w="1418"/>
        <w:gridCol w:w="1276"/>
        <w:gridCol w:w="2268"/>
        <w:gridCol w:w="1275"/>
        <w:gridCol w:w="2268"/>
        <w:gridCol w:w="12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1" w:hRule="atLeast"/>
          <w:jc w:val="center"/>
        </w:trPr>
        <w:tc>
          <w:tcPr>
            <w:tcW w:w="2547" w:type="dxa"/>
            <w:vAlign w:val="center"/>
          </w:tcPr>
          <w:p>
            <w:pPr>
              <w:pStyle w:val="77"/>
              <w:jc w:val="left"/>
              <w:rPr>
                <w:kern w:val="0"/>
              </w:rPr>
            </w:pPr>
          </w:p>
        </w:tc>
        <w:tc>
          <w:tcPr>
            <w:tcW w:w="1417" w:type="dxa"/>
            <w:vAlign w:val="center"/>
          </w:tcPr>
          <w:p>
            <w:pPr>
              <w:pStyle w:val="77"/>
              <w:jc w:val="left"/>
              <w:rPr>
                <w:kern w:val="0"/>
              </w:rPr>
            </w:pPr>
            <w:r>
              <w:rPr>
                <w:kern w:val="0"/>
              </w:rPr>
              <w:t>Patients (n)</w:t>
            </w:r>
          </w:p>
        </w:tc>
        <w:tc>
          <w:tcPr>
            <w:tcW w:w="1418" w:type="dxa"/>
            <w:vAlign w:val="center"/>
          </w:tcPr>
          <w:p>
            <w:pPr>
              <w:pStyle w:val="77"/>
              <w:jc w:val="left"/>
              <w:rPr>
                <w:kern w:val="0"/>
              </w:rPr>
            </w:pPr>
            <w:r>
              <w:rPr>
                <w:kern w:val="0"/>
              </w:rPr>
              <w:t>Events (n)</w:t>
            </w:r>
          </w:p>
        </w:tc>
        <w:tc>
          <w:tcPr>
            <w:tcW w:w="1276" w:type="dxa"/>
            <w:vAlign w:val="center"/>
          </w:tcPr>
          <w:p>
            <w:pPr>
              <w:pStyle w:val="77"/>
              <w:jc w:val="left"/>
              <w:rPr>
                <w:kern w:val="0"/>
              </w:rPr>
            </w:pPr>
            <w:r>
              <w:rPr>
                <w:kern w:val="0"/>
              </w:rPr>
              <w:t>Events, /100 PYR</w:t>
            </w:r>
          </w:p>
        </w:tc>
        <w:tc>
          <w:tcPr>
            <w:tcW w:w="2268" w:type="dxa"/>
            <w:vAlign w:val="center"/>
          </w:tcPr>
          <w:p>
            <w:pPr>
              <w:pStyle w:val="77"/>
              <w:jc w:val="left"/>
              <w:rPr>
                <w:kern w:val="0"/>
              </w:rPr>
            </w:pPr>
            <w:r>
              <w:rPr>
                <w:kern w:val="0"/>
              </w:rPr>
              <w:t>Unadjusted HR</w:t>
            </w:r>
          </w:p>
          <w:p>
            <w:pPr>
              <w:pStyle w:val="77"/>
              <w:jc w:val="left"/>
              <w:rPr>
                <w:kern w:val="0"/>
              </w:rPr>
            </w:pPr>
            <w:r>
              <w:rPr>
                <w:kern w:val="0"/>
              </w:rPr>
              <w:t>(95% CI)</w:t>
            </w:r>
          </w:p>
        </w:tc>
        <w:tc>
          <w:tcPr>
            <w:tcW w:w="1275" w:type="dxa"/>
            <w:vAlign w:val="center"/>
          </w:tcPr>
          <w:p>
            <w:pPr>
              <w:pStyle w:val="77"/>
              <w:jc w:val="left"/>
              <w:rPr>
                <w:kern w:val="0"/>
              </w:rPr>
            </w:pPr>
            <w:r>
              <w:rPr>
                <w:rFonts w:hint="eastAsia" w:eastAsia="宋体"/>
                <w:i/>
                <w:iCs/>
                <w:kern w:val="0"/>
                <w:lang w:val="en-US" w:eastAsia="zh-CN"/>
              </w:rPr>
              <w:t>p</w:t>
            </w:r>
            <w:r>
              <w:rPr>
                <w:kern w:val="0"/>
              </w:rPr>
              <w:t xml:space="preserve"> value</w:t>
            </w:r>
          </w:p>
        </w:tc>
        <w:tc>
          <w:tcPr>
            <w:tcW w:w="2268" w:type="dxa"/>
            <w:vAlign w:val="center"/>
          </w:tcPr>
          <w:p>
            <w:pPr>
              <w:pStyle w:val="77"/>
              <w:jc w:val="left"/>
              <w:rPr>
                <w:kern w:val="0"/>
              </w:rPr>
            </w:pPr>
            <w:r>
              <w:rPr>
                <w:kern w:val="0"/>
              </w:rPr>
              <w:t>Adjusted HR</w:t>
            </w:r>
          </w:p>
          <w:p>
            <w:pPr>
              <w:pStyle w:val="77"/>
              <w:jc w:val="left"/>
              <w:rPr>
                <w:kern w:val="0"/>
              </w:rPr>
            </w:pPr>
            <w:r>
              <w:rPr>
                <w:kern w:val="0"/>
              </w:rPr>
              <w:t>(95% CI)</w:t>
            </w:r>
          </w:p>
        </w:tc>
        <w:tc>
          <w:tcPr>
            <w:tcW w:w="1218" w:type="dxa"/>
            <w:vAlign w:val="center"/>
          </w:tcPr>
          <w:p>
            <w:pPr>
              <w:pStyle w:val="77"/>
              <w:jc w:val="left"/>
              <w:rPr>
                <w:kern w:val="0"/>
              </w:rPr>
            </w:pPr>
            <w:bookmarkStart w:id="1" w:name="_GoBack"/>
            <w:r>
              <w:rPr>
                <w:rFonts w:hint="eastAsia" w:eastAsia="宋体"/>
                <w:i/>
                <w:iCs/>
                <w:kern w:val="0"/>
                <w:lang w:val="en-US" w:eastAsia="zh-CN"/>
              </w:rPr>
              <w:t>p</w:t>
            </w:r>
            <w:bookmarkEnd w:id="1"/>
            <w:r>
              <w:rPr>
                <w:kern w:val="0"/>
              </w:rPr>
              <w:t xml:space="preserve"> value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13687" w:type="dxa"/>
            <w:gridSpan w:val="8"/>
          </w:tcPr>
          <w:p>
            <w:pPr>
              <w:pStyle w:val="77"/>
              <w:jc w:val="left"/>
              <w:rPr>
                <w:kern w:val="0"/>
              </w:rPr>
            </w:pPr>
            <w:r>
              <w:rPr>
                <w:kern w:val="0"/>
              </w:rPr>
              <w:t>All-cause mortality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13687" w:type="dxa"/>
            <w:gridSpan w:val="8"/>
          </w:tcPr>
          <w:p>
            <w:pPr>
              <w:pStyle w:val="77"/>
              <w:jc w:val="left"/>
              <w:rPr>
                <w:kern w:val="0"/>
              </w:rPr>
            </w:pPr>
            <w:r>
              <w:rPr>
                <w:kern w:val="0"/>
              </w:rPr>
              <w:t>Female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2547" w:type="dxa"/>
          </w:tcPr>
          <w:p>
            <w:pPr>
              <w:pStyle w:val="77"/>
              <w:jc w:val="left"/>
              <w:rPr>
                <w:kern w:val="0"/>
              </w:rPr>
            </w:pPr>
            <w:r>
              <w:rPr>
                <w:kern w:val="0"/>
              </w:rPr>
              <w:t>Inactive</w:t>
            </w:r>
          </w:p>
        </w:tc>
        <w:tc>
          <w:tcPr>
            <w:tcW w:w="1417" w:type="dxa"/>
            <w:vAlign w:val="center"/>
          </w:tcPr>
          <w:p>
            <w:pPr>
              <w:pStyle w:val="77"/>
              <w:jc w:val="left"/>
              <w:rPr>
                <w:kern w:val="0"/>
              </w:rPr>
            </w:pPr>
            <w:r>
              <w:rPr>
                <w:rFonts w:eastAsia="Malgun Gothic"/>
                <w:kern w:val="0"/>
              </w:rPr>
              <w:t>3009</w:t>
            </w:r>
          </w:p>
        </w:tc>
        <w:tc>
          <w:tcPr>
            <w:tcW w:w="1418" w:type="dxa"/>
            <w:vAlign w:val="center"/>
          </w:tcPr>
          <w:p>
            <w:pPr>
              <w:pStyle w:val="77"/>
              <w:jc w:val="left"/>
              <w:rPr>
                <w:kern w:val="0"/>
              </w:rPr>
            </w:pPr>
            <w:r>
              <w:rPr>
                <w:rFonts w:eastAsia="Malgun Gothic"/>
                <w:kern w:val="0"/>
              </w:rPr>
              <w:t>532</w:t>
            </w:r>
          </w:p>
        </w:tc>
        <w:tc>
          <w:tcPr>
            <w:tcW w:w="1276" w:type="dxa"/>
            <w:vAlign w:val="center"/>
          </w:tcPr>
          <w:p>
            <w:pPr>
              <w:pStyle w:val="77"/>
              <w:jc w:val="left"/>
              <w:rPr>
                <w:kern w:val="0"/>
              </w:rPr>
            </w:pPr>
            <w:r>
              <w:rPr>
                <w:rFonts w:eastAsia="Malgun Gothic"/>
                <w:kern w:val="0"/>
              </w:rPr>
              <w:t xml:space="preserve">6.0 </w:t>
            </w:r>
          </w:p>
        </w:tc>
        <w:tc>
          <w:tcPr>
            <w:tcW w:w="2268" w:type="dxa"/>
            <w:vAlign w:val="center"/>
          </w:tcPr>
          <w:p>
            <w:pPr>
              <w:pStyle w:val="77"/>
              <w:jc w:val="left"/>
              <w:rPr>
                <w:kern w:val="0"/>
              </w:rPr>
            </w:pPr>
            <w:r>
              <w:rPr>
                <w:rFonts w:eastAsia="Malgun Gothic"/>
                <w:kern w:val="0"/>
              </w:rPr>
              <w:t>Reference</w:t>
            </w:r>
          </w:p>
        </w:tc>
        <w:tc>
          <w:tcPr>
            <w:tcW w:w="1275" w:type="dxa"/>
            <w:vAlign w:val="center"/>
          </w:tcPr>
          <w:p>
            <w:pPr>
              <w:pStyle w:val="77"/>
              <w:jc w:val="left"/>
              <w:rPr>
                <w:kern w:val="0"/>
              </w:rPr>
            </w:pPr>
          </w:p>
        </w:tc>
        <w:tc>
          <w:tcPr>
            <w:tcW w:w="2268" w:type="dxa"/>
            <w:vAlign w:val="center"/>
          </w:tcPr>
          <w:p>
            <w:pPr>
              <w:pStyle w:val="77"/>
              <w:jc w:val="left"/>
              <w:rPr>
                <w:kern w:val="0"/>
              </w:rPr>
            </w:pPr>
            <w:r>
              <w:rPr>
                <w:rFonts w:eastAsia="Malgun Gothic"/>
                <w:kern w:val="0"/>
              </w:rPr>
              <w:t>Reference</w:t>
            </w:r>
          </w:p>
        </w:tc>
        <w:tc>
          <w:tcPr>
            <w:tcW w:w="1218" w:type="dxa"/>
            <w:vAlign w:val="center"/>
          </w:tcPr>
          <w:p>
            <w:pPr>
              <w:pStyle w:val="77"/>
              <w:jc w:val="left"/>
              <w:rPr>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3" w:hRule="atLeast"/>
          <w:jc w:val="center"/>
        </w:trPr>
        <w:tc>
          <w:tcPr>
            <w:tcW w:w="2547" w:type="dxa"/>
          </w:tcPr>
          <w:p>
            <w:pPr>
              <w:pStyle w:val="77"/>
              <w:jc w:val="left"/>
              <w:rPr>
                <w:kern w:val="0"/>
              </w:rPr>
            </w:pPr>
            <w:r>
              <w:rPr>
                <w:kern w:val="0"/>
              </w:rPr>
              <w:t>Insufficiently active</w:t>
            </w:r>
          </w:p>
        </w:tc>
        <w:tc>
          <w:tcPr>
            <w:tcW w:w="1417" w:type="dxa"/>
            <w:vAlign w:val="center"/>
          </w:tcPr>
          <w:p>
            <w:pPr>
              <w:pStyle w:val="77"/>
              <w:jc w:val="left"/>
              <w:rPr>
                <w:kern w:val="0"/>
              </w:rPr>
            </w:pPr>
            <w:r>
              <w:rPr>
                <w:rFonts w:eastAsia="Malgun Gothic"/>
                <w:kern w:val="0"/>
              </w:rPr>
              <w:t>1577</w:t>
            </w:r>
          </w:p>
        </w:tc>
        <w:tc>
          <w:tcPr>
            <w:tcW w:w="1418" w:type="dxa"/>
            <w:vAlign w:val="center"/>
          </w:tcPr>
          <w:p>
            <w:pPr>
              <w:pStyle w:val="77"/>
              <w:jc w:val="left"/>
              <w:rPr>
                <w:kern w:val="0"/>
              </w:rPr>
            </w:pPr>
            <w:r>
              <w:rPr>
                <w:rFonts w:eastAsia="Malgun Gothic"/>
                <w:kern w:val="0"/>
              </w:rPr>
              <w:t>172</w:t>
            </w:r>
          </w:p>
        </w:tc>
        <w:tc>
          <w:tcPr>
            <w:tcW w:w="1276" w:type="dxa"/>
            <w:vAlign w:val="center"/>
          </w:tcPr>
          <w:p>
            <w:pPr>
              <w:pStyle w:val="77"/>
              <w:jc w:val="left"/>
              <w:rPr>
                <w:kern w:val="0"/>
              </w:rPr>
            </w:pPr>
            <w:r>
              <w:rPr>
                <w:rFonts w:eastAsia="Malgun Gothic"/>
                <w:kern w:val="0"/>
              </w:rPr>
              <w:t xml:space="preserve">3.5 </w:t>
            </w:r>
          </w:p>
        </w:tc>
        <w:tc>
          <w:tcPr>
            <w:tcW w:w="2268" w:type="dxa"/>
            <w:vAlign w:val="center"/>
          </w:tcPr>
          <w:p>
            <w:pPr>
              <w:pStyle w:val="77"/>
              <w:jc w:val="left"/>
              <w:rPr>
                <w:kern w:val="0"/>
              </w:rPr>
            </w:pPr>
            <w:r>
              <w:rPr>
                <w:rFonts w:eastAsia="Malgun Gothic"/>
                <w:kern w:val="0"/>
              </w:rPr>
              <w:t>0.58 (0.49–0.68)</w:t>
            </w:r>
          </w:p>
        </w:tc>
        <w:tc>
          <w:tcPr>
            <w:tcW w:w="1275" w:type="dxa"/>
            <w:vAlign w:val="center"/>
          </w:tcPr>
          <w:p>
            <w:pPr>
              <w:pStyle w:val="77"/>
              <w:jc w:val="left"/>
              <w:rPr>
                <w:kern w:val="0"/>
              </w:rPr>
            </w:pPr>
            <w:r>
              <w:rPr>
                <w:rFonts w:eastAsia="Malgun Gothic"/>
                <w:kern w:val="0"/>
              </w:rPr>
              <w:t>&lt;0.001</w:t>
            </w:r>
          </w:p>
        </w:tc>
        <w:tc>
          <w:tcPr>
            <w:tcW w:w="2268" w:type="dxa"/>
            <w:vAlign w:val="center"/>
          </w:tcPr>
          <w:p>
            <w:pPr>
              <w:pStyle w:val="77"/>
              <w:jc w:val="left"/>
              <w:rPr>
                <w:kern w:val="0"/>
              </w:rPr>
            </w:pPr>
            <w:r>
              <w:rPr>
                <w:rFonts w:eastAsia="Malgun Gothic"/>
                <w:kern w:val="0"/>
              </w:rPr>
              <w:t>0.81 (0.67–0.97)</w:t>
            </w:r>
          </w:p>
        </w:tc>
        <w:tc>
          <w:tcPr>
            <w:tcW w:w="1218" w:type="dxa"/>
            <w:vAlign w:val="center"/>
          </w:tcPr>
          <w:p>
            <w:pPr>
              <w:pStyle w:val="77"/>
              <w:jc w:val="left"/>
              <w:rPr>
                <w:kern w:val="0"/>
              </w:rPr>
            </w:pPr>
            <w:r>
              <w:rPr>
                <w:rFonts w:eastAsia="Malgun Gothic"/>
                <w:kern w:val="0"/>
              </w:rPr>
              <w:t>0.023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2547" w:type="dxa"/>
          </w:tcPr>
          <w:p>
            <w:pPr>
              <w:pStyle w:val="77"/>
              <w:jc w:val="left"/>
              <w:rPr>
                <w:kern w:val="0"/>
              </w:rPr>
            </w:pPr>
            <w:r>
              <w:rPr>
                <w:kern w:val="0"/>
              </w:rPr>
              <w:t>Active</w:t>
            </w:r>
          </w:p>
        </w:tc>
        <w:tc>
          <w:tcPr>
            <w:tcW w:w="1417" w:type="dxa"/>
            <w:vAlign w:val="center"/>
          </w:tcPr>
          <w:p>
            <w:pPr>
              <w:pStyle w:val="77"/>
              <w:jc w:val="left"/>
              <w:rPr>
                <w:kern w:val="0"/>
              </w:rPr>
            </w:pPr>
            <w:r>
              <w:rPr>
                <w:rFonts w:eastAsia="Malgun Gothic"/>
                <w:kern w:val="0"/>
              </w:rPr>
              <w:t>1192</w:t>
            </w:r>
          </w:p>
        </w:tc>
        <w:tc>
          <w:tcPr>
            <w:tcW w:w="1418" w:type="dxa"/>
            <w:vAlign w:val="center"/>
          </w:tcPr>
          <w:p>
            <w:pPr>
              <w:pStyle w:val="77"/>
              <w:jc w:val="left"/>
              <w:rPr>
                <w:kern w:val="0"/>
              </w:rPr>
            </w:pPr>
            <w:r>
              <w:rPr>
                <w:rFonts w:eastAsia="Malgun Gothic"/>
                <w:kern w:val="0"/>
              </w:rPr>
              <w:t>103</w:t>
            </w:r>
          </w:p>
        </w:tc>
        <w:tc>
          <w:tcPr>
            <w:tcW w:w="1276" w:type="dxa"/>
            <w:vAlign w:val="center"/>
          </w:tcPr>
          <w:p>
            <w:pPr>
              <w:pStyle w:val="77"/>
              <w:jc w:val="left"/>
              <w:rPr>
                <w:kern w:val="0"/>
              </w:rPr>
            </w:pPr>
            <w:r>
              <w:rPr>
                <w:rFonts w:eastAsia="Malgun Gothic"/>
                <w:kern w:val="0"/>
              </w:rPr>
              <w:t xml:space="preserve">2.7 </w:t>
            </w:r>
          </w:p>
        </w:tc>
        <w:tc>
          <w:tcPr>
            <w:tcW w:w="2268" w:type="dxa"/>
            <w:vAlign w:val="center"/>
          </w:tcPr>
          <w:p>
            <w:pPr>
              <w:pStyle w:val="77"/>
              <w:jc w:val="left"/>
              <w:rPr>
                <w:kern w:val="0"/>
              </w:rPr>
            </w:pPr>
            <w:r>
              <w:rPr>
                <w:rFonts w:eastAsia="Malgun Gothic"/>
                <w:kern w:val="0"/>
              </w:rPr>
              <w:t>0.45 (0.37–0.56)</w:t>
            </w:r>
          </w:p>
        </w:tc>
        <w:tc>
          <w:tcPr>
            <w:tcW w:w="1275" w:type="dxa"/>
            <w:vAlign w:val="center"/>
          </w:tcPr>
          <w:p>
            <w:pPr>
              <w:pStyle w:val="77"/>
              <w:jc w:val="left"/>
              <w:rPr>
                <w:kern w:val="0"/>
              </w:rPr>
            </w:pPr>
            <w:r>
              <w:rPr>
                <w:rFonts w:eastAsia="Malgun Gothic"/>
                <w:kern w:val="0"/>
              </w:rPr>
              <w:t>&lt;0.001</w:t>
            </w:r>
          </w:p>
        </w:tc>
        <w:tc>
          <w:tcPr>
            <w:tcW w:w="2268" w:type="dxa"/>
            <w:vAlign w:val="center"/>
          </w:tcPr>
          <w:p>
            <w:pPr>
              <w:pStyle w:val="77"/>
              <w:jc w:val="left"/>
              <w:rPr>
                <w:kern w:val="0"/>
              </w:rPr>
            </w:pPr>
            <w:r>
              <w:rPr>
                <w:rFonts w:eastAsia="Malgun Gothic"/>
                <w:kern w:val="0"/>
              </w:rPr>
              <w:t>0.79 (0.64–0.99)</w:t>
            </w:r>
          </w:p>
        </w:tc>
        <w:tc>
          <w:tcPr>
            <w:tcW w:w="1218" w:type="dxa"/>
            <w:vAlign w:val="center"/>
          </w:tcPr>
          <w:p>
            <w:pPr>
              <w:pStyle w:val="77"/>
              <w:jc w:val="left"/>
              <w:rPr>
                <w:kern w:val="0"/>
              </w:rPr>
            </w:pPr>
            <w:r>
              <w:rPr>
                <w:rFonts w:eastAsia="Malgun Gothic"/>
                <w:kern w:val="0"/>
              </w:rPr>
              <w:t>0.039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2547" w:type="dxa"/>
          </w:tcPr>
          <w:p>
            <w:pPr>
              <w:pStyle w:val="77"/>
              <w:jc w:val="left"/>
              <w:rPr>
                <w:kern w:val="0"/>
              </w:rPr>
            </w:pPr>
            <w:r>
              <w:rPr>
                <w:kern w:val="0"/>
              </w:rPr>
              <w:t>Highly active</w:t>
            </w:r>
          </w:p>
        </w:tc>
        <w:tc>
          <w:tcPr>
            <w:tcW w:w="1417" w:type="dxa"/>
            <w:vAlign w:val="center"/>
          </w:tcPr>
          <w:p>
            <w:pPr>
              <w:pStyle w:val="77"/>
              <w:jc w:val="left"/>
              <w:rPr>
                <w:kern w:val="0"/>
              </w:rPr>
            </w:pPr>
            <w:r>
              <w:rPr>
                <w:rFonts w:eastAsia="Malgun Gothic"/>
                <w:kern w:val="0"/>
              </w:rPr>
              <w:t>559</w:t>
            </w:r>
          </w:p>
        </w:tc>
        <w:tc>
          <w:tcPr>
            <w:tcW w:w="1418" w:type="dxa"/>
            <w:vAlign w:val="center"/>
          </w:tcPr>
          <w:p>
            <w:pPr>
              <w:pStyle w:val="77"/>
              <w:jc w:val="left"/>
              <w:rPr>
                <w:kern w:val="0"/>
              </w:rPr>
            </w:pPr>
            <w:r>
              <w:rPr>
                <w:rFonts w:eastAsia="Malgun Gothic"/>
                <w:kern w:val="0"/>
              </w:rPr>
              <w:t>33</w:t>
            </w:r>
          </w:p>
        </w:tc>
        <w:tc>
          <w:tcPr>
            <w:tcW w:w="1276" w:type="dxa"/>
            <w:vAlign w:val="center"/>
          </w:tcPr>
          <w:p>
            <w:pPr>
              <w:pStyle w:val="77"/>
              <w:jc w:val="left"/>
              <w:rPr>
                <w:kern w:val="0"/>
              </w:rPr>
            </w:pPr>
            <w:r>
              <w:rPr>
                <w:rFonts w:eastAsia="Malgun Gothic"/>
                <w:kern w:val="0"/>
              </w:rPr>
              <w:t xml:space="preserve">1.8 </w:t>
            </w:r>
          </w:p>
        </w:tc>
        <w:tc>
          <w:tcPr>
            <w:tcW w:w="2268" w:type="dxa"/>
            <w:vAlign w:val="center"/>
          </w:tcPr>
          <w:p>
            <w:pPr>
              <w:pStyle w:val="77"/>
              <w:jc w:val="left"/>
              <w:rPr>
                <w:kern w:val="0"/>
              </w:rPr>
            </w:pPr>
            <w:r>
              <w:rPr>
                <w:rFonts w:eastAsia="Malgun Gothic"/>
                <w:kern w:val="0"/>
              </w:rPr>
              <w:t>0.30 (0.21–0.43)</w:t>
            </w:r>
          </w:p>
        </w:tc>
        <w:tc>
          <w:tcPr>
            <w:tcW w:w="1275" w:type="dxa"/>
            <w:vAlign w:val="center"/>
          </w:tcPr>
          <w:p>
            <w:pPr>
              <w:pStyle w:val="77"/>
              <w:jc w:val="left"/>
              <w:rPr>
                <w:kern w:val="0"/>
              </w:rPr>
            </w:pPr>
            <w:r>
              <w:rPr>
                <w:rFonts w:eastAsia="Malgun Gothic"/>
                <w:kern w:val="0"/>
              </w:rPr>
              <w:t>&lt;0.001</w:t>
            </w:r>
          </w:p>
        </w:tc>
        <w:tc>
          <w:tcPr>
            <w:tcW w:w="2268" w:type="dxa"/>
            <w:vAlign w:val="center"/>
          </w:tcPr>
          <w:p>
            <w:pPr>
              <w:pStyle w:val="77"/>
              <w:jc w:val="left"/>
              <w:rPr>
                <w:kern w:val="0"/>
              </w:rPr>
            </w:pPr>
            <w:r>
              <w:rPr>
                <w:rFonts w:eastAsia="Malgun Gothic"/>
                <w:kern w:val="0"/>
              </w:rPr>
              <w:t>0.58 (0.40–0.84)</w:t>
            </w:r>
          </w:p>
        </w:tc>
        <w:tc>
          <w:tcPr>
            <w:tcW w:w="1218" w:type="dxa"/>
            <w:vAlign w:val="center"/>
          </w:tcPr>
          <w:p>
            <w:pPr>
              <w:pStyle w:val="77"/>
              <w:jc w:val="left"/>
              <w:rPr>
                <w:kern w:val="0"/>
              </w:rPr>
            </w:pPr>
            <w:r>
              <w:rPr>
                <w:rFonts w:eastAsia="Malgun Gothic"/>
                <w:kern w:val="0"/>
              </w:rPr>
              <w:t>0.004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13687" w:type="dxa"/>
            <w:gridSpan w:val="8"/>
          </w:tcPr>
          <w:p>
            <w:pPr>
              <w:pStyle w:val="77"/>
              <w:jc w:val="left"/>
              <w:rPr>
                <w:kern w:val="0"/>
              </w:rPr>
            </w:pPr>
            <w:r>
              <w:rPr>
                <w:kern w:val="0"/>
              </w:rPr>
              <w:t>Male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2547" w:type="dxa"/>
          </w:tcPr>
          <w:p>
            <w:pPr>
              <w:pStyle w:val="77"/>
              <w:jc w:val="left"/>
              <w:rPr>
                <w:kern w:val="0"/>
              </w:rPr>
            </w:pPr>
            <w:r>
              <w:rPr>
                <w:kern w:val="0"/>
              </w:rPr>
              <w:t>Inactive</w:t>
            </w:r>
          </w:p>
        </w:tc>
        <w:tc>
          <w:tcPr>
            <w:tcW w:w="1417" w:type="dxa"/>
            <w:vAlign w:val="center"/>
          </w:tcPr>
          <w:p>
            <w:pPr>
              <w:pStyle w:val="77"/>
              <w:jc w:val="left"/>
              <w:rPr>
                <w:kern w:val="0"/>
              </w:rPr>
            </w:pPr>
            <w:r>
              <w:rPr>
                <w:rFonts w:eastAsia="Malgun Gothic"/>
                <w:kern w:val="0"/>
              </w:rPr>
              <w:t>977</w:t>
            </w:r>
          </w:p>
        </w:tc>
        <w:tc>
          <w:tcPr>
            <w:tcW w:w="1418" w:type="dxa"/>
            <w:vAlign w:val="center"/>
          </w:tcPr>
          <w:p>
            <w:pPr>
              <w:pStyle w:val="77"/>
              <w:jc w:val="left"/>
              <w:rPr>
                <w:kern w:val="0"/>
              </w:rPr>
            </w:pPr>
            <w:r>
              <w:rPr>
                <w:rFonts w:eastAsia="Malgun Gothic"/>
                <w:kern w:val="0"/>
              </w:rPr>
              <w:t>244</w:t>
            </w:r>
          </w:p>
        </w:tc>
        <w:tc>
          <w:tcPr>
            <w:tcW w:w="1276" w:type="dxa"/>
            <w:vAlign w:val="center"/>
          </w:tcPr>
          <w:p>
            <w:pPr>
              <w:pStyle w:val="77"/>
              <w:jc w:val="left"/>
              <w:rPr>
                <w:kern w:val="0"/>
              </w:rPr>
            </w:pPr>
            <w:r>
              <w:rPr>
                <w:rFonts w:eastAsia="Malgun Gothic"/>
                <w:kern w:val="0"/>
              </w:rPr>
              <w:t xml:space="preserve">9.3 </w:t>
            </w:r>
          </w:p>
        </w:tc>
        <w:tc>
          <w:tcPr>
            <w:tcW w:w="2268" w:type="dxa"/>
            <w:vAlign w:val="center"/>
          </w:tcPr>
          <w:p>
            <w:pPr>
              <w:pStyle w:val="77"/>
              <w:jc w:val="left"/>
              <w:rPr>
                <w:kern w:val="0"/>
              </w:rPr>
            </w:pPr>
            <w:r>
              <w:rPr>
                <w:rFonts w:eastAsia="Malgun Gothic"/>
                <w:kern w:val="0"/>
              </w:rPr>
              <w:t>Reference</w:t>
            </w:r>
          </w:p>
        </w:tc>
        <w:tc>
          <w:tcPr>
            <w:tcW w:w="1275" w:type="dxa"/>
            <w:vAlign w:val="center"/>
          </w:tcPr>
          <w:p>
            <w:pPr>
              <w:pStyle w:val="77"/>
              <w:jc w:val="left"/>
              <w:rPr>
                <w:kern w:val="0"/>
              </w:rPr>
            </w:pPr>
          </w:p>
        </w:tc>
        <w:tc>
          <w:tcPr>
            <w:tcW w:w="2268" w:type="dxa"/>
            <w:vAlign w:val="center"/>
          </w:tcPr>
          <w:p>
            <w:pPr>
              <w:pStyle w:val="77"/>
              <w:jc w:val="left"/>
              <w:rPr>
                <w:kern w:val="0"/>
              </w:rPr>
            </w:pPr>
            <w:r>
              <w:rPr>
                <w:rFonts w:eastAsia="Malgun Gothic"/>
                <w:kern w:val="0"/>
              </w:rPr>
              <w:t>Reference</w:t>
            </w:r>
          </w:p>
        </w:tc>
        <w:tc>
          <w:tcPr>
            <w:tcW w:w="1218" w:type="dxa"/>
            <w:vAlign w:val="center"/>
          </w:tcPr>
          <w:p>
            <w:pPr>
              <w:pStyle w:val="77"/>
              <w:jc w:val="left"/>
              <w:rPr>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3" w:hRule="atLeast"/>
          <w:jc w:val="center"/>
        </w:trPr>
        <w:tc>
          <w:tcPr>
            <w:tcW w:w="2547" w:type="dxa"/>
          </w:tcPr>
          <w:p>
            <w:pPr>
              <w:pStyle w:val="77"/>
              <w:jc w:val="left"/>
              <w:rPr>
                <w:kern w:val="0"/>
              </w:rPr>
            </w:pPr>
            <w:r>
              <w:rPr>
                <w:kern w:val="0"/>
              </w:rPr>
              <w:t>Insufficiently active</w:t>
            </w:r>
          </w:p>
        </w:tc>
        <w:tc>
          <w:tcPr>
            <w:tcW w:w="1417" w:type="dxa"/>
            <w:vAlign w:val="center"/>
          </w:tcPr>
          <w:p>
            <w:pPr>
              <w:pStyle w:val="77"/>
              <w:jc w:val="left"/>
              <w:rPr>
                <w:kern w:val="0"/>
              </w:rPr>
            </w:pPr>
            <w:r>
              <w:rPr>
                <w:rFonts w:eastAsia="Malgun Gothic"/>
                <w:kern w:val="0"/>
              </w:rPr>
              <w:t>577</w:t>
            </w:r>
          </w:p>
        </w:tc>
        <w:tc>
          <w:tcPr>
            <w:tcW w:w="1418" w:type="dxa"/>
            <w:vAlign w:val="center"/>
          </w:tcPr>
          <w:p>
            <w:pPr>
              <w:pStyle w:val="77"/>
              <w:jc w:val="left"/>
              <w:rPr>
                <w:kern w:val="0"/>
              </w:rPr>
            </w:pPr>
            <w:r>
              <w:rPr>
                <w:rFonts w:eastAsia="Malgun Gothic"/>
                <w:kern w:val="0"/>
              </w:rPr>
              <w:t>111</w:t>
            </w:r>
          </w:p>
        </w:tc>
        <w:tc>
          <w:tcPr>
            <w:tcW w:w="1276" w:type="dxa"/>
            <w:vAlign w:val="center"/>
          </w:tcPr>
          <w:p>
            <w:pPr>
              <w:pStyle w:val="77"/>
              <w:jc w:val="left"/>
              <w:rPr>
                <w:kern w:val="0"/>
              </w:rPr>
            </w:pPr>
            <w:r>
              <w:rPr>
                <w:rFonts w:eastAsia="Malgun Gothic"/>
                <w:kern w:val="0"/>
              </w:rPr>
              <w:t xml:space="preserve">6.5 </w:t>
            </w:r>
          </w:p>
        </w:tc>
        <w:tc>
          <w:tcPr>
            <w:tcW w:w="2268" w:type="dxa"/>
            <w:vAlign w:val="center"/>
          </w:tcPr>
          <w:p>
            <w:pPr>
              <w:pStyle w:val="77"/>
              <w:jc w:val="left"/>
              <w:rPr>
                <w:kern w:val="0"/>
              </w:rPr>
            </w:pPr>
            <w:r>
              <w:rPr>
                <w:rFonts w:eastAsia="Malgun Gothic"/>
                <w:kern w:val="0"/>
              </w:rPr>
              <w:t>0.70 (0.56–0.87)</w:t>
            </w:r>
          </w:p>
        </w:tc>
        <w:tc>
          <w:tcPr>
            <w:tcW w:w="1275" w:type="dxa"/>
            <w:vAlign w:val="center"/>
          </w:tcPr>
          <w:p>
            <w:pPr>
              <w:pStyle w:val="77"/>
              <w:jc w:val="left"/>
              <w:rPr>
                <w:kern w:val="0"/>
              </w:rPr>
            </w:pPr>
            <w:r>
              <w:rPr>
                <w:rFonts w:eastAsia="Malgun Gothic"/>
                <w:kern w:val="0"/>
              </w:rPr>
              <w:t>0.002</w:t>
            </w:r>
          </w:p>
        </w:tc>
        <w:tc>
          <w:tcPr>
            <w:tcW w:w="2268" w:type="dxa"/>
            <w:vAlign w:val="center"/>
          </w:tcPr>
          <w:p>
            <w:pPr>
              <w:pStyle w:val="77"/>
              <w:jc w:val="left"/>
              <w:rPr>
                <w:kern w:val="0"/>
              </w:rPr>
            </w:pPr>
            <w:r>
              <w:rPr>
                <w:rFonts w:eastAsia="Malgun Gothic"/>
                <w:kern w:val="0"/>
              </w:rPr>
              <w:t>0.81 (0.64–1.03)</w:t>
            </w:r>
          </w:p>
        </w:tc>
        <w:tc>
          <w:tcPr>
            <w:tcW w:w="1218" w:type="dxa"/>
            <w:vAlign w:val="center"/>
          </w:tcPr>
          <w:p>
            <w:pPr>
              <w:pStyle w:val="77"/>
              <w:jc w:val="left"/>
              <w:rPr>
                <w:kern w:val="0"/>
              </w:rPr>
            </w:pPr>
            <w:r>
              <w:rPr>
                <w:rFonts w:eastAsia="Malgun Gothic"/>
                <w:kern w:val="0"/>
              </w:rPr>
              <w:t>0.083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2547" w:type="dxa"/>
          </w:tcPr>
          <w:p>
            <w:pPr>
              <w:pStyle w:val="77"/>
              <w:jc w:val="left"/>
              <w:rPr>
                <w:kern w:val="0"/>
              </w:rPr>
            </w:pPr>
            <w:r>
              <w:rPr>
                <w:kern w:val="0"/>
              </w:rPr>
              <w:t>Active</w:t>
            </w:r>
          </w:p>
        </w:tc>
        <w:tc>
          <w:tcPr>
            <w:tcW w:w="1417" w:type="dxa"/>
            <w:vAlign w:val="center"/>
          </w:tcPr>
          <w:p>
            <w:pPr>
              <w:pStyle w:val="77"/>
              <w:jc w:val="left"/>
              <w:rPr>
                <w:kern w:val="0"/>
              </w:rPr>
            </w:pPr>
            <w:r>
              <w:rPr>
                <w:rFonts w:eastAsia="Malgun Gothic"/>
                <w:kern w:val="0"/>
              </w:rPr>
              <w:t>633</w:t>
            </w:r>
          </w:p>
        </w:tc>
        <w:tc>
          <w:tcPr>
            <w:tcW w:w="1418" w:type="dxa"/>
            <w:vAlign w:val="center"/>
          </w:tcPr>
          <w:p>
            <w:pPr>
              <w:pStyle w:val="77"/>
              <w:jc w:val="left"/>
              <w:rPr>
                <w:kern w:val="0"/>
              </w:rPr>
            </w:pPr>
            <w:r>
              <w:rPr>
                <w:rFonts w:eastAsia="Malgun Gothic"/>
                <w:kern w:val="0"/>
              </w:rPr>
              <w:t>115</w:t>
            </w:r>
          </w:p>
        </w:tc>
        <w:tc>
          <w:tcPr>
            <w:tcW w:w="1276" w:type="dxa"/>
            <w:vAlign w:val="center"/>
          </w:tcPr>
          <w:p>
            <w:pPr>
              <w:pStyle w:val="77"/>
              <w:jc w:val="left"/>
              <w:rPr>
                <w:kern w:val="0"/>
              </w:rPr>
            </w:pPr>
            <w:r>
              <w:rPr>
                <w:rFonts w:eastAsia="Malgun Gothic"/>
                <w:kern w:val="0"/>
              </w:rPr>
              <w:t xml:space="preserve">5.9 </w:t>
            </w:r>
          </w:p>
        </w:tc>
        <w:tc>
          <w:tcPr>
            <w:tcW w:w="2268" w:type="dxa"/>
            <w:vAlign w:val="center"/>
          </w:tcPr>
          <w:p>
            <w:pPr>
              <w:pStyle w:val="77"/>
              <w:jc w:val="left"/>
              <w:rPr>
                <w:kern w:val="0"/>
              </w:rPr>
            </w:pPr>
            <w:r>
              <w:rPr>
                <w:rFonts w:eastAsia="Malgun Gothic"/>
                <w:kern w:val="0"/>
              </w:rPr>
              <w:t>0.63 (0.51–0.78)</w:t>
            </w:r>
          </w:p>
        </w:tc>
        <w:tc>
          <w:tcPr>
            <w:tcW w:w="1275" w:type="dxa"/>
            <w:vAlign w:val="center"/>
          </w:tcPr>
          <w:p>
            <w:pPr>
              <w:pStyle w:val="77"/>
              <w:jc w:val="left"/>
              <w:rPr>
                <w:kern w:val="0"/>
              </w:rPr>
            </w:pPr>
            <w:r>
              <w:rPr>
                <w:rFonts w:eastAsia="Malgun Gothic"/>
                <w:kern w:val="0"/>
              </w:rPr>
              <w:t>&lt;0.001</w:t>
            </w:r>
          </w:p>
        </w:tc>
        <w:tc>
          <w:tcPr>
            <w:tcW w:w="2268" w:type="dxa"/>
            <w:vAlign w:val="center"/>
          </w:tcPr>
          <w:p>
            <w:pPr>
              <w:pStyle w:val="77"/>
              <w:jc w:val="left"/>
              <w:rPr>
                <w:kern w:val="0"/>
              </w:rPr>
            </w:pPr>
            <w:r>
              <w:rPr>
                <w:rFonts w:eastAsia="Malgun Gothic"/>
                <w:kern w:val="0"/>
              </w:rPr>
              <w:t>0.85 (0.68–1.07)</w:t>
            </w:r>
          </w:p>
        </w:tc>
        <w:tc>
          <w:tcPr>
            <w:tcW w:w="1218" w:type="dxa"/>
            <w:vAlign w:val="center"/>
          </w:tcPr>
          <w:p>
            <w:pPr>
              <w:pStyle w:val="77"/>
              <w:jc w:val="left"/>
              <w:rPr>
                <w:kern w:val="0"/>
              </w:rPr>
            </w:pPr>
            <w:r>
              <w:rPr>
                <w:rFonts w:eastAsia="Malgun Gothic"/>
                <w:kern w:val="0"/>
              </w:rPr>
              <w:t>0.162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2547" w:type="dxa"/>
          </w:tcPr>
          <w:p>
            <w:pPr>
              <w:pStyle w:val="77"/>
              <w:jc w:val="left"/>
              <w:rPr>
                <w:kern w:val="0"/>
              </w:rPr>
            </w:pPr>
            <w:r>
              <w:rPr>
                <w:kern w:val="0"/>
              </w:rPr>
              <w:t>Highly active</w:t>
            </w:r>
          </w:p>
        </w:tc>
        <w:tc>
          <w:tcPr>
            <w:tcW w:w="1417" w:type="dxa"/>
            <w:vAlign w:val="center"/>
          </w:tcPr>
          <w:p>
            <w:pPr>
              <w:pStyle w:val="77"/>
              <w:jc w:val="left"/>
              <w:rPr>
                <w:kern w:val="0"/>
              </w:rPr>
            </w:pPr>
            <w:r>
              <w:rPr>
                <w:rFonts w:eastAsia="Malgun Gothic"/>
                <w:kern w:val="0"/>
              </w:rPr>
              <w:t>508</w:t>
            </w:r>
          </w:p>
        </w:tc>
        <w:tc>
          <w:tcPr>
            <w:tcW w:w="1418" w:type="dxa"/>
            <w:vAlign w:val="center"/>
          </w:tcPr>
          <w:p>
            <w:pPr>
              <w:pStyle w:val="77"/>
              <w:jc w:val="left"/>
              <w:rPr>
                <w:kern w:val="0"/>
              </w:rPr>
            </w:pPr>
            <w:r>
              <w:rPr>
                <w:rFonts w:eastAsia="Malgun Gothic"/>
                <w:kern w:val="0"/>
              </w:rPr>
              <w:t>49</w:t>
            </w:r>
          </w:p>
        </w:tc>
        <w:tc>
          <w:tcPr>
            <w:tcW w:w="1276" w:type="dxa"/>
            <w:vAlign w:val="center"/>
          </w:tcPr>
          <w:p>
            <w:pPr>
              <w:pStyle w:val="77"/>
              <w:jc w:val="left"/>
              <w:rPr>
                <w:kern w:val="0"/>
              </w:rPr>
            </w:pPr>
            <w:r>
              <w:rPr>
                <w:rFonts w:eastAsia="Malgun Gothic"/>
                <w:kern w:val="0"/>
              </w:rPr>
              <w:t xml:space="preserve">3.0 </w:t>
            </w:r>
          </w:p>
        </w:tc>
        <w:tc>
          <w:tcPr>
            <w:tcW w:w="2268" w:type="dxa"/>
            <w:vAlign w:val="center"/>
          </w:tcPr>
          <w:p>
            <w:pPr>
              <w:pStyle w:val="77"/>
              <w:jc w:val="left"/>
              <w:rPr>
                <w:kern w:val="0"/>
              </w:rPr>
            </w:pPr>
            <w:r>
              <w:rPr>
                <w:rFonts w:eastAsia="Malgun Gothic"/>
                <w:kern w:val="0"/>
              </w:rPr>
              <w:t>0.32 (0.23–0.43)</w:t>
            </w:r>
          </w:p>
        </w:tc>
        <w:tc>
          <w:tcPr>
            <w:tcW w:w="1275" w:type="dxa"/>
            <w:vAlign w:val="center"/>
          </w:tcPr>
          <w:p>
            <w:pPr>
              <w:pStyle w:val="77"/>
              <w:jc w:val="left"/>
              <w:rPr>
                <w:kern w:val="0"/>
              </w:rPr>
            </w:pPr>
            <w:r>
              <w:rPr>
                <w:rFonts w:eastAsia="Malgun Gothic"/>
                <w:kern w:val="0"/>
              </w:rPr>
              <w:t>&lt;0.001</w:t>
            </w:r>
          </w:p>
        </w:tc>
        <w:tc>
          <w:tcPr>
            <w:tcW w:w="2268" w:type="dxa"/>
            <w:vAlign w:val="center"/>
          </w:tcPr>
          <w:p>
            <w:pPr>
              <w:pStyle w:val="77"/>
              <w:jc w:val="left"/>
              <w:rPr>
                <w:kern w:val="0"/>
              </w:rPr>
            </w:pPr>
            <w:r>
              <w:rPr>
                <w:rFonts w:eastAsia="Malgun Gothic"/>
                <w:kern w:val="0"/>
              </w:rPr>
              <w:t>0.50 (0.36–0.68)</w:t>
            </w:r>
          </w:p>
        </w:tc>
        <w:tc>
          <w:tcPr>
            <w:tcW w:w="1218" w:type="dxa"/>
            <w:vAlign w:val="center"/>
          </w:tcPr>
          <w:p>
            <w:pPr>
              <w:pStyle w:val="77"/>
              <w:jc w:val="left"/>
              <w:rPr>
                <w:kern w:val="0"/>
              </w:rPr>
            </w:pPr>
            <w:r>
              <w:rPr>
                <w:rFonts w:eastAsia="Malgun Gothic"/>
                <w:kern w:val="0"/>
              </w:rPr>
              <w:t>&lt;0.001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13687" w:type="dxa"/>
            <w:gridSpan w:val="8"/>
          </w:tcPr>
          <w:p>
            <w:pPr>
              <w:pStyle w:val="77"/>
              <w:jc w:val="left"/>
              <w:rPr>
                <w:kern w:val="0"/>
              </w:rPr>
            </w:pPr>
            <w:r>
              <w:rPr>
                <w:kern w:val="0"/>
              </w:rPr>
              <w:t>CVD mortality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13687" w:type="dxa"/>
            <w:gridSpan w:val="8"/>
          </w:tcPr>
          <w:p>
            <w:pPr>
              <w:pStyle w:val="77"/>
              <w:jc w:val="left"/>
              <w:rPr>
                <w:kern w:val="0"/>
              </w:rPr>
            </w:pPr>
            <w:r>
              <w:rPr>
                <w:kern w:val="0"/>
              </w:rPr>
              <w:t>Female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3" w:hRule="atLeast"/>
          <w:jc w:val="center"/>
        </w:trPr>
        <w:tc>
          <w:tcPr>
            <w:tcW w:w="2547" w:type="dxa"/>
          </w:tcPr>
          <w:p>
            <w:pPr>
              <w:pStyle w:val="77"/>
              <w:jc w:val="left"/>
              <w:rPr>
                <w:kern w:val="0"/>
              </w:rPr>
            </w:pPr>
            <w:r>
              <w:rPr>
                <w:kern w:val="0"/>
              </w:rPr>
              <w:t>Inactive</w:t>
            </w:r>
          </w:p>
        </w:tc>
        <w:tc>
          <w:tcPr>
            <w:tcW w:w="1417" w:type="dxa"/>
            <w:vAlign w:val="center"/>
          </w:tcPr>
          <w:p>
            <w:pPr>
              <w:pStyle w:val="77"/>
              <w:jc w:val="left"/>
              <w:rPr>
                <w:kern w:val="0"/>
              </w:rPr>
            </w:pPr>
            <w:r>
              <w:rPr>
                <w:rFonts w:eastAsia="Malgun Gothic"/>
                <w:kern w:val="0"/>
              </w:rPr>
              <w:t>3009</w:t>
            </w:r>
          </w:p>
        </w:tc>
        <w:tc>
          <w:tcPr>
            <w:tcW w:w="1418" w:type="dxa"/>
            <w:vAlign w:val="center"/>
          </w:tcPr>
          <w:p>
            <w:pPr>
              <w:pStyle w:val="77"/>
              <w:jc w:val="left"/>
              <w:rPr>
                <w:kern w:val="0"/>
              </w:rPr>
            </w:pPr>
            <w:r>
              <w:rPr>
                <w:rFonts w:eastAsia="Malgun Gothic"/>
                <w:kern w:val="0"/>
              </w:rPr>
              <w:t>189</w:t>
            </w:r>
          </w:p>
        </w:tc>
        <w:tc>
          <w:tcPr>
            <w:tcW w:w="1276" w:type="dxa"/>
            <w:vAlign w:val="center"/>
          </w:tcPr>
          <w:p>
            <w:pPr>
              <w:pStyle w:val="77"/>
              <w:jc w:val="left"/>
              <w:rPr>
                <w:kern w:val="0"/>
              </w:rPr>
            </w:pPr>
            <w:r>
              <w:rPr>
                <w:rFonts w:eastAsia="Malgun Gothic"/>
                <w:kern w:val="0"/>
              </w:rPr>
              <w:t xml:space="preserve">6.4 </w:t>
            </w:r>
          </w:p>
        </w:tc>
        <w:tc>
          <w:tcPr>
            <w:tcW w:w="2268" w:type="dxa"/>
            <w:vAlign w:val="center"/>
          </w:tcPr>
          <w:p>
            <w:pPr>
              <w:pStyle w:val="77"/>
              <w:jc w:val="left"/>
              <w:rPr>
                <w:kern w:val="0"/>
              </w:rPr>
            </w:pPr>
            <w:r>
              <w:rPr>
                <w:rFonts w:eastAsia="Malgun Gothic"/>
                <w:kern w:val="0"/>
              </w:rPr>
              <w:t>Reference</w:t>
            </w:r>
          </w:p>
        </w:tc>
        <w:tc>
          <w:tcPr>
            <w:tcW w:w="1275" w:type="dxa"/>
            <w:vAlign w:val="center"/>
          </w:tcPr>
          <w:p>
            <w:pPr>
              <w:pStyle w:val="77"/>
              <w:jc w:val="left"/>
              <w:rPr>
                <w:kern w:val="0"/>
              </w:rPr>
            </w:pPr>
          </w:p>
        </w:tc>
        <w:tc>
          <w:tcPr>
            <w:tcW w:w="2268" w:type="dxa"/>
            <w:vAlign w:val="center"/>
          </w:tcPr>
          <w:p>
            <w:pPr>
              <w:pStyle w:val="77"/>
              <w:jc w:val="left"/>
              <w:rPr>
                <w:kern w:val="0"/>
              </w:rPr>
            </w:pPr>
            <w:r>
              <w:rPr>
                <w:rFonts w:eastAsia="Malgun Gothic"/>
                <w:kern w:val="0"/>
              </w:rPr>
              <w:t>Reference</w:t>
            </w:r>
          </w:p>
        </w:tc>
        <w:tc>
          <w:tcPr>
            <w:tcW w:w="1218" w:type="dxa"/>
            <w:vAlign w:val="center"/>
          </w:tcPr>
          <w:p>
            <w:pPr>
              <w:pStyle w:val="77"/>
              <w:jc w:val="left"/>
              <w:rPr>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2547" w:type="dxa"/>
          </w:tcPr>
          <w:p>
            <w:pPr>
              <w:pStyle w:val="77"/>
              <w:jc w:val="left"/>
              <w:rPr>
                <w:kern w:val="0"/>
              </w:rPr>
            </w:pPr>
            <w:r>
              <w:rPr>
                <w:kern w:val="0"/>
              </w:rPr>
              <w:t>Insufficiently active</w:t>
            </w:r>
          </w:p>
        </w:tc>
        <w:tc>
          <w:tcPr>
            <w:tcW w:w="1417" w:type="dxa"/>
            <w:vAlign w:val="center"/>
          </w:tcPr>
          <w:p>
            <w:pPr>
              <w:pStyle w:val="77"/>
              <w:jc w:val="left"/>
              <w:rPr>
                <w:kern w:val="0"/>
              </w:rPr>
            </w:pPr>
            <w:r>
              <w:rPr>
                <w:rFonts w:eastAsia="Malgun Gothic"/>
                <w:kern w:val="0"/>
              </w:rPr>
              <w:t>1577</w:t>
            </w:r>
          </w:p>
        </w:tc>
        <w:tc>
          <w:tcPr>
            <w:tcW w:w="1418" w:type="dxa"/>
            <w:vAlign w:val="center"/>
          </w:tcPr>
          <w:p>
            <w:pPr>
              <w:pStyle w:val="77"/>
              <w:jc w:val="left"/>
              <w:rPr>
                <w:kern w:val="0"/>
              </w:rPr>
            </w:pPr>
            <w:r>
              <w:rPr>
                <w:rFonts w:eastAsia="Malgun Gothic"/>
                <w:kern w:val="0"/>
              </w:rPr>
              <w:t>63</w:t>
            </w:r>
          </w:p>
        </w:tc>
        <w:tc>
          <w:tcPr>
            <w:tcW w:w="1276" w:type="dxa"/>
            <w:vAlign w:val="center"/>
          </w:tcPr>
          <w:p>
            <w:pPr>
              <w:pStyle w:val="77"/>
              <w:jc w:val="left"/>
              <w:rPr>
                <w:kern w:val="0"/>
              </w:rPr>
            </w:pPr>
            <w:r>
              <w:rPr>
                <w:rFonts w:eastAsia="Malgun Gothic"/>
                <w:kern w:val="0"/>
              </w:rPr>
              <w:t xml:space="preserve">3.8 </w:t>
            </w:r>
          </w:p>
        </w:tc>
        <w:tc>
          <w:tcPr>
            <w:tcW w:w="2268" w:type="dxa"/>
            <w:vAlign w:val="center"/>
          </w:tcPr>
          <w:p>
            <w:pPr>
              <w:pStyle w:val="77"/>
              <w:jc w:val="left"/>
              <w:rPr>
                <w:kern w:val="0"/>
              </w:rPr>
            </w:pPr>
            <w:r>
              <w:rPr>
                <w:rFonts w:eastAsia="Malgun Gothic"/>
                <w:kern w:val="0"/>
              </w:rPr>
              <w:t>0.60 (0.45–0.79)</w:t>
            </w:r>
          </w:p>
        </w:tc>
        <w:tc>
          <w:tcPr>
            <w:tcW w:w="1275" w:type="dxa"/>
            <w:vAlign w:val="center"/>
          </w:tcPr>
          <w:p>
            <w:pPr>
              <w:pStyle w:val="77"/>
              <w:jc w:val="left"/>
              <w:rPr>
                <w:kern w:val="0"/>
              </w:rPr>
            </w:pPr>
            <w:r>
              <w:rPr>
                <w:rFonts w:eastAsia="Malgun Gothic"/>
                <w:kern w:val="0"/>
              </w:rPr>
              <w:t>&lt;0.001</w:t>
            </w:r>
          </w:p>
        </w:tc>
        <w:tc>
          <w:tcPr>
            <w:tcW w:w="2268" w:type="dxa"/>
            <w:vAlign w:val="center"/>
          </w:tcPr>
          <w:p>
            <w:pPr>
              <w:pStyle w:val="77"/>
              <w:jc w:val="left"/>
              <w:rPr>
                <w:kern w:val="0"/>
              </w:rPr>
            </w:pPr>
            <w:r>
              <w:rPr>
                <w:rFonts w:eastAsia="Malgun Gothic"/>
                <w:kern w:val="0"/>
              </w:rPr>
              <w:t>0.91 (0.67–1.23)</w:t>
            </w:r>
          </w:p>
        </w:tc>
        <w:tc>
          <w:tcPr>
            <w:tcW w:w="1218" w:type="dxa"/>
            <w:vAlign w:val="center"/>
          </w:tcPr>
          <w:p>
            <w:pPr>
              <w:pStyle w:val="77"/>
              <w:jc w:val="left"/>
              <w:rPr>
                <w:kern w:val="0"/>
              </w:rPr>
            </w:pPr>
            <w:r>
              <w:rPr>
                <w:rFonts w:eastAsia="Malgun Gothic"/>
                <w:kern w:val="0"/>
              </w:rPr>
              <w:t>0.533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2547" w:type="dxa"/>
          </w:tcPr>
          <w:p>
            <w:pPr>
              <w:pStyle w:val="77"/>
              <w:jc w:val="left"/>
              <w:rPr>
                <w:kern w:val="0"/>
              </w:rPr>
            </w:pPr>
            <w:r>
              <w:rPr>
                <w:kern w:val="0"/>
              </w:rPr>
              <w:t>Active</w:t>
            </w:r>
          </w:p>
        </w:tc>
        <w:tc>
          <w:tcPr>
            <w:tcW w:w="1417" w:type="dxa"/>
            <w:vAlign w:val="center"/>
          </w:tcPr>
          <w:p>
            <w:pPr>
              <w:pStyle w:val="77"/>
              <w:jc w:val="left"/>
              <w:rPr>
                <w:kern w:val="0"/>
              </w:rPr>
            </w:pPr>
            <w:r>
              <w:rPr>
                <w:rFonts w:eastAsia="Malgun Gothic"/>
                <w:kern w:val="0"/>
              </w:rPr>
              <w:t>1192</w:t>
            </w:r>
          </w:p>
        </w:tc>
        <w:tc>
          <w:tcPr>
            <w:tcW w:w="1418" w:type="dxa"/>
            <w:vAlign w:val="center"/>
          </w:tcPr>
          <w:p>
            <w:pPr>
              <w:pStyle w:val="77"/>
              <w:jc w:val="left"/>
              <w:rPr>
                <w:kern w:val="0"/>
              </w:rPr>
            </w:pPr>
            <w:r>
              <w:rPr>
                <w:rFonts w:eastAsia="Malgun Gothic"/>
                <w:kern w:val="0"/>
              </w:rPr>
              <w:t>41</w:t>
            </w:r>
          </w:p>
        </w:tc>
        <w:tc>
          <w:tcPr>
            <w:tcW w:w="1276" w:type="dxa"/>
            <w:vAlign w:val="center"/>
          </w:tcPr>
          <w:p>
            <w:pPr>
              <w:pStyle w:val="77"/>
              <w:jc w:val="left"/>
              <w:rPr>
                <w:kern w:val="0"/>
              </w:rPr>
            </w:pPr>
            <w:r>
              <w:rPr>
                <w:rFonts w:eastAsia="Malgun Gothic"/>
                <w:kern w:val="0"/>
              </w:rPr>
              <w:t xml:space="preserve">3.2 </w:t>
            </w:r>
          </w:p>
        </w:tc>
        <w:tc>
          <w:tcPr>
            <w:tcW w:w="2268" w:type="dxa"/>
            <w:vAlign w:val="center"/>
          </w:tcPr>
          <w:p>
            <w:pPr>
              <w:pStyle w:val="77"/>
              <w:jc w:val="left"/>
              <w:rPr>
                <w:kern w:val="0"/>
              </w:rPr>
            </w:pPr>
            <w:r>
              <w:rPr>
                <w:rFonts w:eastAsia="Malgun Gothic"/>
                <w:kern w:val="0"/>
              </w:rPr>
              <w:t>0.51 (0.36–0.71)</w:t>
            </w:r>
          </w:p>
        </w:tc>
        <w:tc>
          <w:tcPr>
            <w:tcW w:w="1275" w:type="dxa"/>
            <w:vAlign w:val="center"/>
          </w:tcPr>
          <w:p>
            <w:pPr>
              <w:pStyle w:val="77"/>
              <w:jc w:val="left"/>
              <w:rPr>
                <w:kern w:val="0"/>
              </w:rPr>
            </w:pPr>
            <w:r>
              <w:rPr>
                <w:rFonts w:eastAsia="Malgun Gothic"/>
                <w:kern w:val="0"/>
              </w:rPr>
              <w:t>&lt;0.001</w:t>
            </w:r>
          </w:p>
        </w:tc>
        <w:tc>
          <w:tcPr>
            <w:tcW w:w="2268" w:type="dxa"/>
            <w:vAlign w:val="center"/>
          </w:tcPr>
          <w:p>
            <w:pPr>
              <w:pStyle w:val="77"/>
              <w:jc w:val="left"/>
              <w:rPr>
                <w:kern w:val="0"/>
              </w:rPr>
            </w:pPr>
            <w:r>
              <w:rPr>
                <w:rFonts w:eastAsia="Malgun Gothic"/>
                <w:kern w:val="0"/>
              </w:rPr>
              <w:t>0.94 (0.66–1.34)</w:t>
            </w:r>
          </w:p>
        </w:tc>
        <w:tc>
          <w:tcPr>
            <w:tcW w:w="1218" w:type="dxa"/>
            <w:vAlign w:val="center"/>
          </w:tcPr>
          <w:p>
            <w:pPr>
              <w:pStyle w:val="77"/>
              <w:jc w:val="left"/>
              <w:rPr>
                <w:kern w:val="0"/>
              </w:rPr>
            </w:pPr>
            <w:r>
              <w:rPr>
                <w:rFonts w:eastAsia="Malgun Gothic"/>
                <w:kern w:val="0"/>
              </w:rPr>
              <w:t>0.743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3" w:hRule="atLeast"/>
          <w:jc w:val="center"/>
        </w:trPr>
        <w:tc>
          <w:tcPr>
            <w:tcW w:w="2547" w:type="dxa"/>
          </w:tcPr>
          <w:p>
            <w:pPr>
              <w:pStyle w:val="77"/>
              <w:jc w:val="left"/>
              <w:rPr>
                <w:kern w:val="0"/>
              </w:rPr>
            </w:pPr>
            <w:r>
              <w:rPr>
                <w:kern w:val="0"/>
              </w:rPr>
              <w:t>Highly active</w:t>
            </w:r>
          </w:p>
        </w:tc>
        <w:tc>
          <w:tcPr>
            <w:tcW w:w="1417" w:type="dxa"/>
            <w:vAlign w:val="center"/>
          </w:tcPr>
          <w:p>
            <w:pPr>
              <w:pStyle w:val="77"/>
              <w:jc w:val="left"/>
              <w:rPr>
                <w:kern w:val="0"/>
              </w:rPr>
            </w:pPr>
            <w:r>
              <w:rPr>
                <w:rFonts w:eastAsia="Malgun Gothic"/>
                <w:kern w:val="0"/>
              </w:rPr>
              <w:t>559</w:t>
            </w:r>
          </w:p>
        </w:tc>
        <w:tc>
          <w:tcPr>
            <w:tcW w:w="1418" w:type="dxa"/>
            <w:vAlign w:val="center"/>
          </w:tcPr>
          <w:p>
            <w:pPr>
              <w:pStyle w:val="77"/>
              <w:jc w:val="left"/>
              <w:rPr>
                <w:kern w:val="0"/>
              </w:rPr>
            </w:pPr>
            <w:r>
              <w:rPr>
                <w:rFonts w:eastAsia="Malgun Gothic"/>
                <w:kern w:val="0"/>
              </w:rPr>
              <w:t>15</w:t>
            </w:r>
          </w:p>
        </w:tc>
        <w:tc>
          <w:tcPr>
            <w:tcW w:w="1276" w:type="dxa"/>
            <w:vAlign w:val="center"/>
          </w:tcPr>
          <w:p>
            <w:pPr>
              <w:pStyle w:val="77"/>
              <w:jc w:val="left"/>
              <w:rPr>
                <w:kern w:val="0"/>
              </w:rPr>
            </w:pPr>
            <w:r>
              <w:rPr>
                <w:rFonts w:eastAsia="Malgun Gothic"/>
                <w:kern w:val="0"/>
              </w:rPr>
              <w:t xml:space="preserve">2.5 </w:t>
            </w:r>
          </w:p>
        </w:tc>
        <w:tc>
          <w:tcPr>
            <w:tcW w:w="2268" w:type="dxa"/>
            <w:vAlign w:val="center"/>
          </w:tcPr>
          <w:p>
            <w:pPr>
              <w:pStyle w:val="77"/>
              <w:jc w:val="left"/>
              <w:rPr>
                <w:kern w:val="0"/>
              </w:rPr>
            </w:pPr>
            <w:r>
              <w:rPr>
                <w:rFonts w:eastAsia="Malgun Gothic"/>
                <w:kern w:val="0"/>
              </w:rPr>
              <w:t>0.39 (0.23–0.65)</w:t>
            </w:r>
          </w:p>
        </w:tc>
        <w:tc>
          <w:tcPr>
            <w:tcW w:w="1275" w:type="dxa"/>
            <w:vAlign w:val="center"/>
          </w:tcPr>
          <w:p>
            <w:pPr>
              <w:pStyle w:val="77"/>
              <w:jc w:val="left"/>
              <w:rPr>
                <w:kern w:val="0"/>
              </w:rPr>
            </w:pPr>
            <w:r>
              <w:rPr>
                <w:rFonts w:eastAsia="Malgun Gothic"/>
                <w:kern w:val="0"/>
              </w:rPr>
              <w:t>&lt;0.001</w:t>
            </w:r>
          </w:p>
        </w:tc>
        <w:tc>
          <w:tcPr>
            <w:tcW w:w="2268" w:type="dxa"/>
            <w:vAlign w:val="center"/>
          </w:tcPr>
          <w:p>
            <w:pPr>
              <w:pStyle w:val="77"/>
              <w:jc w:val="left"/>
              <w:rPr>
                <w:kern w:val="0"/>
              </w:rPr>
            </w:pPr>
            <w:r>
              <w:rPr>
                <w:rFonts w:eastAsia="Malgun Gothic"/>
                <w:kern w:val="0"/>
              </w:rPr>
              <w:t>0.84 (0.48–1.46)</w:t>
            </w:r>
          </w:p>
        </w:tc>
        <w:tc>
          <w:tcPr>
            <w:tcW w:w="1218" w:type="dxa"/>
            <w:vAlign w:val="center"/>
          </w:tcPr>
          <w:p>
            <w:pPr>
              <w:pStyle w:val="77"/>
              <w:jc w:val="left"/>
              <w:rPr>
                <w:kern w:val="0"/>
              </w:rPr>
            </w:pPr>
            <w:r>
              <w:rPr>
                <w:rFonts w:eastAsia="Malgun Gothic"/>
                <w:kern w:val="0"/>
              </w:rPr>
              <w:t>0.541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13687" w:type="dxa"/>
            <w:gridSpan w:val="8"/>
          </w:tcPr>
          <w:p>
            <w:pPr>
              <w:pStyle w:val="77"/>
              <w:jc w:val="left"/>
              <w:rPr>
                <w:kern w:val="0"/>
              </w:rPr>
            </w:pPr>
            <w:r>
              <w:rPr>
                <w:kern w:val="0"/>
              </w:rPr>
              <w:t>Male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3" w:hRule="atLeast"/>
          <w:jc w:val="center"/>
        </w:trPr>
        <w:tc>
          <w:tcPr>
            <w:tcW w:w="2547" w:type="dxa"/>
          </w:tcPr>
          <w:p>
            <w:pPr>
              <w:pStyle w:val="77"/>
              <w:jc w:val="left"/>
              <w:rPr>
                <w:kern w:val="0"/>
              </w:rPr>
            </w:pPr>
            <w:r>
              <w:rPr>
                <w:kern w:val="0"/>
              </w:rPr>
              <w:t>Inactive</w:t>
            </w:r>
          </w:p>
        </w:tc>
        <w:tc>
          <w:tcPr>
            <w:tcW w:w="1417" w:type="dxa"/>
            <w:vAlign w:val="center"/>
          </w:tcPr>
          <w:p>
            <w:pPr>
              <w:pStyle w:val="77"/>
              <w:jc w:val="left"/>
              <w:rPr>
                <w:kern w:val="0"/>
              </w:rPr>
            </w:pPr>
            <w:r>
              <w:rPr>
                <w:rFonts w:eastAsia="Malgun Gothic"/>
                <w:kern w:val="0"/>
              </w:rPr>
              <w:t>927</w:t>
            </w:r>
          </w:p>
        </w:tc>
        <w:tc>
          <w:tcPr>
            <w:tcW w:w="1418" w:type="dxa"/>
            <w:vAlign w:val="center"/>
          </w:tcPr>
          <w:p>
            <w:pPr>
              <w:pStyle w:val="77"/>
              <w:jc w:val="left"/>
              <w:rPr>
                <w:kern w:val="0"/>
              </w:rPr>
            </w:pPr>
            <w:r>
              <w:rPr>
                <w:rFonts w:eastAsia="Malgun Gothic"/>
                <w:kern w:val="0"/>
              </w:rPr>
              <w:t>72</w:t>
            </w:r>
          </w:p>
        </w:tc>
        <w:tc>
          <w:tcPr>
            <w:tcW w:w="1276" w:type="dxa"/>
            <w:vAlign w:val="center"/>
          </w:tcPr>
          <w:p>
            <w:pPr>
              <w:pStyle w:val="77"/>
              <w:jc w:val="left"/>
              <w:rPr>
                <w:kern w:val="0"/>
              </w:rPr>
            </w:pPr>
            <w:r>
              <w:rPr>
                <w:rFonts w:eastAsia="Malgun Gothic"/>
                <w:kern w:val="0"/>
              </w:rPr>
              <w:t xml:space="preserve">8.2 </w:t>
            </w:r>
          </w:p>
        </w:tc>
        <w:tc>
          <w:tcPr>
            <w:tcW w:w="2268" w:type="dxa"/>
            <w:vAlign w:val="center"/>
          </w:tcPr>
          <w:p>
            <w:pPr>
              <w:pStyle w:val="77"/>
              <w:jc w:val="left"/>
              <w:rPr>
                <w:kern w:val="0"/>
              </w:rPr>
            </w:pPr>
            <w:r>
              <w:rPr>
                <w:rFonts w:eastAsia="Malgun Gothic"/>
                <w:kern w:val="0"/>
              </w:rPr>
              <w:t>Reference</w:t>
            </w:r>
          </w:p>
        </w:tc>
        <w:tc>
          <w:tcPr>
            <w:tcW w:w="1275" w:type="dxa"/>
            <w:vAlign w:val="center"/>
          </w:tcPr>
          <w:p>
            <w:pPr>
              <w:pStyle w:val="77"/>
              <w:jc w:val="left"/>
              <w:rPr>
                <w:kern w:val="0"/>
              </w:rPr>
            </w:pPr>
          </w:p>
        </w:tc>
        <w:tc>
          <w:tcPr>
            <w:tcW w:w="2268" w:type="dxa"/>
            <w:vAlign w:val="center"/>
          </w:tcPr>
          <w:p>
            <w:pPr>
              <w:pStyle w:val="77"/>
              <w:jc w:val="left"/>
              <w:rPr>
                <w:kern w:val="0"/>
              </w:rPr>
            </w:pPr>
            <w:r>
              <w:rPr>
                <w:rFonts w:eastAsia="Malgun Gothic"/>
                <w:kern w:val="0"/>
              </w:rPr>
              <w:t>Reference</w:t>
            </w:r>
          </w:p>
        </w:tc>
        <w:tc>
          <w:tcPr>
            <w:tcW w:w="1218" w:type="dxa"/>
            <w:vAlign w:val="center"/>
          </w:tcPr>
          <w:p>
            <w:pPr>
              <w:pStyle w:val="77"/>
              <w:jc w:val="left"/>
              <w:rPr>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2547" w:type="dxa"/>
          </w:tcPr>
          <w:p>
            <w:pPr>
              <w:pStyle w:val="77"/>
              <w:jc w:val="left"/>
              <w:rPr>
                <w:kern w:val="0"/>
              </w:rPr>
            </w:pPr>
            <w:r>
              <w:rPr>
                <w:kern w:val="0"/>
              </w:rPr>
              <w:t>Insufficiently active</w:t>
            </w:r>
          </w:p>
        </w:tc>
        <w:tc>
          <w:tcPr>
            <w:tcW w:w="1417" w:type="dxa"/>
            <w:vAlign w:val="center"/>
          </w:tcPr>
          <w:p>
            <w:pPr>
              <w:pStyle w:val="77"/>
              <w:jc w:val="left"/>
              <w:rPr>
                <w:kern w:val="0"/>
              </w:rPr>
            </w:pPr>
            <w:r>
              <w:rPr>
                <w:rFonts w:eastAsia="Malgun Gothic"/>
                <w:kern w:val="0"/>
              </w:rPr>
              <w:t>577</w:t>
            </w:r>
          </w:p>
        </w:tc>
        <w:tc>
          <w:tcPr>
            <w:tcW w:w="1418" w:type="dxa"/>
            <w:vAlign w:val="center"/>
          </w:tcPr>
          <w:p>
            <w:pPr>
              <w:pStyle w:val="77"/>
              <w:jc w:val="left"/>
              <w:rPr>
                <w:kern w:val="0"/>
              </w:rPr>
            </w:pPr>
            <w:r>
              <w:rPr>
                <w:rFonts w:eastAsia="Malgun Gothic"/>
                <w:kern w:val="0"/>
              </w:rPr>
              <w:t>32</w:t>
            </w:r>
          </w:p>
        </w:tc>
        <w:tc>
          <w:tcPr>
            <w:tcW w:w="1276" w:type="dxa"/>
            <w:vAlign w:val="center"/>
          </w:tcPr>
          <w:p>
            <w:pPr>
              <w:pStyle w:val="77"/>
              <w:jc w:val="left"/>
              <w:rPr>
                <w:kern w:val="0"/>
              </w:rPr>
            </w:pPr>
            <w:r>
              <w:rPr>
                <w:rFonts w:eastAsia="Malgun Gothic"/>
                <w:kern w:val="0"/>
              </w:rPr>
              <w:t xml:space="preserve">5.6 </w:t>
            </w:r>
          </w:p>
        </w:tc>
        <w:tc>
          <w:tcPr>
            <w:tcW w:w="2268" w:type="dxa"/>
            <w:vAlign w:val="center"/>
          </w:tcPr>
          <w:p>
            <w:pPr>
              <w:pStyle w:val="77"/>
              <w:jc w:val="left"/>
              <w:rPr>
                <w:kern w:val="0"/>
              </w:rPr>
            </w:pPr>
            <w:r>
              <w:rPr>
                <w:rFonts w:eastAsia="Malgun Gothic"/>
                <w:kern w:val="0"/>
              </w:rPr>
              <w:t>0.68 (0.45–1.03)</w:t>
            </w:r>
          </w:p>
        </w:tc>
        <w:tc>
          <w:tcPr>
            <w:tcW w:w="1275" w:type="dxa"/>
            <w:vAlign w:val="center"/>
          </w:tcPr>
          <w:p>
            <w:pPr>
              <w:pStyle w:val="77"/>
              <w:jc w:val="left"/>
              <w:rPr>
                <w:kern w:val="0"/>
              </w:rPr>
            </w:pPr>
            <w:r>
              <w:rPr>
                <w:rFonts w:eastAsia="Malgun Gothic"/>
                <w:kern w:val="0"/>
              </w:rPr>
              <w:t>0.069</w:t>
            </w:r>
          </w:p>
        </w:tc>
        <w:tc>
          <w:tcPr>
            <w:tcW w:w="2268" w:type="dxa"/>
            <w:vAlign w:val="center"/>
          </w:tcPr>
          <w:p>
            <w:pPr>
              <w:pStyle w:val="77"/>
              <w:jc w:val="left"/>
              <w:rPr>
                <w:kern w:val="0"/>
              </w:rPr>
            </w:pPr>
            <w:r>
              <w:rPr>
                <w:rFonts w:eastAsia="Malgun Gothic"/>
                <w:kern w:val="0"/>
              </w:rPr>
              <w:t>0.89 (0.59–1.34)</w:t>
            </w:r>
          </w:p>
        </w:tc>
        <w:tc>
          <w:tcPr>
            <w:tcW w:w="1218" w:type="dxa"/>
            <w:vAlign w:val="center"/>
          </w:tcPr>
          <w:p>
            <w:pPr>
              <w:pStyle w:val="77"/>
              <w:jc w:val="left"/>
              <w:rPr>
                <w:kern w:val="0"/>
              </w:rPr>
            </w:pPr>
            <w:r>
              <w:rPr>
                <w:rFonts w:eastAsia="Malgun Gothic"/>
                <w:kern w:val="0"/>
              </w:rPr>
              <w:t>0.581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2547" w:type="dxa"/>
          </w:tcPr>
          <w:p>
            <w:pPr>
              <w:pStyle w:val="77"/>
              <w:jc w:val="left"/>
              <w:rPr>
                <w:kern w:val="0"/>
              </w:rPr>
            </w:pPr>
            <w:r>
              <w:rPr>
                <w:kern w:val="0"/>
              </w:rPr>
              <w:t>Active</w:t>
            </w:r>
          </w:p>
        </w:tc>
        <w:tc>
          <w:tcPr>
            <w:tcW w:w="1417" w:type="dxa"/>
            <w:vAlign w:val="center"/>
          </w:tcPr>
          <w:p>
            <w:pPr>
              <w:pStyle w:val="77"/>
              <w:jc w:val="left"/>
              <w:rPr>
                <w:kern w:val="0"/>
              </w:rPr>
            </w:pPr>
            <w:r>
              <w:rPr>
                <w:rFonts w:eastAsia="Malgun Gothic"/>
                <w:kern w:val="0"/>
              </w:rPr>
              <w:t>633</w:t>
            </w:r>
          </w:p>
        </w:tc>
        <w:tc>
          <w:tcPr>
            <w:tcW w:w="1418" w:type="dxa"/>
            <w:vAlign w:val="center"/>
          </w:tcPr>
          <w:p>
            <w:pPr>
              <w:pStyle w:val="77"/>
              <w:jc w:val="left"/>
              <w:rPr>
                <w:kern w:val="0"/>
              </w:rPr>
            </w:pPr>
            <w:r>
              <w:rPr>
                <w:rFonts w:eastAsia="Malgun Gothic"/>
                <w:kern w:val="0"/>
              </w:rPr>
              <w:t>36</w:t>
            </w:r>
          </w:p>
        </w:tc>
        <w:tc>
          <w:tcPr>
            <w:tcW w:w="1276" w:type="dxa"/>
            <w:vAlign w:val="center"/>
          </w:tcPr>
          <w:p>
            <w:pPr>
              <w:pStyle w:val="77"/>
              <w:jc w:val="left"/>
              <w:rPr>
                <w:kern w:val="0"/>
              </w:rPr>
            </w:pPr>
            <w:r>
              <w:rPr>
                <w:rFonts w:eastAsia="Malgun Gothic"/>
                <w:kern w:val="0"/>
              </w:rPr>
              <w:t xml:space="preserve">5.5 </w:t>
            </w:r>
          </w:p>
        </w:tc>
        <w:tc>
          <w:tcPr>
            <w:tcW w:w="2268" w:type="dxa"/>
            <w:vAlign w:val="center"/>
          </w:tcPr>
          <w:p>
            <w:pPr>
              <w:pStyle w:val="77"/>
              <w:jc w:val="left"/>
              <w:rPr>
                <w:kern w:val="0"/>
              </w:rPr>
            </w:pPr>
            <w:r>
              <w:rPr>
                <w:rFonts w:eastAsia="Malgun Gothic"/>
                <w:kern w:val="0"/>
              </w:rPr>
              <w:t>0.67 (0.45–0.99)</w:t>
            </w:r>
          </w:p>
        </w:tc>
        <w:tc>
          <w:tcPr>
            <w:tcW w:w="1275" w:type="dxa"/>
            <w:vAlign w:val="center"/>
          </w:tcPr>
          <w:p>
            <w:pPr>
              <w:pStyle w:val="77"/>
              <w:jc w:val="left"/>
              <w:rPr>
                <w:kern w:val="0"/>
              </w:rPr>
            </w:pPr>
            <w:r>
              <w:rPr>
                <w:rFonts w:eastAsia="Malgun Gothic"/>
                <w:kern w:val="0"/>
              </w:rPr>
              <w:t>0.046</w:t>
            </w:r>
          </w:p>
        </w:tc>
        <w:tc>
          <w:tcPr>
            <w:tcW w:w="2268" w:type="dxa"/>
            <w:vAlign w:val="center"/>
          </w:tcPr>
          <w:p>
            <w:pPr>
              <w:pStyle w:val="77"/>
              <w:jc w:val="left"/>
              <w:rPr>
                <w:kern w:val="0"/>
              </w:rPr>
            </w:pPr>
            <w:r>
              <w:rPr>
                <w:rFonts w:eastAsia="Malgun Gothic"/>
                <w:kern w:val="0"/>
              </w:rPr>
              <w:t>0.97 (0.64–1.48)</w:t>
            </w:r>
          </w:p>
        </w:tc>
        <w:tc>
          <w:tcPr>
            <w:tcW w:w="1218" w:type="dxa"/>
            <w:vAlign w:val="center"/>
          </w:tcPr>
          <w:p>
            <w:pPr>
              <w:pStyle w:val="77"/>
              <w:jc w:val="left"/>
              <w:rPr>
                <w:kern w:val="0"/>
              </w:rPr>
            </w:pPr>
            <w:r>
              <w:rPr>
                <w:rFonts w:eastAsia="Malgun Gothic"/>
                <w:kern w:val="0"/>
              </w:rPr>
              <w:t>0.895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3" w:hRule="atLeast"/>
          <w:jc w:val="center"/>
        </w:trPr>
        <w:tc>
          <w:tcPr>
            <w:tcW w:w="2547" w:type="dxa"/>
          </w:tcPr>
          <w:p>
            <w:pPr>
              <w:pStyle w:val="77"/>
              <w:jc w:val="left"/>
              <w:rPr>
                <w:kern w:val="0"/>
              </w:rPr>
            </w:pPr>
            <w:r>
              <w:rPr>
                <w:kern w:val="0"/>
              </w:rPr>
              <w:t>Highly active</w:t>
            </w:r>
          </w:p>
        </w:tc>
        <w:tc>
          <w:tcPr>
            <w:tcW w:w="1417" w:type="dxa"/>
            <w:vAlign w:val="center"/>
          </w:tcPr>
          <w:p>
            <w:pPr>
              <w:pStyle w:val="77"/>
              <w:jc w:val="left"/>
              <w:rPr>
                <w:kern w:val="0"/>
              </w:rPr>
            </w:pPr>
            <w:r>
              <w:rPr>
                <w:rFonts w:eastAsia="Malgun Gothic"/>
                <w:kern w:val="0"/>
              </w:rPr>
              <w:t>508</w:t>
            </w:r>
          </w:p>
        </w:tc>
        <w:tc>
          <w:tcPr>
            <w:tcW w:w="1418" w:type="dxa"/>
            <w:vAlign w:val="center"/>
          </w:tcPr>
          <w:p>
            <w:pPr>
              <w:pStyle w:val="77"/>
              <w:jc w:val="left"/>
              <w:rPr>
                <w:kern w:val="0"/>
              </w:rPr>
            </w:pPr>
            <w:r>
              <w:rPr>
                <w:rFonts w:eastAsia="Malgun Gothic"/>
                <w:kern w:val="0"/>
              </w:rPr>
              <w:t>15</w:t>
            </w:r>
          </w:p>
        </w:tc>
        <w:tc>
          <w:tcPr>
            <w:tcW w:w="1276" w:type="dxa"/>
            <w:vAlign w:val="center"/>
          </w:tcPr>
          <w:p>
            <w:pPr>
              <w:pStyle w:val="77"/>
              <w:jc w:val="left"/>
              <w:rPr>
                <w:kern w:val="0"/>
              </w:rPr>
            </w:pPr>
            <w:r>
              <w:rPr>
                <w:rFonts w:eastAsia="Malgun Gothic"/>
                <w:kern w:val="0"/>
              </w:rPr>
              <w:t xml:space="preserve">2.8 </w:t>
            </w:r>
          </w:p>
        </w:tc>
        <w:tc>
          <w:tcPr>
            <w:tcW w:w="2268" w:type="dxa"/>
            <w:vAlign w:val="center"/>
          </w:tcPr>
          <w:p>
            <w:pPr>
              <w:pStyle w:val="77"/>
              <w:jc w:val="left"/>
              <w:rPr>
                <w:kern w:val="0"/>
              </w:rPr>
            </w:pPr>
            <w:r>
              <w:rPr>
                <w:rFonts w:eastAsia="Malgun Gothic"/>
                <w:kern w:val="0"/>
              </w:rPr>
              <w:t>0.33 (0.19–0.58)</w:t>
            </w:r>
          </w:p>
        </w:tc>
        <w:tc>
          <w:tcPr>
            <w:tcW w:w="1275" w:type="dxa"/>
            <w:vAlign w:val="center"/>
          </w:tcPr>
          <w:p>
            <w:pPr>
              <w:pStyle w:val="77"/>
              <w:jc w:val="left"/>
              <w:rPr>
                <w:kern w:val="0"/>
              </w:rPr>
            </w:pPr>
            <w:r>
              <w:rPr>
                <w:rFonts w:eastAsia="Malgun Gothic"/>
                <w:kern w:val="0"/>
              </w:rPr>
              <w:t>&lt;0.001</w:t>
            </w:r>
          </w:p>
        </w:tc>
        <w:tc>
          <w:tcPr>
            <w:tcW w:w="2268" w:type="dxa"/>
            <w:vAlign w:val="center"/>
          </w:tcPr>
          <w:p>
            <w:pPr>
              <w:pStyle w:val="77"/>
              <w:jc w:val="left"/>
              <w:rPr>
                <w:kern w:val="0"/>
              </w:rPr>
            </w:pPr>
            <w:r>
              <w:rPr>
                <w:rFonts w:eastAsia="Malgun Gothic"/>
                <w:kern w:val="0"/>
              </w:rPr>
              <w:t>0.57 (0.32–1.00)</w:t>
            </w:r>
          </w:p>
        </w:tc>
        <w:tc>
          <w:tcPr>
            <w:tcW w:w="1218" w:type="dxa"/>
            <w:vAlign w:val="center"/>
          </w:tcPr>
          <w:p>
            <w:pPr>
              <w:pStyle w:val="77"/>
              <w:jc w:val="left"/>
              <w:rPr>
                <w:kern w:val="0"/>
              </w:rPr>
            </w:pPr>
            <w:r>
              <w:rPr>
                <w:rFonts w:eastAsia="Malgun Gothic"/>
                <w:kern w:val="0"/>
              </w:rPr>
              <w:t>0.052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13687" w:type="dxa"/>
            <w:gridSpan w:val="8"/>
          </w:tcPr>
          <w:p>
            <w:pPr>
              <w:pStyle w:val="77"/>
              <w:jc w:val="left"/>
              <w:rPr>
                <w:kern w:val="0"/>
              </w:rPr>
            </w:pPr>
            <w:r>
              <w:rPr>
                <w:kern w:val="0"/>
              </w:rPr>
              <w:t>Non-CVD-related mortality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13687" w:type="dxa"/>
            <w:gridSpan w:val="8"/>
          </w:tcPr>
          <w:p>
            <w:pPr>
              <w:pStyle w:val="77"/>
              <w:jc w:val="left"/>
              <w:rPr>
                <w:kern w:val="0"/>
              </w:rPr>
            </w:pPr>
            <w:r>
              <w:rPr>
                <w:kern w:val="0"/>
              </w:rPr>
              <w:t>Female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2547" w:type="dxa"/>
          </w:tcPr>
          <w:p>
            <w:pPr>
              <w:pStyle w:val="77"/>
              <w:jc w:val="left"/>
              <w:rPr>
                <w:kern w:val="0"/>
              </w:rPr>
            </w:pPr>
            <w:r>
              <w:rPr>
                <w:kern w:val="0"/>
              </w:rPr>
              <w:t>Inactive</w:t>
            </w:r>
          </w:p>
        </w:tc>
        <w:tc>
          <w:tcPr>
            <w:tcW w:w="1417" w:type="dxa"/>
            <w:vAlign w:val="center"/>
          </w:tcPr>
          <w:p>
            <w:pPr>
              <w:pStyle w:val="77"/>
              <w:jc w:val="left"/>
              <w:rPr>
                <w:kern w:val="0"/>
              </w:rPr>
            </w:pPr>
            <w:r>
              <w:rPr>
                <w:rFonts w:eastAsia="Malgun Gothic"/>
                <w:kern w:val="0"/>
              </w:rPr>
              <w:t>3009</w:t>
            </w:r>
          </w:p>
        </w:tc>
        <w:tc>
          <w:tcPr>
            <w:tcW w:w="1418" w:type="dxa"/>
            <w:vAlign w:val="center"/>
          </w:tcPr>
          <w:p>
            <w:pPr>
              <w:pStyle w:val="77"/>
              <w:jc w:val="left"/>
              <w:rPr>
                <w:kern w:val="0"/>
              </w:rPr>
            </w:pPr>
            <w:r>
              <w:rPr>
                <w:rFonts w:eastAsia="Malgun Gothic"/>
                <w:kern w:val="0"/>
              </w:rPr>
              <w:t>343</w:t>
            </w:r>
          </w:p>
        </w:tc>
        <w:tc>
          <w:tcPr>
            <w:tcW w:w="1276" w:type="dxa"/>
            <w:vAlign w:val="center"/>
          </w:tcPr>
          <w:p>
            <w:pPr>
              <w:pStyle w:val="77"/>
              <w:jc w:val="left"/>
              <w:rPr>
                <w:kern w:val="0"/>
              </w:rPr>
            </w:pPr>
            <w:r>
              <w:rPr>
                <w:rFonts w:eastAsia="Malgun Gothic"/>
                <w:kern w:val="0"/>
              </w:rPr>
              <w:t xml:space="preserve">3.9 </w:t>
            </w:r>
          </w:p>
        </w:tc>
        <w:tc>
          <w:tcPr>
            <w:tcW w:w="2268" w:type="dxa"/>
            <w:vAlign w:val="center"/>
          </w:tcPr>
          <w:p>
            <w:pPr>
              <w:pStyle w:val="77"/>
              <w:jc w:val="left"/>
              <w:rPr>
                <w:kern w:val="0"/>
              </w:rPr>
            </w:pPr>
            <w:r>
              <w:rPr>
                <w:rFonts w:eastAsia="Malgun Gothic"/>
                <w:kern w:val="0"/>
              </w:rPr>
              <w:t>Reference</w:t>
            </w:r>
          </w:p>
        </w:tc>
        <w:tc>
          <w:tcPr>
            <w:tcW w:w="1275" w:type="dxa"/>
            <w:vAlign w:val="center"/>
          </w:tcPr>
          <w:p>
            <w:pPr>
              <w:pStyle w:val="77"/>
              <w:jc w:val="left"/>
              <w:rPr>
                <w:kern w:val="0"/>
              </w:rPr>
            </w:pPr>
          </w:p>
        </w:tc>
        <w:tc>
          <w:tcPr>
            <w:tcW w:w="2268" w:type="dxa"/>
            <w:vAlign w:val="center"/>
          </w:tcPr>
          <w:p>
            <w:pPr>
              <w:pStyle w:val="77"/>
              <w:jc w:val="left"/>
              <w:rPr>
                <w:kern w:val="0"/>
              </w:rPr>
            </w:pPr>
            <w:r>
              <w:rPr>
                <w:rFonts w:eastAsia="Malgun Gothic"/>
                <w:kern w:val="0"/>
              </w:rPr>
              <w:t>Reference</w:t>
            </w:r>
          </w:p>
        </w:tc>
        <w:tc>
          <w:tcPr>
            <w:tcW w:w="1218" w:type="dxa"/>
            <w:vAlign w:val="center"/>
          </w:tcPr>
          <w:p>
            <w:pPr>
              <w:pStyle w:val="77"/>
              <w:jc w:val="left"/>
              <w:rPr>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2547" w:type="dxa"/>
          </w:tcPr>
          <w:p>
            <w:pPr>
              <w:pStyle w:val="77"/>
              <w:jc w:val="left"/>
              <w:rPr>
                <w:kern w:val="0"/>
              </w:rPr>
            </w:pPr>
            <w:r>
              <w:rPr>
                <w:kern w:val="0"/>
              </w:rPr>
              <w:t>Insufficiently active</w:t>
            </w:r>
          </w:p>
        </w:tc>
        <w:tc>
          <w:tcPr>
            <w:tcW w:w="1417" w:type="dxa"/>
            <w:vAlign w:val="center"/>
          </w:tcPr>
          <w:p>
            <w:pPr>
              <w:pStyle w:val="77"/>
              <w:jc w:val="left"/>
              <w:rPr>
                <w:kern w:val="0"/>
              </w:rPr>
            </w:pPr>
            <w:r>
              <w:rPr>
                <w:rFonts w:eastAsia="Malgun Gothic"/>
                <w:kern w:val="0"/>
              </w:rPr>
              <w:t>1577</w:t>
            </w:r>
          </w:p>
        </w:tc>
        <w:tc>
          <w:tcPr>
            <w:tcW w:w="1418" w:type="dxa"/>
            <w:vAlign w:val="center"/>
          </w:tcPr>
          <w:p>
            <w:pPr>
              <w:pStyle w:val="77"/>
              <w:jc w:val="left"/>
              <w:rPr>
                <w:kern w:val="0"/>
              </w:rPr>
            </w:pPr>
            <w:r>
              <w:rPr>
                <w:rFonts w:eastAsia="Malgun Gothic"/>
                <w:kern w:val="0"/>
              </w:rPr>
              <w:t>109</w:t>
            </w:r>
          </w:p>
        </w:tc>
        <w:tc>
          <w:tcPr>
            <w:tcW w:w="1276" w:type="dxa"/>
            <w:vAlign w:val="center"/>
          </w:tcPr>
          <w:p>
            <w:pPr>
              <w:pStyle w:val="77"/>
              <w:jc w:val="left"/>
              <w:rPr>
                <w:kern w:val="0"/>
              </w:rPr>
            </w:pPr>
            <w:r>
              <w:rPr>
                <w:rFonts w:eastAsia="Malgun Gothic"/>
                <w:kern w:val="0"/>
              </w:rPr>
              <w:t xml:space="preserve">2.2 </w:t>
            </w:r>
          </w:p>
        </w:tc>
        <w:tc>
          <w:tcPr>
            <w:tcW w:w="2268" w:type="dxa"/>
            <w:vAlign w:val="center"/>
          </w:tcPr>
          <w:p>
            <w:pPr>
              <w:pStyle w:val="77"/>
              <w:jc w:val="left"/>
              <w:rPr>
                <w:kern w:val="0"/>
              </w:rPr>
            </w:pPr>
            <w:r>
              <w:rPr>
                <w:rFonts w:eastAsia="Malgun Gothic"/>
                <w:kern w:val="0"/>
              </w:rPr>
              <w:t>0.57 (0.46–0.70)</w:t>
            </w:r>
          </w:p>
        </w:tc>
        <w:tc>
          <w:tcPr>
            <w:tcW w:w="1275" w:type="dxa"/>
            <w:vAlign w:val="center"/>
          </w:tcPr>
          <w:p>
            <w:pPr>
              <w:pStyle w:val="77"/>
              <w:jc w:val="left"/>
              <w:rPr>
                <w:kern w:val="0"/>
              </w:rPr>
            </w:pPr>
            <w:r>
              <w:rPr>
                <w:rFonts w:eastAsia="Malgun Gothic"/>
                <w:kern w:val="0"/>
              </w:rPr>
              <w:t>&lt;0.001</w:t>
            </w:r>
          </w:p>
        </w:tc>
        <w:tc>
          <w:tcPr>
            <w:tcW w:w="2268" w:type="dxa"/>
            <w:vAlign w:val="center"/>
          </w:tcPr>
          <w:p>
            <w:pPr>
              <w:pStyle w:val="77"/>
              <w:jc w:val="left"/>
              <w:rPr>
                <w:kern w:val="0"/>
              </w:rPr>
            </w:pPr>
            <w:r>
              <w:rPr>
                <w:rFonts w:eastAsia="Malgun Gothic"/>
                <w:kern w:val="0"/>
              </w:rPr>
              <w:t>0.76 (0.60–0.95)</w:t>
            </w:r>
          </w:p>
        </w:tc>
        <w:tc>
          <w:tcPr>
            <w:tcW w:w="1218" w:type="dxa"/>
            <w:vAlign w:val="center"/>
          </w:tcPr>
          <w:p>
            <w:pPr>
              <w:pStyle w:val="77"/>
              <w:jc w:val="left"/>
              <w:rPr>
                <w:kern w:val="0"/>
              </w:rPr>
            </w:pPr>
            <w:r>
              <w:rPr>
                <w:rFonts w:eastAsia="Malgun Gothic"/>
                <w:kern w:val="0"/>
              </w:rPr>
              <w:t>0.017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3" w:hRule="atLeast"/>
          <w:jc w:val="center"/>
        </w:trPr>
        <w:tc>
          <w:tcPr>
            <w:tcW w:w="2547" w:type="dxa"/>
          </w:tcPr>
          <w:p>
            <w:pPr>
              <w:pStyle w:val="77"/>
              <w:jc w:val="left"/>
              <w:rPr>
                <w:kern w:val="0"/>
              </w:rPr>
            </w:pPr>
            <w:r>
              <w:rPr>
                <w:kern w:val="0"/>
              </w:rPr>
              <w:t>Active</w:t>
            </w:r>
          </w:p>
        </w:tc>
        <w:tc>
          <w:tcPr>
            <w:tcW w:w="1417" w:type="dxa"/>
            <w:vAlign w:val="center"/>
          </w:tcPr>
          <w:p>
            <w:pPr>
              <w:pStyle w:val="77"/>
              <w:jc w:val="left"/>
              <w:rPr>
                <w:kern w:val="0"/>
              </w:rPr>
            </w:pPr>
            <w:r>
              <w:rPr>
                <w:rFonts w:eastAsia="Malgun Gothic"/>
                <w:kern w:val="0"/>
              </w:rPr>
              <w:t>1192</w:t>
            </w:r>
          </w:p>
        </w:tc>
        <w:tc>
          <w:tcPr>
            <w:tcW w:w="1418" w:type="dxa"/>
            <w:vAlign w:val="center"/>
          </w:tcPr>
          <w:p>
            <w:pPr>
              <w:pStyle w:val="77"/>
              <w:jc w:val="left"/>
              <w:rPr>
                <w:kern w:val="0"/>
              </w:rPr>
            </w:pPr>
            <w:r>
              <w:rPr>
                <w:rFonts w:eastAsia="Malgun Gothic"/>
                <w:kern w:val="0"/>
              </w:rPr>
              <w:t>62</w:t>
            </w:r>
          </w:p>
        </w:tc>
        <w:tc>
          <w:tcPr>
            <w:tcW w:w="1276" w:type="dxa"/>
            <w:vAlign w:val="center"/>
          </w:tcPr>
          <w:p>
            <w:pPr>
              <w:pStyle w:val="77"/>
              <w:jc w:val="left"/>
              <w:rPr>
                <w:kern w:val="0"/>
              </w:rPr>
            </w:pPr>
            <w:r>
              <w:rPr>
                <w:rFonts w:eastAsia="Malgun Gothic"/>
                <w:kern w:val="0"/>
              </w:rPr>
              <w:t xml:space="preserve">1.6 </w:t>
            </w:r>
          </w:p>
        </w:tc>
        <w:tc>
          <w:tcPr>
            <w:tcW w:w="2268" w:type="dxa"/>
            <w:vAlign w:val="center"/>
          </w:tcPr>
          <w:p>
            <w:pPr>
              <w:pStyle w:val="77"/>
              <w:jc w:val="left"/>
              <w:rPr>
                <w:kern w:val="0"/>
              </w:rPr>
            </w:pPr>
            <w:r>
              <w:rPr>
                <w:rFonts w:eastAsia="Malgun Gothic"/>
                <w:kern w:val="0"/>
              </w:rPr>
              <w:t>0.42 (0.32–0.55)</w:t>
            </w:r>
          </w:p>
        </w:tc>
        <w:tc>
          <w:tcPr>
            <w:tcW w:w="1275" w:type="dxa"/>
            <w:vAlign w:val="center"/>
          </w:tcPr>
          <w:p>
            <w:pPr>
              <w:pStyle w:val="77"/>
              <w:jc w:val="left"/>
              <w:rPr>
                <w:kern w:val="0"/>
              </w:rPr>
            </w:pPr>
            <w:r>
              <w:rPr>
                <w:rFonts w:eastAsia="Malgun Gothic"/>
                <w:kern w:val="0"/>
              </w:rPr>
              <w:t>&lt;0.001</w:t>
            </w:r>
          </w:p>
        </w:tc>
        <w:tc>
          <w:tcPr>
            <w:tcW w:w="2268" w:type="dxa"/>
            <w:vAlign w:val="center"/>
          </w:tcPr>
          <w:p>
            <w:pPr>
              <w:pStyle w:val="77"/>
              <w:jc w:val="left"/>
              <w:rPr>
                <w:kern w:val="0"/>
              </w:rPr>
            </w:pPr>
            <w:r>
              <w:rPr>
                <w:rFonts w:eastAsia="Malgun Gothic"/>
                <w:kern w:val="0"/>
              </w:rPr>
              <w:t>0.72 (0.54–0.95)</w:t>
            </w:r>
          </w:p>
        </w:tc>
        <w:tc>
          <w:tcPr>
            <w:tcW w:w="1218" w:type="dxa"/>
            <w:vAlign w:val="center"/>
          </w:tcPr>
          <w:p>
            <w:pPr>
              <w:pStyle w:val="77"/>
              <w:jc w:val="left"/>
              <w:rPr>
                <w:kern w:val="0"/>
              </w:rPr>
            </w:pPr>
            <w:r>
              <w:rPr>
                <w:rFonts w:eastAsia="Malgun Gothic"/>
                <w:kern w:val="0"/>
              </w:rPr>
              <w:t>0.022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jc w:val="center"/>
        </w:trPr>
        <w:tc>
          <w:tcPr>
            <w:tcW w:w="2547" w:type="dxa"/>
          </w:tcPr>
          <w:p>
            <w:pPr>
              <w:pStyle w:val="77"/>
              <w:jc w:val="left"/>
              <w:rPr>
                <w:kern w:val="0"/>
              </w:rPr>
            </w:pPr>
            <w:r>
              <w:rPr>
                <w:kern w:val="0"/>
              </w:rPr>
              <w:t>Highly active</w:t>
            </w:r>
          </w:p>
        </w:tc>
        <w:tc>
          <w:tcPr>
            <w:tcW w:w="1417" w:type="dxa"/>
            <w:vAlign w:val="center"/>
          </w:tcPr>
          <w:p>
            <w:pPr>
              <w:pStyle w:val="77"/>
              <w:jc w:val="left"/>
              <w:rPr>
                <w:kern w:val="0"/>
              </w:rPr>
            </w:pPr>
            <w:r>
              <w:rPr>
                <w:rFonts w:eastAsia="Malgun Gothic"/>
                <w:kern w:val="0"/>
              </w:rPr>
              <w:t>559</w:t>
            </w:r>
          </w:p>
        </w:tc>
        <w:tc>
          <w:tcPr>
            <w:tcW w:w="1418" w:type="dxa"/>
            <w:vAlign w:val="center"/>
          </w:tcPr>
          <w:p>
            <w:pPr>
              <w:pStyle w:val="77"/>
              <w:jc w:val="left"/>
              <w:rPr>
                <w:kern w:val="0"/>
              </w:rPr>
            </w:pPr>
            <w:r>
              <w:rPr>
                <w:rFonts w:eastAsia="Malgun Gothic"/>
                <w:kern w:val="0"/>
              </w:rPr>
              <w:t>18</w:t>
            </w:r>
          </w:p>
        </w:tc>
        <w:tc>
          <w:tcPr>
            <w:tcW w:w="1276" w:type="dxa"/>
            <w:vAlign w:val="center"/>
          </w:tcPr>
          <w:p>
            <w:pPr>
              <w:pStyle w:val="77"/>
              <w:jc w:val="left"/>
              <w:rPr>
                <w:kern w:val="0"/>
              </w:rPr>
            </w:pPr>
            <w:r>
              <w:rPr>
                <w:rFonts w:eastAsia="Malgun Gothic"/>
                <w:kern w:val="0"/>
              </w:rPr>
              <w:t xml:space="preserve">1.0 </w:t>
            </w:r>
          </w:p>
        </w:tc>
        <w:tc>
          <w:tcPr>
            <w:tcW w:w="2268" w:type="dxa"/>
            <w:vAlign w:val="center"/>
          </w:tcPr>
          <w:p>
            <w:pPr>
              <w:pStyle w:val="77"/>
              <w:jc w:val="left"/>
              <w:rPr>
                <w:kern w:val="0"/>
              </w:rPr>
            </w:pPr>
            <w:r>
              <w:rPr>
                <w:rFonts w:eastAsia="Malgun Gothic"/>
                <w:kern w:val="0"/>
              </w:rPr>
              <w:t>0.25 (0.16–0.41)</w:t>
            </w:r>
          </w:p>
        </w:tc>
        <w:tc>
          <w:tcPr>
            <w:tcW w:w="1275" w:type="dxa"/>
            <w:vAlign w:val="center"/>
          </w:tcPr>
          <w:p>
            <w:pPr>
              <w:pStyle w:val="77"/>
              <w:jc w:val="left"/>
              <w:rPr>
                <w:kern w:val="0"/>
              </w:rPr>
            </w:pPr>
            <w:r>
              <w:rPr>
                <w:rFonts w:eastAsia="Malgun Gothic"/>
                <w:kern w:val="0"/>
              </w:rPr>
              <w:t>&lt;0.001</w:t>
            </w:r>
          </w:p>
        </w:tc>
        <w:tc>
          <w:tcPr>
            <w:tcW w:w="2268" w:type="dxa"/>
            <w:vAlign w:val="center"/>
          </w:tcPr>
          <w:p>
            <w:pPr>
              <w:pStyle w:val="77"/>
              <w:jc w:val="left"/>
              <w:rPr>
                <w:kern w:val="0"/>
              </w:rPr>
            </w:pPr>
            <w:r>
              <w:rPr>
                <w:rFonts w:eastAsia="Malgun Gothic"/>
                <w:kern w:val="0"/>
              </w:rPr>
              <w:t>0.45 (0.28–0.74)</w:t>
            </w:r>
          </w:p>
        </w:tc>
        <w:tc>
          <w:tcPr>
            <w:tcW w:w="1218" w:type="dxa"/>
            <w:vAlign w:val="center"/>
          </w:tcPr>
          <w:p>
            <w:pPr>
              <w:pStyle w:val="77"/>
              <w:jc w:val="left"/>
              <w:rPr>
                <w:kern w:val="0"/>
              </w:rPr>
            </w:pPr>
            <w:r>
              <w:rPr>
                <w:rFonts w:eastAsia="Malgun Gothic"/>
                <w:kern w:val="0"/>
              </w:rPr>
              <w:t>0.002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13687" w:type="dxa"/>
            <w:gridSpan w:val="8"/>
          </w:tcPr>
          <w:p>
            <w:pPr>
              <w:pStyle w:val="77"/>
              <w:jc w:val="left"/>
              <w:rPr>
                <w:kern w:val="0"/>
              </w:rPr>
            </w:pPr>
            <w:r>
              <w:rPr>
                <w:kern w:val="0"/>
              </w:rPr>
              <w:t>Male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2547" w:type="dxa"/>
          </w:tcPr>
          <w:p>
            <w:pPr>
              <w:pStyle w:val="77"/>
              <w:jc w:val="left"/>
              <w:rPr>
                <w:kern w:val="0"/>
              </w:rPr>
            </w:pPr>
            <w:r>
              <w:rPr>
                <w:kern w:val="0"/>
              </w:rPr>
              <w:t>Inactive</w:t>
            </w:r>
          </w:p>
        </w:tc>
        <w:tc>
          <w:tcPr>
            <w:tcW w:w="1417" w:type="dxa"/>
            <w:vAlign w:val="center"/>
          </w:tcPr>
          <w:p>
            <w:pPr>
              <w:pStyle w:val="77"/>
              <w:jc w:val="left"/>
              <w:rPr>
                <w:kern w:val="0"/>
              </w:rPr>
            </w:pPr>
            <w:r>
              <w:rPr>
                <w:rFonts w:eastAsia="Malgun Gothic"/>
                <w:kern w:val="0"/>
              </w:rPr>
              <w:t>927</w:t>
            </w:r>
          </w:p>
        </w:tc>
        <w:tc>
          <w:tcPr>
            <w:tcW w:w="1418" w:type="dxa"/>
            <w:vAlign w:val="center"/>
          </w:tcPr>
          <w:p>
            <w:pPr>
              <w:pStyle w:val="77"/>
              <w:jc w:val="left"/>
              <w:rPr>
                <w:kern w:val="0"/>
              </w:rPr>
            </w:pPr>
            <w:r>
              <w:rPr>
                <w:rFonts w:eastAsia="Malgun Gothic"/>
                <w:kern w:val="0"/>
              </w:rPr>
              <w:t>172</w:t>
            </w:r>
          </w:p>
        </w:tc>
        <w:tc>
          <w:tcPr>
            <w:tcW w:w="1276" w:type="dxa"/>
            <w:vAlign w:val="center"/>
          </w:tcPr>
          <w:p>
            <w:pPr>
              <w:pStyle w:val="77"/>
              <w:jc w:val="left"/>
              <w:rPr>
                <w:kern w:val="0"/>
              </w:rPr>
            </w:pPr>
            <w:r>
              <w:rPr>
                <w:rFonts w:eastAsia="Malgun Gothic"/>
                <w:kern w:val="0"/>
              </w:rPr>
              <w:t xml:space="preserve">6.5 </w:t>
            </w:r>
          </w:p>
        </w:tc>
        <w:tc>
          <w:tcPr>
            <w:tcW w:w="2268" w:type="dxa"/>
            <w:vAlign w:val="center"/>
          </w:tcPr>
          <w:p>
            <w:pPr>
              <w:pStyle w:val="77"/>
              <w:jc w:val="left"/>
              <w:rPr>
                <w:kern w:val="0"/>
              </w:rPr>
            </w:pPr>
            <w:r>
              <w:rPr>
                <w:rFonts w:eastAsia="Malgun Gothic"/>
                <w:kern w:val="0"/>
              </w:rPr>
              <w:t>Reference</w:t>
            </w:r>
          </w:p>
        </w:tc>
        <w:tc>
          <w:tcPr>
            <w:tcW w:w="1275" w:type="dxa"/>
            <w:vAlign w:val="center"/>
          </w:tcPr>
          <w:p>
            <w:pPr>
              <w:pStyle w:val="77"/>
              <w:jc w:val="left"/>
              <w:rPr>
                <w:kern w:val="0"/>
              </w:rPr>
            </w:pPr>
          </w:p>
        </w:tc>
        <w:tc>
          <w:tcPr>
            <w:tcW w:w="2268" w:type="dxa"/>
            <w:vAlign w:val="center"/>
          </w:tcPr>
          <w:p>
            <w:pPr>
              <w:pStyle w:val="77"/>
              <w:jc w:val="left"/>
              <w:rPr>
                <w:kern w:val="0"/>
              </w:rPr>
            </w:pPr>
            <w:r>
              <w:rPr>
                <w:rFonts w:eastAsia="Malgun Gothic"/>
                <w:kern w:val="0"/>
              </w:rPr>
              <w:t>Reference</w:t>
            </w:r>
          </w:p>
        </w:tc>
        <w:tc>
          <w:tcPr>
            <w:tcW w:w="1218" w:type="dxa"/>
            <w:vAlign w:val="center"/>
          </w:tcPr>
          <w:p>
            <w:pPr>
              <w:pStyle w:val="77"/>
              <w:jc w:val="left"/>
              <w:rPr>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2547" w:type="dxa"/>
          </w:tcPr>
          <w:p>
            <w:pPr>
              <w:pStyle w:val="77"/>
              <w:jc w:val="left"/>
              <w:rPr>
                <w:kern w:val="0"/>
              </w:rPr>
            </w:pPr>
            <w:r>
              <w:rPr>
                <w:kern w:val="0"/>
              </w:rPr>
              <w:t>Insufficiently active</w:t>
            </w:r>
          </w:p>
        </w:tc>
        <w:tc>
          <w:tcPr>
            <w:tcW w:w="1417" w:type="dxa"/>
            <w:vAlign w:val="center"/>
          </w:tcPr>
          <w:p>
            <w:pPr>
              <w:pStyle w:val="77"/>
              <w:jc w:val="left"/>
              <w:rPr>
                <w:kern w:val="0"/>
              </w:rPr>
            </w:pPr>
            <w:r>
              <w:rPr>
                <w:rFonts w:eastAsia="Malgun Gothic"/>
                <w:kern w:val="0"/>
              </w:rPr>
              <w:t>577</w:t>
            </w:r>
          </w:p>
        </w:tc>
        <w:tc>
          <w:tcPr>
            <w:tcW w:w="1418" w:type="dxa"/>
            <w:vAlign w:val="center"/>
          </w:tcPr>
          <w:p>
            <w:pPr>
              <w:pStyle w:val="77"/>
              <w:jc w:val="left"/>
              <w:rPr>
                <w:kern w:val="0"/>
              </w:rPr>
            </w:pPr>
            <w:r>
              <w:rPr>
                <w:rFonts w:eastAsia="Malgun Gothic"/>
                <w:kern w:val="0"/>
              </w:rPr>
              <w:t>79</w:t>
            </w:r>
          </w:p>
        </w:tc>
        <w:tc>
          <w:tcPr>
            <w:tcW w:w="1276" w:type="dxa"/>
            <w:vAlign w:val="center"/>
          </w:tcPr>
          <w:p>
            <w:pPr>
              <w:pStyle w:val="77"/>
              <w:jc w:val="left"/>
              <w:rPr>
                <w:kern w:val="0"/>
              </w:rPr>
            </w:pPr>
            <w:r>
              <w:rPr>
                <w:rFonts w:eastAsia="Malgun Gothic"/>
                <w:kern w:val="0"/>
              </w:rPr>
              <w:t xml:space="preserve">4.6 </w:t>
            </w:r>
          </w:p>
        </w:tc>
        <w:tc>
          <w:tcPr>
            <w:tcW w:w="2268" w:type="dxa"/>
            <w:vAlign w:val="center"/>
          </w:tcPr>
          <w:p>
            <w:pPr>
              <w:pStyle w:val="77"/>
              <w:jc w:val="left"/>
              <w:rPr>
                <w:kern w:val="0"/>
              </w:rPr>
            </w:pPr>
            <w:r>
              <w:rPr>
                <w:rFonts w:eastAsia="Malgun Gothic"/>
                <w:kern w:val="0"/>
              </w:rPr>
              <w:t>0.71 (0.54–0.92)</w:t>
            </w:r>
          </w:p>
        </w:tc>
        <w:tc>
          <w:tcPr>
            <w:tcW w:w="1275" w:type="dxa"/>
            <w:vAlign w:val="center"/>
          </w:tcPr>
          <w:p>
            <w:pPr>
              <w:pStyle w:val="77"/>
              <w:jc w:val="left"/>
              <w:rPr>
                <w:kern w:val="0"/>
              </w:rPr>
            </w:pPr>
            <w:r>
              <w:rPr>
                <w:rFonts w:eastAsia="Malgun Gothic"/>
                <w:kern w:val="0"/>
              </w:rPr>
              <w:t>0.010</w:t>
            </w:r>
          </w:p>
        </w:tc>
        <w:tc>
          <w:tcPr>
            <w:tcW w:w="2268" w:type="dxa"/>
            <w:vAlign w:val="center"/>
          </w:tcPr>
          <w:p>
            <w:pPr>
              <w:pStyle w:val="77"/>
              <w:jc w:val="left"/>
              <w:rPr>
                <w:kern w:val="0"/>
              </w:rPr>
            </w:pPr>
            <w:r>
              <w:rPr>
                <w:rFonts w:eastAsia="Malgun Gothic"/>
                <w:kern w:val="0"/>
              </w:rPr>
              <w:t>0.78 (0.59–1.03)</w:t>
            </w:r>
          </w:p>
        </w:tc>
        <w:tc>
          <w:tcPr>
            <w:tcW w:w="1218" w:type="dxa"/>
            <w:vAlign w:val="center"/>
          </w:tcPr>
          <w:p>
            <w:pPr>
              <w:pStyle w:val="77"/>
              <w:jc w:val="left"/>
              <w:rPr>
                <w:kern w:val="0"/>
              </w:rPr>
            </w:pPr>
            <w:r>
              <w:rPr>
                <w:rFonts w:eastAsia="Malgun Gothic"/>
                <w:kern w:val="0"/>
              </w:rPr>
              <w:t>0.085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3" w:hRule="atLeast"/>
          <w:jc w:val="center"/>
        </w:trPr>
        <w:tc>
          <w:tcPr>
            <w:tcW w:w="2547" w:type="dxa"/>
          </w:tcPr>
          <w:p>
            <w:pPr>
              <w:pStyle w:val="77"/>
              <w:jc w:val="left"/>
              <w:rPr>
                <w:kern w:val="0"/>
              </w:rPr>
            </w:pPr>
            <w:r>
              <w:rPr>
                <w:kern w:val="0"/>
              </w:rPr>
              <w:t>Active</w:t>
            </w:r>
          </w:p>
        </w:tc>
        <w:tc>
          <w:tcPr>
            <w:tcW w:w="1417" w:type="dxa"/>
            <w:vAlign w:val="center"/>
          </w:tcPr>
          <w:p>
            <w:pPr>
              <w:pStyle w:val="77"/>
              <w:jc w:val="left"/>
              <w:rPr>
                <w:kern w:val="0"/>
              </w:rPr>
            </w:pPr>
            <w:r>
              <w:rPr>
                <w:rFonts w:eastAsia="Malgun Gothic"/>
                <w:kern w:val="0"/>
              </w:rPr>
              <w:t>633</w:t>
            </w:r>
          </w:p>
        </w:tc>
        <w:tc>
          <w:tcPr>
            <w:tcW w:w="1418" w:type="dxa"/>
            <w:vAlign w:val="center"/>
          </w:tcPr>
          <w:p>
            <w:pPr>
              <w:pStyle w:val="77"/>
              <w:jc w:val="left"/>
              <w:rPr>
                <w:kern w:val="0"/>
              </w:rPr>
            </w:pPr>
            <w:r>
              <w:rPr>
                <w:rFonts w:eastAsia="Malgun Gothic"/>
                <w:kern w:val="0"/>
              </w:rPr>
              <w:t>79</w:t>
            </w:r>
          </w:p>
        </w:tc>
        <w:tc>
          <w:tcPr>
            <w:tcW w:w="1276" w:type="dxa"/>
            <w:vAlign w:val="center"/>
          </w:tcPr>
          <w:p>
            <w:pPr>
              <w:pStyle w:val="77"/>
              <w:jc w:val="left"/>
              <w:rPr>
                <w:kern w:val="0"/>
              </w:rPr>
            </w:pPr>
            <w:r>
              <w:rPr>
                <w:rFonts w:eastAsia="Malgun Gothic"/>
                <w:kern w:val="0"/>
              </w:rPr>
              <w:t xml:space="preserve">4.0 </w:t>
            </w:r>
          </w:p>
        </w:tc>
        <w:tc>
          <w:tcPr>
            <w:tcW w:w="2268" w:type="dxa"/>
            <w:vAlign w:val="center"/>
          </w:tcPr>
          <w:p>
            <w:pPr>
              <w:pStyle w:val="77"/>
              <w:jc w:val="left"/>
              <w:rPr>
                <w:kern w:val="0"/>
              </w:rPr>
            </w:pPr>
            <w:r>
              <w:rPr>
                <w:rFonts w:eastAsia="Malgun Gothic"/>
                <w:kern w:val="0"/>
              </w:rPr>
              <w:t>0.61 (0.47–0.80)</w:t>
            </w:r>
          </w:p>
        </w:tc>
        <w:tc>
          <w:tcPr>
            <w:tcW w:w="1275" w:type="dxa"/>
            <w:vAlign w:val="center"/>
          </w:tcPr>
          <w:p>
            <w:pPr>
              <w:pStyle w:val="77"/>
              <w:jc w:val="left"/>
              <w:rPr>
                <w:kern w:val="0"/>
              </w:rPr>
            </w:pPr>
            <w:r>
              <w:rPr>
                <w:rFonts w:eastAsia="Malgun Gothic"/>
                <w:kern w:val="0"/>
              </w:rPr>
              <w:t>&lt;0.001</w:t>
            </w:r>
          </w:p>
        </w:tc>
        <w:tc>
          <w:tcPr>
            <w:tcW w:w="2268" w:type="dxa"/>
            <w:vAlign w:val="center"/>
          </w:tcPr>
          <w:p>
            <w:pPr>
              <w:pStyle w:val="77"/>
              <w:jc w:val="left"/>
              <w:rPr>
                <w:kern w:val="0"/>
              </w:rPr>
            </w:pPr>
            <w:r>
              <w:rPr>
                <w:rFonts w:eastAsia="Malgun Gothic"/>
                <w:kern w:val="0"/>
              </w:rPr>
              <w:t>0.80 (0.61–1.05)</w:t>
            </w:r>
          </w:p>
        </w:tc>
        <w:tc>
          <w:tcPr>
            <w:tcW w:w="1218" w:type="dxa"/>
            <w:vAlign w:val="center"/>
          </w:tcPr>
          <w:p>
            <w:pPr>
              <w:pStyle w:val="77"/>
              <w:jc w:val="left"/>
              <w:rPr>
                <w:kern w:val="0"/>
              </w:rPr>
            </w:pPr>
            <w:r>
              <w:rPr>
                <w:rFonts w:eastAsia="Malgun Gothic"/>
                <w:kern w:val="0"/>
              </w:rPr>
              <w:t>0.112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jc w:val="center"/>
        </w:trPr>
        <w:tc>
          <w:tcPr>
            <w:tcW w:w="2547" w:type="dxa"/>
          </w:tcPr>
          <w:p>
            <w:pPr>
              <w:pStyle w:val="77"/>
              <w:jc w:val="left"/>
              <w:rPr>
                <w:kern w:val="0"/>
              </w:rPr>
            </w:pPr>
            <w:r>
              <w:rPr>
                <w:kern w:val="0"/>
              </w:rPr>
              <w:t>Highly active</w:t>
            </w:r>
          </w:p>
        </w:tc>
        <w:tc>
          <w:tcPr>
            <w:tcW w:w="1417" w:type="dxa"/>
            <w:vAlign w:val="center"/>
          </w:tcPr>
          <w:p>
            <w:pPr>
              <w:pStyle w:val="77"/>
              <w:jc w:val="left"/>
              <w:rPr>
                <w:kern w:val="0"/>
              </w:rPr>
            </w:pPr>
            <w:r>
              <w:rPr>
                <w:rFonts w:eastAsia="Malgun Gothic"/>
                <w:kern w:val="0"/>
              </w:rPr>
              <w:t>508</w:t>
            </w:r>
          </w:p>
        </w:tc>
        <w:tc>
          <w:tcPr>
            <w:tcW w:w="1418" w:type="dxa"/>
            <w:vAlign w:val="center"/>
          </w:tcPr>
          <w:p>
            <w:pPr>
              <w:pStyle w:val="77"/>
              <w:jc w:val="left"/>
              <w:rPr>
                <w:kern w:val="0"/>
              </w:rPr>
            </w:pPr>
            <w:r>
              <w:rPr>
                <w:rFonts w:eastAsia="Malgun Gothic"/>
                <w:kern w:val="0"/>
              </w:rPr>
              <w:t>34</w:t>
            </w:r>
          </w:p>
        </w:tc>
        <w:tc>
          <w:tcPr>
            <w:tcW w:w="1276" w:type="dxa"/>
            <w:vAlign w:val="center"/>
          </w:tcPr>
          <w:p>
            <w:pPr>
              <w:pStyle w:val="77"/>
              <w:jc w:val="left"/>
              <w:rPr>
                <w:kern w:val="0"/>
              </w:rPr>
            </w:pPr>
            <w:r>
              <w:rPr>
                <w:rFonts w:eastAsia="Malgun Gothic"/>
                <w:kern w:val="0"/>
              </w:rPr>
              <w:t xml:space="preserve">2.1 </w:t>
            </w:r>
          </w:p>
        </w:tc>
        <w:tc>
          <w:tcPr>
            <w:tcW w:w="2268" w:type="dxa"/>
            <w:vAlign w:val="center"/>
          </w:tcPr>
          <w:p>
            <w:pPr>
              <w:pStyle w:val="77"/>
              <w:jc w:val="left"/>
              <w:rPr>
                <w:kern w:val="0"/>
              </w:rPr>
            </w:pPr>
            <w:r>
              <w:rPr>
                <w:rFonts w:eastAsia="Malgun Gothic"/>
                <w:kern w:val="0"/>
              </w:rPr>
              <w:t>0.31 (0.22–0.45)</w:t>
            </w:r>
          </w:p>
        </w:tc>
        <w:tc>
          <w:tcPr>
            <w:tcW w:w="1275" w:type="dxa"/>
            <w:vAlign w:val="center"/>
          </w:tcPr>
          <w:p>
            <w:pPr>
              <w:pStyle w:val="77"/>
              <w:jc w:val="left"/>
              <w:rPr>
                <w:kern w:val="0"/>
              </w:rPr>
            </w:pPr>
            <w:r>
              <w:rPr>
                <w:rFonts w:eastAsia="Malgun Gothic"/>
                <w:kern w:val="0"/>
              </w:rPr>
              <w:t>&lt;0.001</w:t>
            </w:r>
          </w:p>
        </w:tc>
        <w:tc>
          <w:tcPr>
            <w:tcW w:w="2268" w:type="dxa"/>
            <w:vAlign w:val="center"/>
          </w:tcPr>
          <w:p>
            <w:pPr>
              <w:pStyle w:val="77"/>
              <w:jc w:val="left"/>
              <w:rPr>
                <w:kern w:val="0"/>
              </w:rPr>
            </w:pPr>
            <w:r>
              <w:rPr>
                <w:rFonts w:eastAsia="Malgun Gothic"/>
                <w:kern w:val="0"/>
              </w:rPr>
              <w:t>0.47 (0.32–0.68)</w:t>
            </w:r>
          </w:p>
        </w:tc>
        <w:tc>
          <w:tcPr>
            <w:tcW w:w="1218" w:type="dxa"/>
            <w:vAlign w:val="center"/>
          </w:tcPr>
          <w:p>
            <w:pPr>
              <w:pStyle w:val="77"/>
              <w:jc w:val="left"/>
              <w:rPr>
                <w:kern w:val="0"/>
              </w:rPr>
            </w:pPr>
            <w:r>
              <w:rPr>
                <w:rFonts w:eastAsia="Malgun Gothic"/>
                <w:kern w:val="0"/>
              </w:rPr>
              <w:t>&lt;0.001</w:t>
            </w:r>
          </w:p>
        </w:tc>
      </w:tr>
    </w:tbl>
    <w:p>
      <w:pPr>
        <w:pStyle w:val="57"/>
        <w:rPr>
          <w:color w:val="000000" w:themeColor="text1"/>
          <w14:textFill>
            <w14:solidFill>
              <w14:schemeClr w14:val="tx1"/>
            </w14:solidFill>
          </w14:textFill>
        </w:rPr>
      </w:pPr>
      <w:r>
        <w:t>HR</w:t>
      </w:r>
      <w:r>
        <w:rPr>
          <w:bCs/>
        </w:rPr>
        <w:t xml:space="preserve">, </w:t>
      </w:r>
      <w:r>
        <w:fldChar w:fldCharType="begin"/>
      </w:r>
      <w:r>
        <w:instrText xml:space="preserve"> HYPERLINK "https://en.wikipedia.org/wiki/Hazard_ratio" \t "_blank" </w:instrText>
      </w:r>
      <w:r>
        <w:fldChar w:fldCharType="separate"/>
      </w:r>
      <w:r>
        <w:rPr>
          <w:rStyle w:val="22"/>
          <w:rFonts w:eastAsia="Malgun Gothic"/>
          <w:b w:val="0"/>
          <w:sz w:val="22"/>
        </w:rPr>
        <w:t>hazard ratio</w:t>
      </w:r>
      <w:r>
        <w:rPr>
          <w:rStyle w:val="22"/>
          <w:rFonts w:eastAsia="Malgun Gothic"/>
          <w:b w:val="0"/>
          <w:sz w:val="22"/>
        </w:rPr>
        <w:fldChar w:fldCharType="end"/>
      </w:r>
      <w:r>
        <w:rPr>
          <w:rFonts w:eastAsia="Malgun Gothic"/>
          <w:bCs/>
        </w:rPr>
        <w:t xml:space="preserve">; </w:t>
      </w:r>
      <w:r>
        <w:rPr>
          <w:rFonts w:eastAsia="Malgun Gothic"/>
        </w:rPr>
        <w:t>CI,</w:t>
      </w:r>
      <w:r>
        <w:rPr>
          <w:rStyle w:val="26"/>
          <w:rFonts w:eastAsia="Malgun Gothic"/>
          <w:color w:val="000000"/>
          <w:sz w:val="22"/>
        </w:rPr>
        <w:t xml:space="preserve"> </w:t>
      </w:r>
      <w:r>
        <w:rPr>
          <w:rStyle w:val="32"/>
          <w:rFonts w:eastAsia="Malgun Gothic"/>
          <w:color w:val="000000"/>
          <w:sz w:val="22"/>
        </w:rPr>
        <w:t>confidence interval;</w:t>
      </w:r>
      <w:r>
        <w:rPr>
          <w:rFonts w:eastAsia="Malgun Gothic"/>
        </w:rPr>
        <w:t xml:space="preserve"> </w:t>
      </w:r>
      <w:r>
        <w:rPr>
          <w:color w:val="000000" w:themeColor="text1"/>
          <w14:textFill>
            <w14:solidFill>
              <w14:schemeClr w14:val="tx1"/>
            </w14:solidFill>
          </w14:textFill>
        </w:rPr>
        <w:t xml:space="preserve">CVD, cardiovascular disease; </w:t>
      </w:r>
      <w:r>
        <w:t>PYR</w:t>
      </w:r>
      <w:r>
        <w:rPr>
          <w:b/>
        </w:rPr>
        <w:t xml:space="preserve">, </w:t>
      </w:r>
      <w:r>
        <w:rPr>
          <w:rStyle w:val="23"/>
          <w:b w:val="0"/>
          <w:bCs w:val="0"/>
          <w:color w:val="202124"/>
          <w:sz w:val="22"/>
        </w:rPr>
        <w:t>person-years</w:t>
      </w:r>
      <w:r>
        <w:rPr>
          <w:color w:val="202124"/>
        </w:rPr>
        <w:t xml:space="preserve"> at risk.</w:t>
      </w:r>
      <w:r>
        <w:rPr>
          <w:rFonts w:hint="eastAsia" w:eastAsia="等线"/>
          <w:color w:val="000000" w:themeColor="text1"/>
          <w14:textFill>
            <w14:solidFill>
              <w14:schemeClr w14:val="tx1"/>
            </w14:solidFill>
          </w14:textFill>
        </w:rPr>
        <w:t xml:space="preserve"> </w:t>
      </w:r>
      <w:r>
        <w:t>The model was adjusted for age, sex, body mass index, hypertension, diabetes, dyslipidemia, chronic kidney disease, chronic obstructive pulmonary disease, malignancy, previous myocardial infarction, peripheral artery disease, vascular disease, prior stroke or transient ischemic attack, osteoporosis, Hospital Frailty Risk Score, Hospital Frailty Risk Score category, Charlson Comorbidity Index, smoking, and alcohol drinking.</w:t>
      </w:r>
    </w:p>
    <w:p>
      <w:pPr>
        <w:ind w:firstLine="442"/>
        <w:rPr>
          <w:b/>
          <w:color w:val="000000" w:themeColor="text1"/>
          <w:sz w:val="22"/>
          <w14:textFill>
            <w14:solidFill>
              <w14:schemeClr w14:val="tx1"/>
            </w14:solidFill>
          </w14:textFill>
        </w:rPr>
      </w:pPr>
      <w:r>
        <w:rPr>
          <w:b/>
          <w:color w:val="000000" w:themeColor="text1"/>
          <w:sz w:val="22"/>
          <w14:textFill>
            <w14:solidFill>
              <w14:schemeClr w14:val="tx1"/>
            </w14:solidFill>
          </w14:textFill>
        </w:rPr>
        <w:br w:type="page"/>
      </w:r>
    </w:p>
    <w:p>
      <w:pPr>
        <w:pStyle w:val="56"/>
      </w:pPr>
      <w:r>
        <w:rPr>
          <w:bCs/>
        </w:rPr>
        <w:t xml:space="preserve">Supplementary Table </w:t>
      </w:r>
      <w:r>
        <w:t>3. Risk of hospitalization due to all-cause and heart failure, cardiovascular disease and stroke according to physical activity among older adults with heart failure.</w:t>
      </w:r>
    </w:p>
    <w:tbl>
      <w:tblPr>
        <w:tblStyle w:val="2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547"/>
        <w:gridCol w:w="1417"/>
        <w:gridCol w:w="1276"/>
        <w:gridCol w:w="1276"/>
        <w:gridCol w:w="2410"/>
        <w:gridCol w:w="1275"/>
        <w:gridCol w:w="2268"/>
        <w:gridCol w:w="12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1" w:hRule="atLeast"/>
        </w:trPr>
        <w:tc>
          <w:tcPr>
            <w:tcW w:w="2547" w:type="dxa"/>
            <w:vAlign w:val="center"/>
          </w:tcPr>
          <w:p>
            <w:pPr>
              <w:pStyle w:val="77"/>
              <w:jc w:val="left"/>
              <w:rPr>
                <w:kern w:val="0"/>
              </w:rPr>
            </w:pPr>
          </w:p>
        </w:tc>
        <w:tc>
          <w:tcPr>
            <w:tcW w:w="1417" w:type="dxa"/>
            <w:vAlign w:val="center"/>
          </w:tcPr>
          <w:p>
            <w:pPr>
              <w:pStyle w:val="77"/>
              <w:jc w:val="left"/>
              <w:rPr>
                <w:kern w:val="0"/>
              </w:rPr>
            </w:pPr>
            <w:r>
              <w:rPr>
                <w:kern w:val="0"/>
              </w:rPr>
              <w:t>Patients (n)</w:t>
            </w:r>
          </w:p>
        </w:tc>
        <w:tc>
          <w:tcPr>
            <w:tcW w:w="1276" w:type="dxa"/>
            <w:vAlign w:val="center"/>
          </w:tcPr>
          <w:p>
            <w:pPr>
              <w:pStyle w:val="77"/>
              <w:jc w:val="left"/>
              <w:rPr>
                <w:kern w:val="0"/>
              </w:rPr>
            </w:pPr>
            <w:r>
              <w:rPr>
                <w:kern w:val="0"/>
              </w:rPr>
              <w:t>Events (n)</w:t>
            </w:r>
          </w:p>
        </w:tc>
        <w:tc>
          <w:tcPr>
            <w:tcW w:w="1276" w:type="dxa"/>
            <w:vAlign w:val="center"/>
          </w:tcPr>
          <w:p>
            <w:pPr>
              <w:pStyle w:val="77"/>
              <w:jc w:val="left"/>
              <w:rPr>
                <w:kern w:val="0"/>
              </w:rPr>
            </w:pPr>
            <w:r>
              <w:rPr>
                <w:kern w:val="0"/>
              </w:rPr>
              <w:t>Events, /100 PYR</w:t>
            </w:r>
          </w:p>
        </w:tc>
        <w:tc>
          <w:tcPr>
            <w:tcW w:w="2410" w:type="dxa"/>
            <w:vAlign w:val="center"/>
          </w:tcPr>
          <w:p>
            <w:pPr>
              <w:pStyle w:val="77"/>
              <w:jc w:val="left"/>
              <w:rPr>
                <w:kern w:val="0"/>
              </w:rPr>
            </w:pPr>
            <w:r>
              <w:rPr>
                <w:kern w:val="0"/>
              </w:rPr>
              <w:t>Unadjusted HR</w:t>
            </w:r>
            <w:r>
              <w:rPr>
                <w:rFonts w:hint="eastAsia" w:eastAsia="等线"/>
                <w:kern w:val="0"/>
              </w:rPr>
              <w:t xml:space="preserve"> </w:t>
            </w:r>
            <w:r>
              <w:rPr>
                <w:kern w:val="0"/>
              </w:rPr>
              <w:t>(95% CI)</w:t>
            </w:r>
          </w:p>
        </w:tc>
        <w:tc>
          <w:tcPr>
            <w:tcW w:w="1275" w:type="dxa"/>
            <w:vAlign w:val="center"/>
          </w:tcPr>
          <w:p>
            <w:pPr>
              <w:pStyle w:val="77"/>
              <w:jc w:val="left"/>
              <w:rPr>
                <w:kern w:val="0"/>
              </w:rPr>
            </w:pPr>
            <w:r>
              <w:rPr>
                <w:i/>
                <w:iCs/>
                <w:kern w:val="0"/>
              </w:rPr>
              <w:t>p</w:t>
            </w:r>
            <w:r>
              <w:rPr>
                <w:kern w:val="0"/>
              </w:rPr>
              <w:t xml:space="preserve"> value</w:t>
            </w:r>
          </w:p>
        </w:tc>
        <w:tc>
          <w:tcPr>
            <w:tcW w:w="2268" w:type="dxa"/>
            <w:vAlign w:val="center"/>
          </w:tcPr>
          <w:p>
            <w:pPr>
              <w:pStyle w:val="77"/>
              <w:jc w:val="left"/>
              <w:rPr>
                <w:kern w:val="0"/>
              </w:rPr>
            </w:pPr>
            <w:r>
              <w:rPr>
                <w:kern w:val="0"/>
              </w:rPr>
              <w:t>Adjusted HR</w:t>
            </w:r>
            <w:r>
              <w:rPr>
                <w:rFonts w:hint="eastAsia" w:eastAsia="等线"/>
                <w:kern w:val="0"/>
              </w:rPr>
              <w:t xml:space="preserve"> </w:t>
            </w:r>
            <w:r>
              <w:rPr>
                <w:kern w:val="0"/>
              </w:rPr>
              <w:t>(95% CI)</w:t>
            </w:r>
          </w:p>
        </w:tc>
        <w:tc>
          <w:tcPr>
            <w:tcW w:w="1218" w:type="dxa"/>
            <w:vAlign w:val="center"/>
          </w:tcPr>
          <w:p>
            <w:pPr>
              <w:pStyle w:val="77"/>
              <w:jc w:val="left"/>
              <w:rPr>
                <w:kern w:val="0"/>
              </w:rPr>
            </w:pPr>
            <w:r>
              <w:rPr>
                <w:i/>
                <w:iCs/>
                <w:kern w:val="0"/>
              </w:rPr>
              <w:t>p</w:t>
            </w:r>
            <w:r>
              <w:rPr>
                <w:kern w:val="0"/>
              </w:rPr>
              <w:t xml:space="preserve"> value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trPr>
        <w:tc>
          <w:tcPr>
            <w:tcW w:w="13687" w:type="dxa"/>
            <w:gridSpan w:val="8"/>
          </w:tcPr>
          <w:p>
            <w:pPr>
              <w:pStyle w:val="77"/>
              <w:jc w:val="left"/>
              <w:rPr>
                <w:b/>
                <w:bCs/>
                <w:kern w:val="0"/>
              </w:rPr>
            </w:pPr>
            <w:r>
              <w:rPr>
                <w:b/>
                <w:bCs/>
                <w:kern w:val="0"/>
              </w:rPr>
              <w:t>Hospitalization due to all-cause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trPr>
        <w:tc>
          <w:tcPr>
            <w:tcW w:w="13687" w:type="dxa"/>
            <w:gridSpan w:val="8"/>
          </w:tcPr>
          <w:p>
            <w:pPr>
              <w:pStyle w:val="77"/>
              <w:jc w:val="left"/>
              <w:rPr>
                <w:b/>
                <w:bCs/>
                <w:kern w:val="0"/>
              </w:rPr>
            </w:pPr>
            <w:r>
              <w:rPr>
                <w:bCs/>
                <w:kern w:val="0"/>
              </w:rPr>
              <w:t>Female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trPr>
        <w:tc>
          <w:tcPr>
            <w:tcW w:w="2547" w:type="dxa"/>
          </w:tcPr>
          <w:p>
            <w:pPr>
              <w:pStyle w:val="77"/>
              <w:jc w:val="left"/>
              <w:rPr>
                <w:kern w:val="0"/>
              </w:rPr>
            </w:pPr>
            <w:r>
              <w:rPr>
                <w:kern w:val="0"/>
              </w:rPr>
              <w:t>Inactive</w:t>
            </w:r>
          </w:p>
        </w:tc>
        <w:tc>
          <w:tcPr>
            <w:tcW w:w="1417" w:type="dxa"/>
            <w:vAlign w:val="center"/>
          </w:tcPr>
          <w:p>
            <w:pPr>
              <w:pStyle w:val="77"/>
              <w:jc w:val="left"/>
              <w:rPr>
                <w:kern w:val="0"/>
              </w:rPr>
            </w:pPr>
            <w:r>
              <w:rPr>
                <w:rFonts w:eastAsia="Malgun Gothic"/>
                <w:color w:val="000000"/>
                <w:kern w:val="0"/>
              </w:rPr>
              <w:t>3009</w:t>
            </w:r>
          </w:p>
        </w:tc>
        <w:tc>
          <w:tcPr>
            <w:tcW w:w="1276" w:type="dxa"/>
            <w:vAlign w:val="center"/>
          </w:tcPr>
          <w:p>
            <w:pPr>
              <w:pStyle w:val="77"/>
              <w:jc w:val="left"/>
              <w:rPr>
                <w:kern w:val="0"/>
              </w:rPr>
            </w:pPr>
            <w:r>
              <w:rPr>
                <w:rFonts w:eastAsia="Malgun Gothic"/>
                <w:color w:val="000000"/>
                <w:kern w:val="0"/>
              </w:rPr>
              <w:t>1989</w:t>
            </w:r>
          </w:p>
        </w:tc>
        <w:tc>
          <w:tcPr>
            <w:tcW w:w="1276" w:type="dxa"/>
            <w:vAlign w:val="center"/>
          </w:tcPr>
          <w:p>
            <w:pPr>
              <w:pStyle w:val="77"/>
              <w:jc w:val="left"/>
              <w:rPr>
                <w:kern w:val="0"/>
              </w:rPr>
            </w:pPr>
            <w:r>
              <w:rPr>
                <w:rFonts w:eastAsia="Malgun Gothic"/>
                <w:color w:val="000000"/>
                <w:kern w:val="0"/>
              </w:rPr>
              <w:t xml:space="preserve">39.3 </w:t>
            </w:r>
          </w:p>
        </w:tc>
        <w:tc>
          <w:tcPr>
            <w:tcW w:w="2410" w:type="dxa"/>
            <w:vAlign w:val="center"/>
          </w:tcPr>
          <w:p>
            <w:pPr>
              <w:pStyle w:val="77"/>
              <w:jc w:val="left"/>
              <w:rPr>
                <w:kern w:val="0"/>
              </w:rPr>
            </w:pPr>
            <w:r>
              <w:rPr>
                <w:rFonts w:eastAsia="Malgun Gothic"/>
                <w:color w:val="000000"/>
                <w:kern w:val="0"/>
              </w:rPr>
              <w:t>Reference</w:t>
            </w:r>
          </w:p>
        </w:tc>
        <w:tc>
          <w:tcPr>
            <w:tcW w:w="1275" w:type="dxa"/>
            <w:vAlign w:val="center"/>
          </w:tcPr>
          <w:p>
            <w:pPr>
              <w:pStyle w:val="77"/>
              <w:jc w:val="left"/>
              <w:rPr>
                <w:kern w:val="0"/>
              </w:rPr>
            </w:pPr>
          </w:p>
        </w:tc>
        <w:tc>
          <w:tcPr>
            <w:tcW w:w="2268" w:type="dxa"/>
            <w:vAlign w:val="center"/>
          </w:tcPr>
          <w:p>
            <w:pPr>
              <w:pStyle w:val="77"/>
              <w:jc w:val="left"/>
              <w:rPr>
                <w:kern w:val="0"/>
              </w:rPr>
            </w:pPr>
            <w:r>
              <w:rPr>
                <w:rFonts w:eastAsia="Malgun Gothic"/>
                <w:color w:val="000000"/>
                <w:kern w:val="0"/>
              </w:rPr>
              <w:t>Reference</w:t>
            </w:r>
          </w:p>
        </w:tc>
        <w:tc>
          <w:tcPr>
            <w:tcW w:w="1218" w:type="dxa"/>
            <w:vAlign w:val="center"/>
          </w:tcPr>
          <w:p>
            <w:pPr>
              <w:pStyle w:val="77"/>
              <w:jc w:val="left"/>
              <w:rPr>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3" w:hRule="atLeast"/>
        </w:trPr>
        <w:tc>
          <w:tcPr>
            <w:tcW w:w="2547" w:type="dxa"/>
          </w:tcPr>
          <w:p>
            <w:pPr>
              <w:pStyle w:val="77"/>
              <w:jc w:val="left"/>
              <w:rPr>
                <w:kern w:val="0"/>
              </w:rPr>
            </w:pPr>
            <w:r>
              <w:rPr>
                <w:kern w:val="0"/>
              </w:rPr>
              <w:t>Insufficiently active</w:t>
            </w:r>
          </w:p>
        </w:tc>
        <w:tc>
          <w:tcPr>
            <w:tcW w:w="1417" w:type="dxa"/>
            <w:vAlign w:val="center"/>
          </w:tcPr>
          <w:p>
            <w:pPr>
              <w:pStyle w:val="77"/>
              <w:jc w:val="left"/>
              <w:rPr>
                <w:kern w:val="0"/>
              </w:rPr>
            </w:pPr>
            <w:r>
              <w:rPr>
                <w:rFonts w:eastAsia="Malgun Gothic"/>
                <w:color w:val="000000"/>
                <w:kern w:val="0"/>
              </w:rPr>
              <w:t>1577</w:t>
            </w:r>
          </w:p>
        </w:tc>
        <w:tc>
          <w:tcPr>
            <w:tcW w:w="1276" w:type="dxa"/>
            <w:vAlign w:val="center"/>
          </w:tcPr>
          <w:p>
            <w:pPr>
              <w:pStyle w:val="77"/>
              <w:jc w:val="left"/>
              <w:rPr>
                <w:kern w:val="0"/>
              </w:rPr>
            </w:pPr>
            <w:r>
              <w:rPr>
                <w:rFonts w:eastAsia="Malgun Gothic"/>
                <w:color w:val="000000"/>
                <w:kern w:val="0"/>
              </w:rPr>
              <w:t>1022</w:t>
            </w:r>
          </w:p>
        </w:tc>
        <w:tc>
          <w:tcPr>
            <w:tcW w:w="1276" w:type="dxa"/>
            <w:vAlign w:val="center"/>
          </w:tcPr>
          <w:p>
            <w:pPr>
              <w:pStyle w:val="77"/>
              <w:jc w:val="left"/>
              <w:rPr>
                <w:kern w:val="0"/>
              </w:rPr>
            </w:pPr>
            <w:r>
              <w:rPr>
                <w:rFonts w:eastAsia="Malgun Gothic"/>
                <w:color w:val="000000"/>
                <w:kern w:val="0"/>
              </w:rPr>
              <w:t xml:space="preserve">35.3 </w:t>
            </w:r>
          </w:p>
        </w:tc>
        <w:tc>
          <w:tcPr>
            <w:tcW w:w="2410" w:type="dxa"/>
            <w:vAlign w:val="center"/>
          </w:tcPr>
          <w:p>
            <w:pPr>
              <w:pStyle w:val="77"/>
              <w:jc w:val="left"/>
              <w:rPr>
                <w:kern w:val="0"/>
              </w:rPr>
            </w:pPr>
            <w:r>
              <w:rPr>
                <w:rFonts w:eastAsia="Malgun Gothic"/>
                <w:color w:val="000000"/>
                <w:kern w:val="0"/>
              </w:rPr>
              <w:t>0.90 (0.84–0.98)</w:t>
            </w:r>
          </w:p>
        </w:tc>
        <w:tc>
          <w:tcPr>
            <w:tcW w:w="1275" w:type="dxa"/>
            <w:vAlign w:val="center"/>
          </w:tcPr>
          <w:p>
            <w:pPr>
              <w:pStyle w:val="77"/>
              <w:jc w:val="left"/>
              <w:rPr>
                <w:kern w:val="0"/>
              </w:rPr>
            </w:pPr>
            <w:r>
              <w:rPr>
                <w:rFonts w:eastAsia="Malgun Gothic"/>
                <w:color w:val="000000"/>
                <w:kern w:val="0"/>
              </w:rPr>
              <w:t>0.010</w:t>
            </w:r>
          </w:p>
        </w:tc>
        <w:tc>
          <w:tcPr>
            <w:tcW w:w="2268" w:type="dxa"/>
            <w:vAlign w:val="center"/>
          </w:tcPr>
          <w:p>
            <w:pPr>
              <w:pStyle w:val="77"/>
              <w:jc w:val="left"/>
              <w:rPr>
                <w:kern w:val="0"/>
              </w:rPr>
            </w:pPr>
            <w:r>
              <w:rPr>
                <w:kern w:val="0"/>
              </w:rPr>
              <w:t>0.97 (0.89–1.05)</w:t>
            </w:r>
          </w:p>
        </w:tc>
        <w:tc>
          <w:tcPr>
            <w:tcW w:w="1218" w:type="dxa"/>
            <w:vAlign w:val="center"/>
          </w:tcPr>
          <w:p>
            <w:pPr>
              <w:pStyle w:val="77"/>
              <w:jc w:val="left"/>
              <w:rPr>
                <w:kern w:val="0"/>
              </w:rPr>
            </w:pPr>
            <w:r>
              <w:rPr>
                <w:rFonts w:eastAsia="Malgun Gothic"/>
                <w:color w:val="000000"/>
                <w:kern w:val="0"/>
              </w:rPr>
              <w:t>0.403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trPr>
        <w:tc>
          <w:tcPr>
            <w:tcW w:w="2547" w:type="dxa"/>
          </w:tcPr>
          <w:p>
            <w:pPr>
              <w:pStyle w:val="77"/>
              <w:jc w:val="left"/>
              <w:rPr>
                <w:kern w:val="0"/>
              </w:rPr>
            </w:pPr>
            <w:r>
              <w:rPr>
                <w:kern w:val="0"/>
              </w:rPr>
              <w:t>Active</w:t>
            </w:r>
          </w:p>
        </w:tc>
        <w:tc>
          <w:tcPr>
            <w:tcW w:w="1417" w:type="dxa"/>
            <w:vAlign w:val="center"/>
          </w:tcPr>
          <w:p>
            <w:pPr>
              <w:pStyle w:val="77"/>
              <w:jc w:val="left"/>
              <w:rPr>
                <w:kern w:val="0"/>
              </w:rPr>
            </w:pPr>
            <w:r>
              <w:rPr>
                <w:rFonts w:eastAsia="Malgun Gothic"/>
                <w:color w:val="000000"/>
                <w:kern w:val="0"/>
              </w:rPr>
              <w:t>1192</w:t>
            </w:r>
          </w:p>
        </w:tc>
        <w:tc>
          <w:tcPr>
            <w:tcW w:w="1276" w:type="dxa"/>
            <w:vAlign w:val="center"/>
          </w:tcPr>
          <w:p>
            <w:pPr>
              <w:pStyle w:val="77"/>
              <w:jc w:val="left"/>
              <w:rPr>
                <w:kern w:val="0"/>
              </w:rPr>
            </w:pPr>
            <w:r>
              <w:rPr>
                <w:rFonts w:eastAsia="Malgun Gothic"/>
                <w:color w:val="000000"/>
                <w:kern w:val="0"/>
              </w:rPr>
              <w:t>743</w:t>
            </w:r>
          </w:p>
        </w:tc>
        <w:tc>
          <w:tcPr>
            <w:tcW w:w="1276" w:type="dxa"/>
            <w:vAlign w:val="center"/>
          </w:tcPr>
          <w:p>
            <w:pPr>
              <w:pStyle w:val="77"/>
              <w:jc w:val="left"/>
              <w:rPr>
                <w:kern w:val="0"/>
              </w:rPr>
            </w:pPr>
            <w:r>
              <w:rPr>
                <w:rFonts w:eastAsia="Malgun Gothic"/>
                <w:color w:val="000000"/>
                <w:kern w:val="0"/>
              </w:rPr>
              <w:t xml:space="preserve">32.4 </w:t>
            </w:r>
          </w:p>
        </w:tc>
        <w:tc>
          <w:tcPr>
            <w:tcW w:w="2410" w:type="dxa"/>
            <w:vAlign w:val="center"/>
          </w:tcPr>
          <w:p>
            <w:pPr>
              <w:pStyle w:val="77"/>
              <w:jc w:val="left"/>
              <w:rPr>
                <w:kern w:val="0"/>
              </w:rPr>
            </w:pPr>
            <w:r>
              <w:rPr>
                <w:rFonts w:eastAsia="Malgun Gothic"/>
                <w:color w:val="000000"/>
                <w:kern w:val="0"/>
              </w:rPr>
              <w:t>0.83 (0.77–0.91)</w:t>
            </w:r>
          </w:p>
        </w:tc>
        <w:tc>
          <w:tcPr>
            <w:tcW w:w="1275" w:type="dxa"/>
            <w:vAlign w:val="center"/>
          </w:tcPr>
          <w:p>
            <w:pPr>
              <w:pStyle w:val="77"/>
              <w:jc w:val="left"/>
              <w:rPr>
                <w:kern w:val="0"/>
              </w:rPr>
            </w:pPr>
            <w:r>
              <w:rPr>
                <w:rFonts w:eastAsia="Malgun Gothic"/>
                <w:color w:val="000000"/>
                <w:kern w:val="0"/>
              </w:rPr>
              <w:t>&lt;0.001</w:t>
            </w:r>
          </w:p>
        </w:tc>
        <w:tc>
          <w:tcPr>
            <w:tcW w:w="2268" w:type="dxa"/>
            <w:vAlign w:val="center"/>
          </w:tcPr>
          <w:p>
            <w:pPr>
              <w:pStyle w:val="77"/>
              <w:jc w:val="left"/>
              <w:rPr>
                <w:kern w:val="0"/>
              </w:rPr>
            </w:pPr>
            <w:r>
              <w:rPr>
                <w:kern w:val="0"/>
              </w:rPr>
              <w:t>0.93 (0.85–1.01)</w:t>
            </w:r>
          </w:p>
        </w:tc>
        <w:tc>
          <w:tcPr>
            <w:tcW w:w="1218" w:type="dxa"/>
            <w:vAlign w:val="center"/>
          </w:tcPr>
          <w:p>
            <w:pPr>
              <w:pStyle w:val="77"/>
              <w:jc w:val="left"/>
              <w:rPr>
                <w:kern w:val="0"/>
              </w:rPr>
            </w:pPr>
            <w:r>
              <w:rPr>
                <w:rFonts w:eastAsia="Malgun Gothic"/>
                <w:color w:val="000000"/>
                <w:kern w:val="0"/>
              </w:rPr>
              <w:t>0.103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trPr>
        <w:tc>
          <w:tcPr>
            <w:tcW w:w="2547" w:type="dxa"/>
          </w:tcPr>
          <w:p>
            <w:pPr>
              <w:pStyle w:val="77"/>
              <w:jc w:val="left"/>
              <w:rPr>
                <w:kern w:val="0"/>
              </w:rPr>
            </w:pPr>
            <w:r>
              <w:rPr>
                <w:kern w:val="0"/>
              </w:rPr>
              <w:t>Highly active</w:t>
            </w:r>
          </w:p>
        </w:tc>
        <w:tc>
          <w:tcPr>
            <w:tcW w:w="1417" w:type="dxa"/>
            <w:vAlign w:val="center"/>
          </w:tcPr>
          <w:p>
            <w:pPr>
              <w:pStyle w:val="77"/>
              <w:jc w:val="left"/>
              <w:rPr>
                <w:kern w:val="0"/>
              </w:rPr>
            </w:pPr>
            <w:r>
              <w:rPr>
                <w:rFonts w:eastAsia="Malgun Gothic"/>
                <w:color w:val="000000"/>
                <w:kern w:val="0"/>
              </w:rPr>
              <w:t>559</w:t>
            </w:r>
          </w:p>
        </w:tc>
        <w:tc>
          <w:tcPr>
            <w:tcW w:w="1276" w:type="dxa"/>
            <w:vAlign w:val="center"/>
          </w:tcPr>
          <w:p>
            <w:pPr>
              <w:pStyle w:val="77"/>
              <w:jc w:val="left"/>
              <w:rPr>
                <w:kern w:val="0"/>
              </w:rPr>
            </w:pPr>
            <w:r>
              <w:rPr>
                <w:rFonts w:eastAsia="Malgun Gothic"/>
                <w:color w:val="000000"/>
                <w:kern w:val="0"/>
              </w:rPr>
              <w:t>332</w:t>
            </w:r>
          </w:p>
        </w:tc>
        <w:tc>
          <w:tcPr>
            <w:tcW w:w="1276" w:type="dxa"/>
            <w:vAlign w:val="center"/>
          </w:tcPr>
          <w:p>
            <w:pPr>
              <w:pStyle w:val="77"/>
              <w:jc w:val="left"/>
              <w:rPr>
                <w:kern w:val="0"/>
              </w:rPr>
            </w:pPr>
            <w:r>
              <w:rPr>
                <w:rFonts w:eastAsia="Malgun Gothic"/>
                <w:color w:val="000000"/>
                <w:kern w:val="0"/>
              </w:rPr>
              <w:t xml:space="preserve">29.1 </w:t>
            </w:r>
          </w:p>
        </w:tc>
        <w:tc>
          <w:tcPr>
            <w:tcW w:w="2410" w:type="dxa"/>
            <w:vAlign w:val="center"/>
          </w:tcPr>
          <w:p>
            <w:pPr>
              <w:pStyle w:val="77"/>
              <w:jc w:val="left"/>
              <w:rPr>
                <w:kern w:val="0"/>
              </w:rPr>
            </w:pPr>
            <w:r>
              <w:rPr>
                <w:rFonts w:eastAsia="Malgun Gothic"/>
                <w:color w:val="000000"/>
                <w:kern w:val="0"/>
              </w:rPr>
              <w:t>0.75 (0.67–0.84)</w:t>
            </w:r>
          </w:p>
        </w:tc>
        <w:tc>
          <w:tcPr>
            <w:tcW w:w="1275" w:type="dxa"/>
            <w:vAlign w:val="center"/>
          </w:tcPr>
          <w:p>
            <w:pPr>
              <w:pStyle w:val="77"/>
              <w:jc w:val="left"/>
              <w:rPr>
                <w:kern w:val="0"/>
              </w:rPr>
            </w:pPr>
            <w:r>
              <w:rPr>
                <w:rFonts w:eastAsia="Malgun Gothic"/>
                <w:color w:val="000000"/>
                <w:kern w:val="0"/>
              </w:rPr>
              <w:t>&lt;0.001</w:t>
            </w:r>
          </w:p>
        </w:tc>
        <w:tc>
          <w:tcPr>
            <w:tcW w:w="2268" w:type="dxa"/>
            <w:vAlign w:val="center"/>
          </w:tcPr>
          <w:p>
            <w:pPr>
              <w:pStyle w:val="77"/>
              <w:jc w:val="left"/>
              <w:rPr>
                <w:kern w:val="0"/>
              </w:rPr>
            </w:pPr>
            <w:r>
              <w:rPr>
                <w:kern w:val="0"/>
              </w:rPr>
              <w:t>0.83 (0.74–0.93)</w:t>
            </w:r>
          </w:p>
        </w:tc>
        <w:tc>
          <w:tcPr>
            <w:tcW w:w="1218" w:type="dxa"/>
            <w:vAlign w:val="center"/>
          </w:tcPr>
          <w:p>
            <w:pPr>
              <w:pStyle w:val="77"/>
              <w:jc w:val="left"/>
              <w:rPr>
                <w:kern w:val="0"/>
              </w:rPr>
            </w:pPr>
            <w:r>
              <w:rPr>
                <w:rFonts w:eastAsia="Malgun Gothic"/>
                <w:color w:val="000000"/>
                <w:kern w:val="0"/>
              </w:rPr>
              <w:t>0.002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trPr>
        <w:tc>
          <w:tcPr>
            <w:tcW w:w="13687" w:type="dxa"/>
            <w:gridSpan w:val="8"/>
          </w:tcPr>
          <w:p>
            <w:pPr>
              <w:pStyle w:val="77"/>
              <w:jc w:val="left"/>
              <w:rPr>
                <w:b/>
                <w:bCs/>
                <w:kern w:val="0"/>
              </w:rPr>
            </w:pPr>
            <w:r>
              <w:rPr>
                <w:bCs/>
                <w:kern w:val="0"/>
              </w:rPr>
              <w:t>Male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trPr>
        <w:tc>
          <w:tcPr>
            <w:tcW w:w="2547" w:type="dxa"/>
          </w:tcPr>
          <w:p>
            <w:pPr>
              <w:pStyle w:val="77"/>
              <w:jc w:val="left"/>
              <w:rPr>
                <w:kern w:val="0"/>
              </w:rPr>
            </w:pPr>
            <w:r>
              <w:rPr>
                <w:kern w:val="0"/>
              </w:rPr>
              <w:t>Inactive</w:t>
            </w:r>
          </w:p>
        </w:tc>
        <w:tc>
          <w:tcPr>
            <w:tcW w:w="1417" w:type="dxa"/>
            <w:vAlign w:val="center"/>
          </w:tcPr>
          <w:p>
            <w:pPr>
              <w:pStyle w:val="77"/>
              <w:jc w:val="left"/>
              <w:rPr>
                <w:kern w:val="0"/>
              </w:rPr>
            </w:pPr>
            <w:r>
              <w:rPr>
                <w:rFonts w:eastAsia="Malgun Gothic"/>
                <w:color w:val="000000"/>
                <w:kern w:val="0"/>
              </w:rPr>
              <w:t>927</w:t>
            </w:r>
          </w:p>
        </w:tc>
        <w:tc>
          <w:tcPr>
            <w:tcW w:w="1276" w:type="dxa"/>
            <w:vAlign w:val="center"/>
          </w:tcPr>
          <w:p>
            <w:pPr>
              <w:pStyle w:val="77"/>
              <w:jc w:val="left"/>
              <w:rPr>
                <w:kern w:val="0"/>
              </w:rPr>
            </w:pPr>
            <w:r>
              <w:rPr>
                <w:rFonts w:eastAsia="Malgun Gothic"/>
                <w:color w:val="000000"/>
                <w:kern w:val="0"/>
              </w:rPr>
              <w:t>624</w:t>
            </w:r>
          </w:p>
        </w:tc>
        <w:tc>
          <w:tcPr>
            <w:tcW w:w="1276" w:type="dxa"/>
            <w:vAlign w:val="center"/>
          </w:tcPr>
          <w:p>
            <w:pPr>
              <w:pStyle w:val="77"/>
              <w:jc w:val="left"/>
              <w:rPr>
                <w:kern w:val="0"/>
              </w:rPr>
            </w:pPr>
            <w:r>
              <w:rPr>
                <w:rFonts w:eastAsia="Malgun Gothic"/>
                <w:color w:val="000000"/>
                <w:kern w:val="0"/>
              </w:rPr>
              <w:t xml:space="preserve">41.3 </w:t>
            </w:r>
          </w:p>
        </w:tc>
        <w:tc>
          <w:tcPr>
            <w:tcW w:w="2410" w:type="dxa"/>
            <w:vAlign w:val="center"/>
          </w:tcPr>
          <w:p>
            <w:pPr>
              <w:pStyle w:val="77"/>
              <w:jc w:val="left"/>
              <w:rPr>
                <w:kern w:val="0"/>
              </w:rPr>
            </w:pPr>
            <w:r>
              <w:rPr>
                <w:rFonts w:eastAsia="Malgun Gothic"/>
                <w:color w:val="000000"/>
                <w:kern w:val="0"/>
              </w:rPr>
              <w:t>Reference</w:t>
            </w:r>
          </w:p>
        </w:tc>
        <w:tc>
          <w:tcPr>
            <w:tcW w:w="1275" w:type="dxa"/>
            <w:vAlign w:val="center"/>
          </w:tcPr>
          <w:p>
            <w:pPr>
              <w:pStyle w:val="77"/>
              <w:jc w:val="left"/>
              <w:rPr>
                <w:kern w:val="0"/>
              </w:rPr>
            </w:pPr>
          </w:p>
        </w:tc>
        <w:tc>
          <w:tcPr>
            <w:tcW w:w="2268" w:type="dxa"/>
            <w:vAlign w:val="center"/>
          </w:tcPr>
          <w:p>
            <w:pPr>
              <w:pStyle w:val="77"/>
              <w:jc w:val="left"/>
              <w:rPr>
                <w:kern w:val="0"/>
              </w:rPr>
            </w:pPr>
            <w:r>
              <w:rPr>
                <w:rFonts w:eastAsia="Malgun Gothic"/>
                <w:color w:val="000000"/>
                <w:kern w:val="0"/>
              </w:rPr>
              <w:t>Reference</w:t>
            </w:r>
          </w:p>
        </w:tc>
        <w:tc>
          <w:tcPr>
            <w:tcW w:w="1218" w:type="dxa"/>
            <w:vAlign w:val="center"/>
          </w:tcPr>
          <w:p>
            <w:pPr>
              <w:pStyle w:val="77"/>
              <w:jc w:val="left"/>
              <w:rPr>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3" w:hRule="atLeast"/>
        </w:trPr>
        <w:tc>
          <w:tcPr>
            <w:tcW w:w="2547" w:type="dxa"/>
          </w:tcPr>
          <w:p>
            <w:pPr>
              <w:pStyle w:val="77"/>
              <w:jc w:val="left"/>
              <w:rPr>
                <w:kern w:val="0"/>
              </w:rPr>
            </w:pPr>
            <w:r>
              <w:rPr>
                <w:kern w:val="0"/>
              </w:rPr>
              <w:t>Insufficiently active</w:t>
            </w:r>
          </w:p>
        </w:tc>
        <w:tc>
          <w:tcPr>
            <w:tcW w:w="1417" w:type="dxa"/>
            <w:vAlign w:val="center"/>
          </w:tcPr>
          <w:p>
            <w:pPr>
              <w:pStyle w:val="77"/>
              <w:jc w:val="left"/>
              <w:rPr>
                <w:kern w:val="0"/>
              </w:rPr>
            </w:pPr>
            <w:r>
              <w:rPr>
                <w:rFonts w:eastAsia="Malgun Gothic"/>
                <w:color w:val="000000"/>
                <w:kern w:val="0"/>
              </w:rPr>
              <w:t>577</w:t>
            </w:r>
          </w:p>
        </w:tc>
        <w:tc>
          <w:tcPr>
            <w:tcW w:w="1276" w:type="dxa"/>
            <w:vAlign w:val="center"/>
          </w:tcPr>
          <w:p>
            <w:pPr>
              <w:pStyle w:val="77"/>
              <w:jc w:val="left"/>
              <w:rPr>
                <w:kern w:val="0"/>
              </w:rPr>
            </w:pPr>
            <w:r>
              <w:rPr>
                <w:rFonts w:eastAsia="Malgun Gothic"/>
                <w:color w:val="000000"/>
                <w:kern w:val="0"/>
              </w:rPr>
              <w:t>378</w:t>
            </w:r>
          </w:p>
        </w:tc>
        <w:tc>
          <w:tcPr>
            <w:tcW w:w="1276" w:type="dxa"/>
            <w:vAlign w:val="center"/>
          </w:tcPr>
          <w:p>
            <w:pPr>
              <w:pStyle w:val="77"/>
              <w:jc w:val="left"/>
              <w:rPr>
                <w:kern w:val="0"/>
              </w:rPr>
            </w:pPr>
            <w:r>
              <w:rPr>
                <w:rFonts w:eastAsia="Malgun Gothic"/>
                <w:color w:val="000000"/>
                <w:kern w:val="0"/>
              </w:rPr>
              <w:t xml:space="preserve">37.7 </w:t>
            </w:r>
          </w:p>
        </w:tc>
        <w:tc>
          <w:tcPr>
            <w:tcW w:w="2410" w:type="dxa"/>
            <w:vAlign w:val="center"/>
          </w:tcPr>
          <w:p>
            <w:pPr>
              <w:pStyle w:val="77"/>
              <w:jc w:val="left"/>
              <w:rPr>
                <w:kern w:val="0"/>
              </w:rPr>
            </w:pPr>
            <w:r>
              <w:rPr>
                <w:rFonts w:eastAsia="Malgun Gothic"/>
                <w:color w:val="000000"/>
                <w:kern w:val="0"/>
              </w:rPr>
              <w:t>0.92 (0.80–1.04)</w:t>
            </w:r>
          </w:p>
        </w:tc>
        <w:tc>
          <w:tcPr>
            <w:tcW w:w="1275" w:type="dxa"/>
            <w:vAlign w:val="center"/>
          </w:tcPr>
          <w:p>
            <w:pPr>
              <w:pStyle w:val="77"/>
              <w:jc w:val="left"/>
              <w:rPr>
                <w:kern w:val="0"/>
              </w:rPr>
            </w:pPr>
            <w:r>
              <w:rPr>
                <w:rFonts w:eastAsia="Malgun Gothic"/>
                <w:color w:val="000000"/>
                <w:kern w:val="0"/>
              </w:rPr>
              <w:t>0.177</w:t>
            </w:r>
          </w:p>
        </w:tc>
        <w:tc>
          <w:tcPr>
            <w:tcW w:w="2268" w:type="dxa"/>
            <w:vAlign w:val="center"/>
          </w:tcPr>
          <w:p>
            <w:pPr>
              <w:pStyle w:val="77"/>
              <w:jc w:val="left"/>
              <w:rPr>
                <w:kern w:val="0"/>
              </w:rPr>
            </w:pPr>
            <w:r>
              <w:rPr>
                <w:kern w:val="0"/>
              </w:rPr>
              <w:t>0.98 (0.86–1.12)</w:t>
            </w:r>
          </w:p>
        </w:tc>
        <w:tc>
          <w:tcPr>
            <w:tcW w:w="1218" w:type="dxa"/>
            <w:vAlign w:val="center"/>
          </w:tcPr>
          <w:p>
            <w:pPr>
              <w:pStyle w:val="77"/>
              <w:jc w:val="left"/>
              <w:rPr>
                <w:kern w:val="0"/>
              </w:rPr>
            </w:pPr>
            <w:r>
              <w:rPr>
                <w:rFonts w:eastAsia="Malgun Gothic"/>
                <w:color w:val="000000"/>
                <w:kern w:val="0"/>
              </w:rPr>
              <w:t>0.768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trPr>
        <w:tc>
          <w:tcPr>
            <w:tcW w:w="2547" w:type="dxa"/>
          </w:tcPr>
          <w:p>
            <w:pPr>
              <w:pStyle w:val="77"/>
              <w:jc w:val="left"/>
              <w:rPr>
                <w:kern w:val="0"/>
              </w:rPr>
            </w:pPr>
            <w:r>
              <w:rPr>
                <w:kern w:val="0"/>
              </w:rPr>
              <w:t>Active</w:t>
            </w:r>
          </w:p>
        </w:tc>
        <w:tc>
          <w:tcPr>
            <w:tcW w:w="1417" w:type="dxa"/>
            <w:vAlign w:val="center"/>
          </w:tcPr>
          <w:p>
            <w:pPr>
              <w:pStyle w:val="77"/>
              <w:jc w:val="left"/>
              <w:rPr>
                <w:kern w:val="0"/>
              </w:rPr>
            </w:pPr>
            <w:r>
              <w:rPr>
                <w:rFonts w:eastAsia="Malgun Gothic"/>
                <w:color w:val="000000"/>
                <w:kern w:val="0"/>
              </w:rPr>
              <w:t>633</w:t>
            </w:r>
          </w:p>
        </w:tc>
        <w:tc>
          <w:tcPr>
            <w:tcW w:w="1276" w:type="dxa"/>
            <w:vAlign w:val="center"/>
          </w:tcPr>
          <w:p>
            <w:pPr>
              <w:pStyle w:val="77"/>
              <w:jc w:val="left"/>
              <w:rPr>
                <w:kern w:val="0"/>
              </w:rPr>
            </w:pPr>
            <w:r>
              <w:rPr>
                <w:rFonts w:eastAsia="Malgun Gothic"/>
                <w:color w:val="000000"/>
                <w:kern w:val="0"/>
              </w:rPr>
              <w:t>413</w:t>
            </w:r>
          </w:p>
        </w:tc>
        <w:tc>
          <w:tcPr>
            <w:tcW w:w="1276" w:type="dxa"/>
            <w:vAlign w:val="center"/>
          </w:tcPr>
          <w:p>
            <w:pPr>
              <w:pStyle w:val="77"/>
              <w:jc w:val="left"/>
              <w:rPr>
                <w:kern w:val="0"/>
              </w:rPr>
            </w:pPr>
            <w:r>
              <w:rPr>
                <w:rFonts w:eastAsia="Malgun Gothic"/>
                <w:color w:val="000000"/>
                <w:kern w:val="0"/>
              </w:rPr>
              <w:t xml:space="preserve">34.4 </w:t>
            </w:r>
          </w:p>
        </w:tc>
        <w:tc>
          <w:tcPr>
            <w:tcW w:w="2410" w:type="dxa"/>
            <w:vAlign w:val="center"/>
          </w:tcPr>
          <w:p>
            <w:pPr>
              <w:pStyle w:val="77"/>
              <w:jc w:val="left"/>
              <w:rPr>
                <w:kern w:val="0"/>
              </w:rPr>
            </w:pPr>
            <w:r>
              <w:rPr>
                <w:rFonts w:eastAsia="Malgun Gothic"/>
                <w:color w:val="000000"/>
                <w:kern w:val="0"/>
              </w:rPr>
              <w:t>0.85 (0.75–0.96)</w:t>
            </w:r>
          </w:p>
        </w:tc>
        <w:tc>
          <w:tcPr>
            <w:tcW w:w="1275" w:type="dxa"/>
            <w:vAlign w:val="center"/>
          </w:tcPr>
          <w:p>
            <w:pPr>
              <w:pStyle w:val="77"/>
              <w:jc w:val="left"/>
              <w:rPr>
                <w:kern w:val="0"/>
              </w:rPr>
            </w:pPr>
            <w:r>
              <w:rPr>
                <w:rFonts w:eastAsia="Malgun Gothic"/>
                <w:color w:val="000000"/>
                <w:kern w:val="0"/>
              </w:rPr>
              <w:t>0.010</w:t>
            </w:r>
          </w:p>
        </w:tc>
        <w:tc>
          <w:tcPr>
            <w:tcW w:w="2268" w:type="dxa"/>
            <w:vAlign w:val="center"/>
          </w:tcPr>
          <w:p>
            <w:pPr>
              <w:pStyle w:val="77"/>
              <w:jc w:val="left"/>
              <w:rPr>
                <w:kern w:val="0"/>
              </w:rPr>
            </w:pPr>
            <w:r>
              <w:rPr>
                <w:kern w:val="0"/>
              </w:rPr>
              <w:t>0.96 (0.85–1.09)</w:t>
            </w:r>
          </w:p>
        </w:tc>
        <w:tc>
          <w:tcPr>
            <w:tcW w:w="1218" w:type="dxa"/>
            <w:vAlign w:val="center"/>
          </w:tcPr>
          <w:p>
            <w:pPr>
              <w:pStyle w:val="77"/>
              <w:jc w:val="left"/>
              <w:rPr>
                <w:kern w:val="0"/>
              </w:rPr>
            </w:pPr>
            <w:r>
              <w:rPr>
                <w:rFonts w:eastAsia="Malgun Gothic"/>
                <w:color w:val="000000"/>
                <w:kern w:val="0"/>
              </w:rPr>
              <w:t>0.545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trPr>
        <w:tc>
          <w:tcPr>
            <w:tcW w:w="2547" w:type="dxa"/>
          </w:tcPr>
          <w:p>
            <w:pPr>
              <w:pStyle w:val="77"/>
              <w:jc w:val="left"/>
              <w:rPr>
                <w:kern w:val="0"/>
              </w:rPr>
            </w:pPr>
            <w:r>
              <w:rPr>
                <w:kern w:val="0"/>
              </w:rPr>
              <w:t>Highly active</w:t>
            </w:r>
          </w:p>
        </w:tc>
        <w:tc>
          <w:tcPr>
            <w:tcW w:w="1417" w:type="dxa"/>
            <w:vAlign w:val="center"/>
          </w:tcPr>
          <w:p>
            <w:pPr>
              <w:pStyle w:val="77"/>
              <w:jc w:val="left"/>
              <w:rPr>
                <w:kern w:val="0"/>
              </w:rPr>
            </w:pPr>
            <w:r>
              <w:rPr>
                <w:rFonts w:eastAsia="Malgun Gothic"/>
                <w:color w:val="000000"/>
                <w:kern w:val="0"/>
              </w:rPr>
              <w:t>508</w:t>
            </w:r>
          </w:p>
        </w:tc>
        <w:tc>
          <w:tcPr>
            <w:tcW w:w="1276" w:type="dxa"/>
            <w:vAlign w:val="center"/>
          </w:tcPr>
          <w:p>
            <w:pPr>
              <w:pStyle w:val="77"/>
              <w:jc w:val="left"/>
              <w:rPr>
                <w:kern w:val="0"/>
              </w:rPr>
            </w:pPr>
            <w:r>
              <w:rPr>
                <w:rFonts w:eastAsia="Malgun Gothic"/>
                <w:color w:val="000000"/>
                <w:kern w:val="0"/>
              </w:rPr>
              <w:t>287</w:t>
            </w:r>
          </w:p>
        </w:tc>
        <w:tc>
          <w:tcPr>
            <w:tcW w:w="1276" w:type="dxa"/>
            <w:vAlign w:val="center"/>
          </w:tcPr>
          <w:p>
            <w:pPr>
              <w:pStyle w:val="77"/>
              <w:jc w:val="left"/>
              <w:rPr>
                <w:kern w:val="0"/>
              </w:rPr>
            </w:pPr>
            <w:r>
              <w:rPr>
                <w:rFonts w:eastAsia="Malgun Gothic"/>
                <w:color w:val="000000"/>
                <w:kern w:val="0"/>
              </w:rPr>
              <w:t xml:space="preserve">26.7 </w:t>
            </w:r>
          </w:p>
        </w:tc>
        <w:tc>
          <w:tcPr>
            <w:tcW w:w="2410" w:type="dxa"/>
            <w:vAlign w:val="center"/>
          </w:tcPr>
          <w:p>
            <w:pPr>
              <w:pStyle w:val="77"/>
              <w:jc w:val="left"/>
              <w:rPr>
                <w:kern w:val="0"/>
              </w:rPr>
            </w:pPr>
            <w:r>
              <w:rPr>
                <w:rFonts w:eastAsia="Malgun Gothic"/>
                <w:color w:val="000000"/>
                <w:kern w:val="0"/>
              </w:rPr>
              <w:t>0.67 (0.59–0.78)</w:t>
            </w:r>
          </w:p>
        </w:tc>
        <w:tc>
          <w:tcPr>
            <w:tcW w:w="1275" w:type="dxa"/>
            <w:vAlign w:val="center"/>
          </w:tcPr>
          <w:p>
            <w:pPr>
              <w:pStyle w:val="77"/>
              <w:jc w:val="left"/>
              <w:rPr>
                <w:kern w:val="0"/>
              </w:rPr>
            </w:pPr>
            <w:r>
              <w:rPr>
                <w:rFonts w:eastAsia="Malgun Gothic"/>
                <w:color w:val="000000"/>
                <w:kern w:val="0"/>
              </w:rPr>
              <w:t>&lt;0.001</w:t>
            </w:r>
          </w:p>
        </w:tc>
        <w:tc>
          <w:tcPr>
            <w:tcW w:w="2268" w:type="dxa"/>
            <w:vAlign w:val="center"/>
          </w:tcPr>
          <w:p>
            <w:pPr>
              <w:pStyle w:val="77"/>
              <w:jc w:val="left"/>
              <w:rPr>
                <w:kern w:val="0"/>
              </w:rPr>
            </w:pPr>
            <w:r>
              <w:rPr>
                <w:kern w:val="0"/>
              </w:rPr>
              <w:t>0.80 (0.69–0.93)</w:t>
            </w:r>
          </w:p>
        </w:tc>
        <w:tc>
          <w:tcPr>
            <w:tcW w:w="1218" w:type="dxa"/>
            <w:vAlign w:val="center"/>
          </w:tcPr>
          <w:p>
            <w:pPr>
              <w:pStyle w:val="77"/>
              <w:jc w:val="left"/>
              <w:rPr>
                <w:kern w:val="0"/>
              </w:rPr>
            </w:pPr>
            <w:r>
              <w:rPr>
                <w:rFonts w:eastAsia="Malgun Gothic"/>
                <w:color w:val="000000"/>
                <w:kern w:val="0"/>
              </w:rPr>
              <w:t>0.003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trPr>
        <w:tc>
          <w:tcPr>
            <w:tcW w:w="13687" w:type="dxa"/>
            <w:gridSpan w:val="8"/>
          </w:tcPr>
          <w:p>
            <w:pPr>
              <w:pStyle w:val="77"/>
              <w:jc w:val="left"/>
              <w:rPr>
                <w:b/>
                <w:bCs/>
                <w:color w:val="FF0000"/>
                <w:kern w:val="0"/>
              </w:rPr>
            </w:pPr>
            <w:r>
              <w:rPr>
                <w:b/>
                <w:bCs/>
                <w:kern w:val="0"/>
              </w:rPr>
              <w:t>Hospitalization due to heart failure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trPr>
        <w:tc>
          <w:tcPr>
            <w:tcW w:w="13687" w:type="dxa"/>
            <w:gridSpan w:val="8"/>
          </w:tcPr>
          <w:p>
            <w:pPr>
              <w:pStyle w:val="77"/>
              <w:jc w:val="left"/>
              <w:rPr>
                <w:b/>
                <w:bCs/>
                <w:kern w:val="0"/>
              </w:rPr>
            </w:pPr>
            <w:r>
              <w:rPr>
                <w:bCs/>
                <w:kern w:val="0"/>
              </w:rPr>
              <w:t>Female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3" w:hRule="atLeast"/>
        </w:trPr>
        <w:tc>
          <w:tcPr>
            <w:tcW w:w="2547" w:type="dxa"/>
          </w:tcPr>
          <w:p>
            <w:pPr>
              <w:pStyle w:val="77"/>
              <w:jc w:val="left"/>
              <w:rPr>
                <w:kern w:val="0"/>
              </w:rPr>
            </w:pPr>
            <w:r>
              <w:rPr>
                <w:kern w:val="0"/>
              </w:rPr>
              <w:t>Inactive</w:t>
            </w:r>
          </w:p>
        </w:tc>
        <w:tc>
          <w:tcPr>
            <w:tcW w:w="1417" w:type="dxa"/>
            <w:vAlign w:val="center"/>
          </w:tcPr>
          <w:p>
            <w:pPr>
              <w:pStyle w:val="77"/>
              <w:jc w:val="left"/>
              <w:rPr>
                <w:kern w:val="0"/>
              </w:rPr>
            </w:pPr>
            <w:r>
              <w:rPr>
                <w:rFonts w:eastAsia="Malgun Gothic"/>
                <w:color w:val="000000"/>
                <w:kern w:val="0"/>
              </w:rPr>
              <w:t>3009</w:t>
            </w:r>
          </w:p>
        </w:tc>
        <w:tc>
          <w:tcPr>
            <w:tcW w:w="1276" w:type="dxa"/>
            <w:vAlign w:val="center"/>
          </w:tcPr>
          <w:p>
            <w:pPr>
              <w:pStyle w:val="77"/>
              <w:jc w:val="left"/>
              <w:rPr>
                <w:kern w:val="0"/>
              </w:rPr>
            </w:pPr>
            <w:r>
              <w:rPr>
                <w:rFonts w:eastAsia="Malgun Gothic"/>
                <w:color w:val="000000"/>
                <w:kern w:val="0"/>
              </w:rPr>
              <w:t>232</w:t>
            </w:r>
          </w:p>
        </w:tc>
        <w:tc>
          <w:tcPr>
            <w:tcW w:w="1276" w:type="dxa"/>
            <w:vAlign w:val="center"/>
          </w:tcPr>
          <w:p>
            <w:pPr>
              <w:pStyle w:val="77"/>
              <w:jc w:val="left"/>
              <w:rPr>
                <w:kern w:val="0"/>
              </w:rPr>
            </w:pPr>
            <w:r>
              <w:rPr>
                <w:rFonts w:eastAsia="Malgun Gothic"/>
                <w:color w:val="000000"/>
                <w:kern w:val="0"/>
              </w:rPr>
              <w:t xml:space="preserve">2.7 </w:t>
            </w:r>
          </w:p>
        </w:tc>
        <w:tc>
          <w:tcPr>
            <w:tcW w:w="2410" w:type="dxa"/>
            <w:vAlign w:val="center"/>
          </w:tcPr>
          <w:p>
            <w:pPr>
              <w:pStyle w:val="77"/>
              <w:jc w:val="left"/>
              <w:rPr>
                <w:kern w:val="0"/>
              </w:rPr>
            </w:pPr>
            <w:r>
              <w:rPr>
                <w:rFonts w:eastAsia="Malgun Gothic"/>
                <w:color w:val="000000"/>
                <w:kern w:val="0"/>
              </w:rPr>
              <w:t>Reference</w:t>
            </w:r>
          </w:p>
        </w:tc>
        <w:tc>
          <w:tcPr>
            <w:tcW w:w="1275" w:type="dxa"/>
            <w:vAlign w:val="center"/>
          </w:tcPr>
          <w:p>
            <w:pPr>
              <w:pStyle w:val="77"/>
              <w:jc w:val="left"/>
              <w:rPr>
                <w:kern w:val="0"/>
              </w:rPr>
            </w:pPr>
          </w:p>
        </w:tc>
        <w:tc>
          <w:tcPr>
            <w:tcW w:w="2268" w:type="dxa"/>
            <w:vAlign w:val="center"/>
          </w:tcPr>
          <w:p>
            <w:pPr>
              <w:pStyle w:val="77"/>
              <w:jc w:val="left"/>
              <w:rPr>
                <w:kern w:val="0"/>
              </w:rPr>
            </w:pPr>
            <w:r>
              <w:rPr>
                <w:rFonts w:eastAsia="Malgun Gothic"/>
                <w:color w:val="000000"/>
                <w:kern w:val="0"/>
              </w:rPr>
              <w:t>Reference</w:t>
            </w:r>
          </w:p>
        </w:tc>
        <w:tc>
          <w:tcPr>
            <w:tcW w:w="1218" w:type="dxa"/>
            <w:vAlign w:val="center"/>
          </w:tcPr>
          <w:p>
            <w:pPr>
              <w:pStyle w:val="77"/>
              <w:jc w:val="left"/>
              <w:rPr>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trPr>
        <w:tc>
          <w:tcPr>
            <w:tcW w:w="2547" w:type="dxa"/>
          </w:tcPr>
          <w:p>
            <w:pPr>
              <w:pStyle w:val="77"/>
              <w:jc w:val="left"/>
              <w:rPr>
                <w:kern w:val="0"/>
              </w:rPr>
            </w:pPr>
            <w:r>
              <w:rPr>
                <w:kern w:val="0"/>
              </w:rPr>
              <w:t>Insufficiently active</w:t>
            </w:r>
          </w:p>
        </w:tc>
        <w:tc>
          <w:tcPr>
            <w:tcW w:w="1417" w:type="dxa"/>
            <w:vAlign w:val="center"/>
          </w:tcPr>
          <w:p>
            <w:pPr>
              <w:pStyle w:val="77"/>
              <w:jc w:val="left"/>
              <w:rPr>
                <w:kern w:val="0"/>
              </w:rPr>
            </w:pPr>
            <w:r>
              <w:rPr>
                <w:rFonts w:eastAsia="Malgun Gothic"/>
                <w:color w:val="000000"/>
                <w:kern w:val="0"/>
              </w:rPr>
              <w:t>1577</w:t>
            </w:r>
          </w:p>
        </w:tc>
        <w:tc>
          <w:tcPr>
            <w:tcW w:w="1276" w:type="dxa"/>
            <w:vAlign w:val="center"/>
          </w:tcPr>
          <w:p>
            <w:pPr>
              <w:pStyle w:val="77"/>
              <w:jc w:val="left"/>
              <w:rPr>
                <w:kern w:val="0"/>
              </w:rPr>
            </w:pPr>
            <w:r>
              <w:rPr>
                <w:rFonts w:eastAsia="Malgun Gothic"/>
                <w:color w:val="000000"/>
                <w:kern w:val="0"/>
              </w:rPr>
              <w:t>103</w:t>
            </w:r>
          </w:p>
        </w:tc>
        <w:tc>
          <w:tcPr>
            <w:tcW w:w="1276" w:type="dxa"/>
            <w:vAlign w:val="center"/>
          </w:tcPr>
          <w:p>
            <w:pPr>
              <w:pStyle w:val="77"/>
              <w:jc w:val="left"/>
              <w:rPr>
                <w:kern w:val="0"/>
              </w:rPr>
            </w:pPr>
            <w:r>
              <w:rPr>
                <w:rFonts w:eastAsia="Malgun Gothic"/>
                <w:color w:val="000000"/>
                <w:kern w:val="0"/>
              </w:rPr>
              <w:t xml:space="preserve">2.1 </w:t>
            </w:r>
          </w:p>
        </w:tc>
        <w:tc>
          <w:tcPr>
            <w:tcW w:w="2410" w:type="dxa"/>
            <w:vAlign w:val="center"/>
          </w:tcPr>
          <w:p>
            <w:pPr>
              <w:pStyle w:val="77"/>
              <w:jc w:val="left"/>
              <w:rPr>
                <w:kern w:val="0"/>
              </w:rPr>
            </w:pPr>
            <w:r>
              <w:rPr>
                <w:rFonts w:eastAsia="Malgun Gothic"/>
                <w:color w:val="000000"/>
                <w:kern w:val="0"/>
              </w:rPr>
              <w:t>0.80 (0.63–1.00)</w:t>
            </w:r>
          </w:p>
        </w:tc>
        <w:tc>
          <w:tcPr>
            <w:tcW w:w="1275" w:type="dxa"/>
            <w:vAlign w:val="center"/>
          </w:tcPr>
          <w:p>
            <w:pPr>
              <w:pStyle w:val="77"/>
              <w:jc w:val="left"/>
              <w:rPr>
                <w:kern w:val="0"/>
              </w:rPr>
            </w:pPr>
            <w:r>
              <w:rPr>
                <w:rFonts w:eastAsia="Malgun Gothic"/>
                <w:color w:val="000000"/>
                <w:kern w:val="0"/>
              </w:rPr>
              <w:t>0.055</w:t>
            </w:r>
          </w:p>
        </w:tc>
        <w:tc>
          <w:tcPr>
            <w:tcW w:w="2268" w:type="dxa"/>
            <w:vAlign w:val="center"/>
          </w:tcPr>
          <w:p>
            <w:pPr>
              <w:pStyle w:val="77"/>
              <w:jc w:val="left"/>
              <w:rPr>
                <w:kern w:val="0"/>
              </w:rPr>
            </w:pPr>
            <w:r>
              <w:rPr>
                <w:rFonts w:eastAsia="Malgun Gothic"/>
                <w:color w:val="000000"/>
                <w:kern w:val="0"/>
              </w:rPr>
              <w:t>0.94 (0.75–1.20)</w:t>
            </w:r>
          </w:p>
        </w:tc>
        <w:tc>
          <w:tcPr>
            <w:tcW w:w="1218" w:type="dxa"/>
            <w:vAlign w:val="center"/>
          </w:tcPr>
          <w:p>
            <w:pPr>
              <w:pStyle w:val="77"/>
              <w:jc w:val="left"/>
              <w:rPr>
                <w:kern w:val="0"/>
              </w:rPr>
            </w:pPr>
            <w:r>
              <w:rPr>
                <w:rFonts w:eastAsia="Malgun Gothic"/>
                <w:color w:val="000000"/>
                <w:kern w:val="0"/>
              </w:rPr>
              <w:t>0.640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trPr>
        <w:tc>
          <w:tcPr>
            <w:tcW w:w="2547" w:type="dxa"/>
          </w:tcPr>
          <w:p>
            <w:pPr>
              <w:pStyle w:val="77"/>
              <w:jc w:val="left"/>
              <w:rPr>
                <w:kern w:val="0"/>
              </w:rPr>
            </w:pPr>
            <w:r>
              <w:rPr>
                <w:kern w:val="0"/>
              </w:rPr>
              <w:t>Active</w:t>
            </w:r>
          </w:p>
        </w:tc>
        <w:tc>
          <w:tcPr>
            <w:tcW w:w="1417" w:type="dxa"/>
            <w:vAlign w:val="center"/>
          </w:tcPr>
          <w:p>
            <w:pPr>
              <w:pStyle w:val="77"/>
              <w:jc w:val="left"/>
              <w:rPr>
                <w:kern w:val="0"/>
              </w:rPr>
            </w:pPr>
            <w:r>
              <w:rPr>
                <w:rFonts w:eastAsia="Malgun Gothic"/>
                <w:color w:val="000000"/>
                <w:kern w:val="0"/>
              </w:rPr>
              <w:t>1192</w:t>
            </w:r>
          </w:p>
        </w:tc>
        <w:tc>
          <w:tcPr>
            <w:tcW w:w="1276" w:type="dxa"/>
            <w:vAlign w:val="center"/>
          </w:tcPr>
          <w:p>
            <w:pPr>
              <w:pStyle w:val="77"/>
              <w:jc w:val="left"/>
              <w:rPr>
                <w:kern w:val="0"/>
              </w:rPr>
            </w:pPr>
            <w:r>
              <w:rPr>
                <w:rFonts w:eastAsia="Malgun Gothic"/>
                <w:color w:val="000000"/>
                <w:kern w:val="0"/>
              </w:rPr>
              <w:t>64</w:t>
            </w:r>
          </w:p>
        </w:tc>
        <w:tc>
          <w:tcPr>
            <w:tcW w:w="1276" w:type="dxa"/>
            <w:vAlign w:val="center"/>
          </w:tcPr>
          <w:p>
            <w:pPr>
              <w:pStyle w:val="77"/>
              <w:jc w:val="left"/>
              <w:rPr>
                <w:kern w:val="0"/>
              </w:rPr>
            </w:pPr>
            <w:r>
              <w:rPr>
                <w:rFonts w:eastAsia="Malgun Gothic"/>
                <w:color w:val="000000"/>
                <w:kern w:val="0"/>
              </w:rPr>
              <w:t xml:space="preserve">1.7 </w:t>
            </w:r>
          </w:p>
        </w:tc>
        <w:tc>
          <w:tcPr>
            <w:tcW w:w="2410" w:type="dxa"/>
            <w:vAlign w:val="center"/>
          </w:tcPr>
          <w:p>
            <w:pPr>
              <w:pStyle w:val="77"/>
              <w:jc w:val="left"/>
              <w:rPr>
                <w:kern w:val="0"/>
              </w:rPr>
            </w:pPr>
            <w:r>
              <w:rPr>
                <w:rFonts w:eastAsia="Malgun Gothic"/>
                <w:color w:val="000000"/>
                <w:kern w:val="0"/>
              </w:rPr>
              <w:t>0.65 (0.49–0.85)</w:t>
            </w:r>
          </w:p>
        </w:tc>
        <w:tc>
          <w:tcPr>
            <w:tcW w:w="1275" w:type="dxa"/>
            <w:vAlign w:val="center"/>
          </w:tcPr>
          <w:p>
            <w:pPr>
              <w:pStyle w:val="77"/>
              <w:jc w:val="left"/>
              <w:rPr>
                <w:kern w:val="0"/>
              </w:rPr>
            </w:pPr>
            <w:r>
              <w:rPr>
                <w:rFonts w:eastAsia="Malgun Gothic"/>
                <w:color w:val="000000"/>
                <w:kern w:val="0"/>
              </w:rPr>
              <w:t>0.002</w:t>
            </w:r>
          </w:p>
        </w:tc>
        <w:tc>
          <w:tcPr>
            <w:tcW w:w="2268" w:type="dxa"/>
            <w:vAlign w:val="center"/>
          </w:tcPr>
          <w:p>
            <w:pPr>
              <w:pStyle w:val="77"/>
              <w:jc w:val="left"/>
              <w:rPr>
                <w:kern w:val="0"/>
              </w:rPr>
            </w:pPr>
            <w:r>
              <w:rPr>
                <w:rFonts w:eastAsia="Malgun Gothic"/>
                <w:color w:val="000000"/>
                <w:kern w:val="0"/>
              </w:rPr>
              <w:t>0.84 (0.63–1.12)</w:t>
            </w:r>
          </w:p>
        </w:tc>
        <w:tc>
          <w:tcPr>
            <w:tcW w:w="1218" w:type="dxa"/>
            <w:vAlign w:val="center"/>
          </w:tcPr>
          <w:p>
            <w:pPr>
              <w:pStyle w:val="77"/>
              <w:jc w:val="left"/>
              <w:rPr>
                <w:kern w:val="0"/>
              </w:rPr>
            </w:pPr>
            <w:r>
              <w:rPr>
                <w:rFonts w:eastAsia="Malgun Gothic"/>
                <w:color w:val="000000"/>
                <w:kern w:val="0"/>
              </w:rPr>
              <w:t>0.231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3" w:hRule="atLeast"/>
        </w:trPr>
        <w:tc>
          <w:tcPr>
            <w:tcW w:w="2547" w:type="dxa"/>
          </w:tcPr>
          <w:p>
            <w:pPr>
              <w:pStyle w:val="77"/>
              <w:jc w:val="left"/>
              <w:rPr>
                <w:kern w:val="0"/>
              </w:rPr>
            </w:pPr>
            <w:r>
              <w:rPr>
                <w:kern w:val="0"/>
              </w:rPr>
              <w:t>Highly active</w:t>
            </w:r>
          </w:p>
        </w:tc>
        <w:tc>
          <w:tcPr>
            <w:tcW w:w="1417" w:type="dxa"/>
            <w:vAlign w:val="center"/>
          </w:tcPr>
          <w:p>
            <w:pPr>
              <w:pStyle w:val="77"/>
              <w:jc w:val="left"/>
              <w:rPr>
                <w:kern w:val="0"/>
              </w:rPr>
            </w:pPr>
            <w:r>
              <w:rPr>
                <w:rFonts w:eastAsia="Malgun Gothic"/>
                <w:color w:val="000000"/>
                <w:kern w:val="0"/>
              </w:rPr>
              <w:t>559</w:t>
            </w:r>
          </w:p>
        </w:tc>
        <w:tc>
          <w:tcPr>
            <w:tcW w:w="1276" w:type="dxa"/>
            <w:vAlign w:val="center"/>
          </w:tcPr>
          <w:p>
            <w:pPr>
              <w:pStyle w:val="77"/>
              <w:jc w:val="left"/>
              <w:rPr>
                <w:kern w:val="0"/>
              </w:rPr>
            </w:pPr>
            <w:r>
              <w:rPr>
                <w:rFonts w:eastAsia="Malgun Gothic"/>
                <w:color w:val="000000"/>
                <w:kern w:val="0"/>
              </w:rPr>
              <w:t>26</w:t>
            </w:r>
          </w:p>
        </w:tc>
        <w:tc>
          <w:tcPr>
            <w:tcW w:w="1276" w:type="dxa"/>
            <w:vAlign w:val="center"/>
          </w:tcPr>
          <w:p>
            <w:pPr>
              <w:pStyle w:val="77"/>
              <w:jc w:val="left"/>
              <w:rPr>
                <w:kern w:val="0"/>
              </w:rPr>
            </w:pPr>
            <w:r>
              <w:rPr>
                <w:rFonts w:eastAsia="Malgun Gothic"/>
                <w:color w:val="000000"/>
                <w:kern w:val="0"/>
              </w:rPr>
              <w:t xml:space="preserve">1.5 </w:t>
            </w:r>
          </w:p>
        </w:tc>
        <w:tc>
          <w:tcPr>
            <w:tcW w:w="2410" w:type="dxa"/>
            <w:vAlign w:val="center"/>
          </w:tcPr>
          <w:p>
            <w:pPr>
              <w:pStyle w:val="77"/>
              <w:jc w:val="left"/>
              <w:rPr>
                <w:kern w:val="0"/>
              </w:rPr>
            </w:pPr>
            <w:r>
              <w:rPr>
                <w:rFonts w:eastAsia="Malgun Gothic"/>
                <w:color w:val="000000"/>
                <w:kern w:val="0"/>
              </w:rPr>
              <w:t>0.54 (0.42–0.76)</w:t>
            </w:r>
          </w:p>
        </w:tc>
        <w:tc>
          <w:tcPr>
            <w:tcW w:w="1275" w:type="dxa"/>
            <w:vAlign w:val="center"/>
          </w:tcPr>
          <w:p>
            <w:pPr>
              <w:pStyle w:val="77"/>
              <w:jc w:val="left"/>
              <w:rPr>
                <w:kern w:val="0"/>
              </w:rPr>
            </w:pPr>
            <w:r>
              <w:rPr>
                <w:rFonts w:eastAsia="Malgun Gothic"/>
                <w:color w:val="000000"/>
                <w:kern w:val="0"/>
              </w:rPr>
              <w:t>0.003</w:t>
            </w:r>
          </w:p>
        </w:tc>
        <w:tc>
          <w:tcPr>
            <w:tcW w:w="2268" w:type="dxa"/>
            <w:vAlign w:val="center"/>
          </w:tcPr>
          <w:p>
            <w:pPr>
              <w:pStyle w:val="77"/>
              <w:jc w:val="left"/>
              <w:rPr>
                <w:kern w:val="0"/>
              </w:rPr>
            </w:pPr>
            <w:r>
              <w:rPr>
                <w:rFonts w:eastAsia="Malgun Gothic"/>
                <w:color w:val="000000"/>
                <w:kern w:val="0"/>
              </w:rPr>
              <w:t>0.71 (0.46–1.07)</w:t>
            </w:r>
          </w:p>
        </w:tc>
        <w:tc>
          <w:tcPr>
            <w:tcW w:w="1218" w:type="dxa"/>
            <w:vAlign w:val="center"/>
          </w:tcPr>
          <w:p>
            <w:pPr>
              <w:pStyle w:val="77"/>
              <w:jc w:val="left"/>
              <w:rPr>
                <w:kern w:val="0"/>
              </w:rPr>
            </w:pPr>
            <w:r>
              <w:rPr>
                <w:rFonts w:eastAsia="Malgun Gothic"/>
                <w:color w:val="000000"/>
                <w:kern w:val="0"/>
              </w:rPr>
              <w:t>0.104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trPr>
        <w:tc>
          <w:tcPr>
            <w:tcW w:w="13687" w:type="dxa"/>
            <w:gridSpan w:val="8"/>
          </w:tcPr>
          <w:p>
            <w:pPr>
              <w:pStyle w:val="77"/>
              <w:jc w:val="left"/>
              <w:rPr>
                <w:b/>
                <w:bCs/>
                <w:kern w:val="0"/>
              </w:rPr>
            </w:pPr>
            <w:r>
              <w:rPr>
                <w:bCs/>
                <w:kern w:val="0"/>
              </w:rPr>
              <w:t>Male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3" w:hRule="atLeast"/>
        </w:trPr>
        <w:tc>
          <w:tcPr>
            <w:tcW w:w="2547" w:type="dxa"/>
          </w:tcPr>
          <w:p>
            <w:pPr>
              <w:pStyle w:val="77"/>
              <w:jc w:val="left"/>
              <w:rPr>
                <w:kern w:val="0"/>
              </w:rPr>
            </w:pPr>
            <w:r>
              <w:rPr>
                <w:kern w:val="0"/>
              </w:rPr>
              <w:t>Inactive</w:t>
            </w:r>
          </w:p>
        </w:tc>
        <w:tc>
          <w:tcPr>
            <w:tcW w:w="1417" w:type="dxa"/>
            <w:vAlign w:val="center"/>
          </w:tcPr>
          <w:p>
            <w:pPr>
              <w:pStyle w:val="77"/>
              <w:jc w:val="left"/>
              <w:rPr>
                <w:kern w:val="0"/>
              </w:rPr>
            </w:pPr>
            <w:r>
              <w:rPr>
                <w:rFonts w:eastAsia="Malgun Gothic"/>
                <w:color w:val="000000"/>
                <w:kern w:val="0"/>
              </w:rPr>
              <w:t>927</w:t>
            </w:r>
          </w:p>
        </w:tc>
        <w:tc>
          <w:tcPr>
            <w:tcW w:w="1276" w:type="dxa"/>
            <w:vAlign w:val="center"/>
          </w:tcPr>
          <w:p>
            <w:pPr>
              <w:pStyle w:val="77"/>
              <w:jc w:val="left"/>
              <w:rPr>
                <w:kern w:val="0"/>
              </w:rPr>
            </w:pPr>
            <w:r>
              <w:rPr>
                <w:rFonts w:eastAsia="Malgun Gothic"/>
                <w:color w:val="000000"/>
                <w:kern w:val="0"/>
              </w:rPr>
              <w:t>55</w:t>
            </w:r>
          </w:p>
        </w:tc>
        <w:tc>
          <w:tcPr>
            <w:tcW w:w="1276" w:type="dxa"/>
            <w:vAlign w:val="center"/>
          </w:tcPr>
          <w:p>
            <w:pPr>
              <w:pStyle w:val="77"/>
              <w:jc w:val="left"/>
              <w:rPr>
                <w:kern w:val="0"/>
              </w:rPr>
            </w:pPr>
            <w:r>
              <w:rPr>
                <w:rFonts w:eastAsia="Malgun Gothic"/>
                <w:color w:val="000000"/>
                <w:kern w:val="0"/>
              </w:rPr>
              <w:t xml:space="preserve">2.1 </w:t>
            </w:r>
          </w:p>
        </w:tc>
        <w:tc>
          <w:tcPr>
            <w:tcW w:w="2410" w:type="dxa"/>
            <w:vAlign w:val="center"/>
          </w:tcPr>
          <w:p>
            <w:pPr>
              <w:pStyle w:val="77"/>
              <w:jc w:val="left"/>
              <w:rPr>
                <w:kern w:val="0"/>
              </w:rPr>
            </w:pPr>
            <w:r>
              <w:rPr>
                <w:rFonts w:eastAsia="Malgun Gothic"/>
                <w:color w:val="000000"/>
                <w:kern w:val="0"/>
              </w:rPr>
              <w:t>Reference</w:t>
            </w:r>
          </w:p>
        </w:tc>
        <w:tc>
          <w:tcPr>
            <w:tcW w:w="1275" w:type="dxa"/>
            <w:vAlign w:val="center"/>
          </w:tcPr>
          <w:p>
            <w:pPr>
              <w:pStyle w:val="77"/>
              <w:jc w:val="left"/>
              <w:rPr>
                <w:kern w:val="0"/>
              </w:rPr>
            </w:pPr>
          </w:p>
        </w:tc>
        <w:tc>
          <w:tcPr>
            <w:tcW w:w="2268" w:type="dxa"/>
            <w:vAlign w:val="center"/>
          </w:tcPr>
          <w:p>
            <w:pPr>
              <w:pStyle w:val="77"/>
              <w:jc w:val="left"/>
              <w:rPr>
                <w:kern w:val="0"/>
              </w:rPr>
            </w:pPr>
            <w:r>
              <w:rPr>
                <w:rFonts w:eastAsia="Malgun Gothic"/>
                <w:color w:val="000000"/>
                <w:kern w:val="0"/>
              </w:rPr>
              <w:t>Reference</w:t>
            </w:r>
          </w:p>
        </w:tc>
        <w:tc>
          <w:tcPr>
            <w:tcW w:w="1218" w:type="dxa"/>
            <w:vAlign w:val="center"/>
          </w:tcPr>
          <w:p>
            <w:pPr>
              <w:pStyle w:val="77"/>
              <w:jc w:val="left"/>
              <w:rPr>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trPr>
        <w:tc>
          <w:tcPr>
            <w:tcW w:w="2547" w:type="dxa"/>
          </w:tcPr>
          <w:p>
            <w:pPr>
              <w:pStyle w:val="77"/>
              <w:jc w:val="left"/>
              <w:rPr>
                <w:kern w:val="0"/>
              </w:rPr>
            </w:pPr>
            <w:r>
              <w:rPr>
                <w:kern w:val="0"/>
              </w:rPr>
              <w:t>Insufficiently active</w:t>
            </w:r>
          </w:p>
        </w:tc>
        <w:tc>
          <w:tcPr>
            <w:tcW w:w="1417" w:type="dxa"/>
            <w:vAlign w:val="center"/>
          </w:tcPr>
          <w:p>
            <w:pPr>
              <w:pStyle w:val="77"/>
              <w:jc w:val="left"/>
              <w:rPr>
                <w:kern w:val="0"/>
              </w:rPr>
            </w:pPr>
            <w:r>
              <w:rPr>
                <w:rFonts w:eastAsia="Malgun Gothic"/>
                <w:color w:val="000000"/>
                <w:kern w:val="0"/>
              </w:rPr>
              <w:t>577</w:t>
            </w:r>
          </w:p>
        </w:tc>
        <w:tc>
          <w:tcPr>
            <w:tcW w:w="1276" w:type="dxa"/>
            <w:vAlign w:val="center"/>
          </w:tcPr>
          <w:p>
            <w:pPr>
              <w:pStyle w:val="77"/>
              <w:jc w:val="left"/>
              <w:rPr>
                <w:kern w:val="0"/>
              </w:rPr>
            </w:pPr>
            <w:r>
              <w:rPr>
                <w:rFonts w:eastAsia="Malgun Gothic"/>
                <w:color w:val="000000"/>
                <w:kern w:val="0"/>
              </w:rPr>
              <w:t>43</w:t>
            </w:r>
          </w:p>
        </w:tc>
        <w:tc>
          <w:tcPr>
            <w:tcW w:w="1276" w:type="dxa"/>
            <w:vAlign w:val="center"/>
          </w:tcPr>
          <w:p>
            <w:pPr>
              <w:pStyle w:val="77"/>
              <w:jc w:val="left"/>
              <w:rPr>
                <w:kern w:val="0"/>
              </w:rPr>
            </w:pPr>
            <w:r>
              <w:rPr>
                <w:rFonts w:eastAsia="Malgun Gothic"/>
                <w:color w:val="000000"/>
                <w:kern w:val="0"/>
              </w:rPr>
              <w:t xml:space="preserve">2.6 </w:t>
            </w:r>
          </w:p>
        </w:tc>
        <w:tc>
          <w:tcPr>
            <w:tcW w:w="2410" w:type="dxa"/>
            <w:vAlign w:val="center"/>
          </w:tcPr>
          <w:p>
            <w:pPr>
              <w:pStyle w:val="77"/>
              <w:jc w:val="left"/>
              <w:rPr>
                <w:kern w:val="0"/>
              </w:rPr>
            </w:pPr>
            <w:r>
              <w:rPr>
                <w:rFonts w:eastAsia="Malgun Gothic"/>
                <w:color w:val="000000"/>
                <w:kern w:val="0"/>
              </w:rPr>
              <w:t>1.22 (0.82–1.82)</w:t>
            </w:r>
          </w:p>
        </w:tc>
        <w:tc>
          <w:tcPr>
            <w:tcW w:w="1275" w:type="dxa"/>
            <w:vAlign w:val="center"/>
          </w:tcPr>
          <w:p>
            <w:pPr>
              <w:pStyle w:val="77"/>
              <w:jc w:val="left"/>
              <w:rPr>
                <w:kern w:val="0"/>
              </w:rPr>
            </w:pPr>
            <w:r>
              <w:rPr>
                <w:rFonts w:eastAsia="Malgun Gothic"/>
                <w:color w:val="000000"/>
                <w:kern w:val="0"/>
              </w:rPr>
              <w:t>0.320</w:t>
            </w:r>
          </w:p>
        </w:tc>
        <w:tc>
          <w:tcPr>
            <w:tcW w:w="2268" w:type="dxa"/>
            <w:vAlign w:val="center"/>
          </w:tcPr>
          <w:p>
            <w:pPr>
              <w:pStyle w:val="77"/>
              <w:jc w:val="left"/>
              <w:rPr>
                <w:kern w:val="0"/>
              </w:rPr>
            </w:pPr>
            <w:r>
              <w:rPr>
                <w:rFonts w:eastAsia="Malgun Gothic"/>
                <w:color w:val="000000"/>
                <w:kern w:val="0"/>
              </w:rPr>
              <w:t>1.38 (0.92–2.07)</w:t>
            </w:r>
          </w:p>
        </w:tc>
        <w:tc>
          <w:tcPr>
            <w:tcW w:w="1218" w:type="dxa"/>
            <w:vAlign w:val="center"/>
          </w:tcPr>
          <w:p>
            <w:pPr>
              <w:pStyle w:val="77"/>
              <w:jc w:val="left"/>
              <w:rPr>
                <w:kern w:val="0"/>
              </w:rPr>
            </w:pPr>
            <w:r>
              <w:rPr>
                <w:rFonts w:eastAsia="Malgun Gothic"/>
                <w:color w:val="000000"/>
                <w:kern w:val="0"/>
              </w:rPr>
              <w:t>0.119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trPr>
        <w:tc>
          <w:tcPr>
            <w:tcW w:w="2547" w:type="dxa"/>
          </w:tcPr>
          <w:p>
            <w:pPr>
              <w:pStyle w:val="77"/>
              <w:jc w:val="left"/>
              <w:rPr>
                <w:kern w:val="0"/>
              </w:rPr>
            </w:pPr>
            <w:r>
              <w:rPr>
                <w:kern w:val="0"/>
              </w:rPr>
              <w:t>Active</w:t>
            </w:r>
          </w:p>
        </w:tc>
        <w:tc>
          <w:tcPr>
            <w:tcW w:w="1417" w:type="dxa"/>
            <w:vAlign w:val="center"/>
          </w:tcPr>
          <w:p>
            <w:pPr>
              <w:pStyle w:val="77"/>
              <w:jc w:val="left"/>
              <w:rPr>
                <w:kern w:val="0"/>
              </w:rPr>
            </w:pPr>
            <w:r>
              <w:rPr>
                <w:rFonts w:eastAsia="Malgun Gothic"/>
                <w:color w:val="000000"/>
                <w:kern w:val="0"/>
              </w:rPr>
              <w:t>633</w:t>
            </w:r>
          </w:p>
        </w:tc>
        <w:tc>
          <w:tcPr>
            <w:tcW w:w="1276" w:type="dxa"/>
            <w:vAlign w:val="center"/>
          </w:tcPr>
          <w:p>
            <w:pPr>
              <w:pStyle w:val="77"/>
              <w:jc w:val="left"/>
              <w:rPr>
                <w:kern w:val="0"/>
              </w:rPr>
            </w:pPr>
            <w:r>
              <w:rPr>
                <w:rFonts w:eastAsia="Malgun Gothic"/>
                <w:color w:val="000000"/>
                <w:kern w:val="0"/>
              </w:rPr>
              <w:t>43</w:t>
            </w:r>
          </w:p>
        </w:tc>
        <w:tc>
          <w:tcPr>
            <w:tcW w:w="1276" w:type="dxa"/>
            <w:vAlign w:val="center"/>
          </w:tcPr>
          <w:p>
            <w:pPr>
              <w:pStyle w:val="77"/>
              <w:jc w:val="left"/>
              <w:rPr>
                <w:kern w:val="0"/>
              </w:rPr>
            </w:pPr>
            <w:r>
              <w:rPr>
                <w:rFonts w:eastAsia="Malgun Gothic"/>
                <w:color w:val="000000"/>
                <w:kern w:val="0"/>
              </w:rPr>
              <w:t xml:space="preserve">2.3 </w:t>
            </w:r>
          </w:p>
        </w:tc>
        <w:tc>
          <w:tcPr>
            <w:tcW w:w="2410" w:type="dxa"/>
            <w:vAlign w:val="center"/>
          </w:tcPr>
          <w:p>
            <w:pPr>
              <w:pStyle w:val="77"/>
              <w:jc w:val="left"/>
              <w:rPr>
                <w:kern w:val="0"/>
              </w:rPr>
            </w:pPr>
            <w:r>
              <w:rPr>
                <w:rFonts w:eastAsia="Malgun Gothic"/>
                <w:color w:val="000000"/>
                <w:kern w:val="0"/>
              </w:rPr>
              <w:t>1.06 (0.71–1.58)</w:t>
            </w:r>
          </w:p>
        </w:tc>
        <w:tc>
          <w:tcPr>
            <w:tcW w:w="1275" w:type="dxa"/>
            <w:vAlign w:val="center"/>
          </w:tcPr>
          <w:p>
            <w:pPr>
              <w:pStyle w:val="77"/>
              <w:jc w:val="left"/>
              <w:rPr>
                <w:kern w:val="0"/>
              </w:rPr>
            </w:pPr>
            <w:r>
              <w:rPr>
                <w:rFonts w:eastAsia="Malgun Gothic"/>
                <w:color w:val="000000"/>
                <w:kern w:val="0"/>
              </w:rPr>
              <w:t>0.780</w:t>
            </w:r>
          </w:p>
        </w:tc>
        <w:tc>
          <w:tcPr>
            <w:tcW w:w="2268" w:type="dxa"/>
            <w:vAlign w:val="center"/>
          </w:tcPr>
          <w:p>
            <w:pPr>
              <w:pStyle w:val="77"/>
              <w:jc w:val="left"/>
              <w:rPr>
                <w:kern w:val="0"/>
              </w:rPr>
            </w:pPr>
            <w:r>
              <w:rPr>
                <w:rFonts w:eastAsia="Malgun Gothic"/>
                <w:color w:val="000000"/>
                <w:kern w:val="0"/>
              </w:rPr>
              <w:t>1.31 (0.87–1.98)</w:t>
            </w:r>
          </w:p>
        </w:tc>
        <w:tc>
          <w:tcPr>
            <w:tcW w:w="1218" w:type="dxa"/>
            <w:vAlign w:val="center"/>
          </w:tcPr>
          <w:p>
            <w:pPr>
              <w:pStyle w:val="77"/>
              <w:jc w:val="left"/>
              <w:rPr>
                <w:kern w:val="0"/>
              </w:rPr>
            </w:pPr>
            <w:r>
              <w:rPr>
                <w:rFonts w:eastAsia="Malgun Gothic"/>
                <w:color w:val="000000"/>
                <w:kern w:val="0"/>
              </w:rPr>
              <w:t>0.202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3" w:hRule="atLeast"/>
        </w:trPr>
        <w:tc>
          <w:tcPr>
            <w:tcW w:w="2547" w:type="dxa"/>
          </w:tcPr>
          <w:p>
            <w:pPr>
              <w:pStyle w:val="77"/>
              <w:jc w:val="left"/>
              <w:rPr>
                <w:kern w:val="0"/>
              </w:rPr>
            </w:pPr>
            <w:r>
              <w:rPr>
                <w:kern w:val="0"/>
              </w:rPr>
              <w:t>Highly active</w:t>
            </w:r>
          </w:p>
        </w:tc>
        <w:tc>
          <w:tcPr>
            <w:tcW w:w="1417" w:type="dxa"/>
            <w:vAlign w:val="center"/>
          </w:tcPr>
          <w:p>
            <w:pPr>
              <w:pStyle w:val="77"/>
              <w:jc w:val="left"/>
              <w:rPr>
                <w:kern w:val="0"/>
              </w:rPr>
            </w:pPr>
            <w:r>
              <w:rPr>
                <w:rFonts w:eastAsia="Malgun Gothic"/>
                <w:color w:val="000000"/>
                <w:kern w:val="0"/>
              </w:rPr>
              <w:t>508</w:t>
            </w:r>
          </w:p>
        </w:tc>
        <w:tc>
          <w:tcPr>
            <w:tcW w:w="1276" w:type="dxa"/>
            <w:vAlign w:val="center"/>
          </w:tcPr>
          <w:p>
            <w:pPr>
              <w:pStyle w:val="77"/>
              <w:jc w:val="left"/>
              <w:rPr>
                <w:kern w:val="0"/>
              </w:rPr>
            </w:pPr>
            <w:r>
              <w:rPr>
                <w:rFonts w:eastAsia="Malgun Gothic"/>
                <w:color w:val="000000"/>
                <w:kern w:val="0"/>
              </w:rPr>
              <w:t>23</w:t>
            </w:r>
          </w:p>
        </w:tc>
        <w:tc>
          <w:tcPr>
            <w:tcW w:w="1276" w:type="dxa"/>
            <w:vAlign w:val="center"/>
          </w:tcPr>
          <w:p>
            <w:pPr>
              <w:pStyle w:val="77"/>
              <w:jc w:val="left"/>
              <w:rPr>
                <w:kern w:val="0"/>
              </w:rPr>
            </w:pPr>
            <w:r>
              <w:rPr>
                <w:rFonts w:eastAsia="Malgun Gothic"/>
                <w:color w:val="000000"/>
                <w:kern w:val="0"/>
              </w:rPr>
              <w:t xml:space="preserve">1.4 </w:t>
            </w:r>
          </w:p>
        </w:tc>
        <w:tc>
          <w:tcPr>
            <w:tcW w:w="2410" w:type="dxa"/>
            <w:vAlign w:val="center"/>
          </w:tcPr>
          <w:p>
            <w:pPr>
              <w:pStyle w:val="77"/>
              <w:jc w:val="left"/>
              <w:rPr>
                <w:kern w:val="0"/>
              </w:rPr>
            </w:pPr>
            <w:r>
              <w:rPr>
                <w:rFonts w:eastAsia="Malgun Gothic"/>
                <w:color w:val="000000"/>
                <w:kern w:val="0"/>
              </w:rPr>
              <w:t>0.67 (0.41–1.09)</w:t>
            </w:r>
          </w:p>
        </w:tc>
        <w:tc>
          <w:tcPr>
            <w:tcW w:w="1275" w:type="dxa"/>
            <w:vAlign w:val="center"/>
          </w:tcPr>
          <w:p>
            <w:pPr>
              <w:pStyle w:val="77"/>
              <w:jc w:val="left"/>
              <w:rPr>
                <w:kern w:val="0"/>
              </w:rPr>
            </w:pPr>
            <w:r>
              <w:rPr>
                <w:rFonts w:eastAsia="Malgun Gothic"/>
                <w:color w:val="000000"/>
                <w:kern w:val="0"/>
              </w:rPr>
              <w:t>0.108</w:t>
            </w:r>
          </w:p>
        </w:tc>
        <w:tc>
          <w:tcPr>
            <w:tcW w:w="2268" w:type="dxa"/>
            <w:vAlign w:val="center"/>
          </w:tcPr>
          <w:p>
            <w:pPr>
              <w:pStyle w:val="77"/>
              <w:jc w:val="left"/>
              <w:rPr>
                <w:kern w:val="0"/>
              </w:rPr>
            </w:pPr>
            <w:r>
              <w:rPr>
                <w:rFonts w:eastAsia="Malgun Gothic"/>
                <w:color w:val="000000"/>
                <w:kern w:val="0"/>
              </w:rPr>
              <w:t>0.90 (0.54–1.48)</w:t>
            </w:r>
          </w:p>
        </w:tc>
        <w:tc>
          <w:tcPr>
            <w:tcW w:w="1218" w:type="dxa"/>
            <w:vAlign w:val="center"/>
          </w:tcPr>
          <w:p>
            <w:pPr>
              <w:pStyle w:val="77"/>
              <w:jc w:val="left"/>
              <w:rPr>
                <w:kern w:val="0"/>
              </w:rPr>
            </w:pPr>
            <w:r>
              <w:rPr>
                <w:rFonts w:eastAsia="Malgun Gothic"/>
                <w:color w:val="000000"/>
                <w:kern w:val="0"/>
              </w:rPr>
              <w:t>0.667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trPr>
        <w:tc>
          <w:tcPr>
            <w:tcW w:w="13687" w:type="dxa"/>
            <w:gridSpan w:val="8"/>
          </w:tcPr>
          <w:p>
            <w:pPr>
              <w:pStyle w:val="77"/>
              <w:jc w:val="left"/>
              <w:rPr>
                <w:b/>
                <w:bCs/>
                <w:kern w:val="0"/>
              </w:rPr>
            </w:pPr>
            <w:r>
              <w:rPr>
                <w:b/>
                <w:bCs/>
                <w:kern w:val="0"/>
              </w:rPr>
              <w:t>Cardiovascular disease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trPr>
        <w:tc>
          <w:tcPr>
            <w:tcW w:w="13687" w:type="dxa"/>
            <w:gridSpan w:val="8"/>
          </w:tcPr>
          <w:p>
            <w:pPr>
              <w:pStyle w:val="77"/>
              <w:jc w:val="left"/>
              <w:rPr>
                <w:b/>
                <w:bCs/>
                <w:kern w:val="0"/>
              </w:rPr>
            </w:pPr>
            <w:r>
              <w:rPr>
                <w:bCs/>
                <w:kern w:val="0"/>
              </w:rPr>
              <w:t>Female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trPr>
        <w:tc>
          <w:tcPr>
            <w:tcW w:w="2547" w:type="dxa"/>
          </w:tcPr>
          <w:p>
            <w:pPr>
              <w:pStyle w:val="77"/>
              <w:jc w:val="left"/>
              <w:rPr>
                <w:kern w:val="0"/>
              </w:rPr>
            </w:pPr>
            <w:r>
              <w:rPr>
                <w:kern w:val="0"/>
              </w:rPr>
              <w:t>Inactive</w:t>
            </w:r>
          </w:p>
        </w:tc>
        <w:tc>
          <w:tcPr>
            <w:tcW w:w="1417" w:type="dxa"/>
            <w:vAlign w:val="center"/>
          </w:tcPr>
          <w:p>
            <w:pPr>
              <w:pStyle w:val="77"/>
              <w:jc w:val="left"/>
              <w:rPr>
                <w:kern w:val="0"/>
              </w:rPr>
            </w:pPr>
            <w:r>
              <w:rPr>
                <w:rFonts w:eastAsia="Malgun Gothic"/>
                <w:color w:val="000000"/>
                <w:kern w:val="0"/>
              </w:rPr>
              <w:t>3009</w:t>
            </w:r>
          </w:p>
        </w:tc>
        <w:tc>
          <w:tcPr>
            <w:tcW w:w="1276" w:type="dxa"/>
            <w:vAlign w:val="center"/>
          </w:tcPr>
          <w:p>
            <w:pPr>
              <w:pStyle w:val="77"/>
              <w:jc w:val="left"/>
              <w:rPr>
                <w:kern w:val="0"/>
              </w:rPr>
            </w:pPr>
            <w:r>
              <w:rPr>
                <w:rFonts w:eastAsia="Malgun Gothic"/>
                <w:color w:val="000000"/>
                <w:kern w:val="0"/>
              </w:rPr>
              <w:t>100</w:t>
            </w:r>
          </w:p>
        </w:tc>
        <w:tc>
          <w:tcPr>
            <w:tcW w:w="1276" w:type="dxa"/>
            <w:vAlign w:val="center"/>
          </w:tcPr>
          <w:p>
            <w:pPr>
              <w:pStyle w:val="77"/>
              <w:jc w:val="left"/>
              <w:rPr>
                <w:kern w:val="0"/>
              </w:rPr>
            </w:pPr>
            <w:r>
              <w:rPr>
                <w:rFonts w:eastAsia="Malgun Gothic"/>
                <w:color w:val="000000"/>
                <w:kern w:val="0"/>
              </w:rPr>
              <w:t xml:space="preserve">1.1 </w:t>
            </w:r>
          </w:p>
        </w:tc>
        <w:tc>
          <w:tcPr>
            <w:tcW w:w="2410" w:type="dxa"/>
            <w:vAlign w:val="center"/>
          </w:tcPr>
          <w:p>
            <w:pPr>
              <w:pStyle w:val="77"/>
              <w:jc w:val="left"/>
              <w:rPr>
                <w:kern w:val="0"/>
              </w:rPr>
            </w:pPr>
            <w:r>
              <w:rPr>
                <w:rFonts w:eastAsia="Malgun Gothic"/>
                <w:color w:val="000000"/>
                <w:kern w:val="0"/>
              </w:rPr>
              <w:t>Reference</w:t>
            </w:r>
          </w:p>
        </w:tc>
        <w:tc>
          <w:tcPr>
            <w:tcW w:w="1275" w:type="dxa"/>
            <w:vAlign w:val="center"/>
          </w:tcPr>
          <w:p>
            <w:pPr>
              <w:pStyle w:val="77"/>
              <w:jc w:val="left"/>
              <w:rPr>
                <w:kern w:val="0"/>
              </w:rPr>
            </w:pPr>
          </w:p>
        </w:tc>
        <w:tc>
          <w:tcPr>
            <w:tcW w:w="2268" w:type="dxa"/>
            <w:vAlign w:val="center"/>
          </w:tcPr>
          <w:p>
            <w:pPr>
              <w:pStyle w:val="77"/>
              <w:jc w:val="left"/>
              <w:rPr>
                <w:kern w:val="0"/>
              </w:rPr>
            </w:pPr>
            <w:r>
              <w:rPr>
                <w:rFonts w:eastAsia="Malgun Gothic"/>
                <w:color w:val="000000"/>
                <w:kern w:val="0"/>
              </w:rPr>
              <w:t>Reference</w:t>
            </w:r>
          </w:p>
        </w:tc>
        <w:tc>
          <w:tcPr>
            <w:tcW w:w="1218" w:type="dxa"/>
            <w:vAlign w:val="center"/>
          </w:tcPr>
          <w:p>
            <w:pPr>
              <w:pStyle w:val="77"/>
              <w:jc w:val="left"/>
              <w:rPr>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trPr>
        <w:tc>
          <w:tcPr>
            <w:tcW w:w="2547" w:type="dxa"/>
          </w:tcPr>
          <w:p>
            <w:pPr>
              <w:pStyle w:val="77"/>
              <w:jc w:val="left"/>
              <w:rPr>
                <w:kern w:val="0"/>
              </w:rPr>
            </w:pPr>
            <w:r>
              <w:rPr>
                <w:kern w:val="0"/>
              </w:rPr>
              <w:t>Insufficiently active</w:t>
            </w:r>
          </w:p>
        </w:tc>
        <w:tc>
          <w:tcPr>
            <w:tcW w:w="1417" w:type="dxa"/>
            <w:vAlign w:val="center"/>
          </w:tcPr>
          <w:p>
            <w:pPr>
              <w:pStyle w:val="77"/>
              <w:jc w:val="left"/>
              <w:rPr>
                <w:kern w:val="0"/>
              </w:rPr>
            </w:pPr>
            <w:r>
              <w:rPr>
                <w:rFonts w:eastAsia="Malgun Gothic"/>
                <w:color w:val="000000"/>
                <w:kern w:val="0"/>
              </w:rPr>
              <w:t>1577</w:t>
            </w:r>
          </w:p>
        </w:tc>
        <w:tc>
          <w:tcPr>
            <w:tcW w:w="1276" w:type="dxa"/>
            <w:vAlign w:val="center"/>
          </w:tcPr>
          <w:p>
            <w:pPr>
              <w:pStyle w:val="77"/>
              <w:jc w:val="left"/>
              <w:rPr>
                <w:kern w:val="0"/>
              </w:rPr>
            </w:pPr>
            <w:r>
              <w:rPr>
                <w:rFonts w:eastAsia="Malgun Gothic"/>
                <w:color w:val="000000"/>
                <w:kern w:val="0"/>
              </w:rPr>
              <w:t>52</w:t>
            </w:r>
          </w:p>
        </w:tc>
        <w:tc>
          <w:tcPr>
            <w:tcW w:w="1276" w:type="dxa"/>
            <w:vAlign w:val="center"/>
          </w:tcPr>
          <w:p>
            <w:pPr>
              <w:pStyle w:val="77"/>
              <w:jc w:val="left"/>
              <w:rPr>
                <w:kern w:val="0"/>
              </w:rPr>
            </w:pPr>
            <w:r>
              <w:rPr>
                <w:rFonts w:eastAsia="Malgun Gothic"/>
                <w:color w:val="000000"/>
                <w:kern w:val="0"/>
              </w:rPr>
              <w:t xml:space="preserve">1.1 </w:t>
            </w:r>
          </w:p>
        </w:tc>
        <w:tc>
          <w:tcPr>
            <w:tcW w:w="2410" w:type="dxa"/>
            <w:vAlign w:val="center"/>
          </w:tcPr>
          <w:p>
            <w:pPr>
              <w:pStyle w:val="77"/>
              <w:jc w:val="left"/>
              <w:rPr>
                <w:kern w:val="0"/>
              </w:rPr>
            </w:pPr>
            <w:r>
              <w:rPr>
                <w:rFonts w:eastAsia="Malgun Gothic"/>
                <w:color w:val="000000"/>
                <w:kern w:val="0"/>
              </w:rPr>
              <w:t>0.93 (0.67–1.30)</w:t>
            </w:r>
          </w:p>
        </w:tc>
        <w:tc>
          <w:tcPr>
            <w:tcW w:w="1275" w:type="dxa"/>
            <w:vAlign w:val="center"/>
          </w:tcPr>
          <w:p>
            <w:pPr>
              <w:pStyle w:val="77"/>
              <w:jc w:val="left"/>
              <w:rPr>
                <w:kern w:val="0"/>
              </w:rPr>
            </w:pPr>
            <w:r>
              <w:rPr>
                <w:rFonts w:eastAsia="Malgun Gothic"/>
                <w:color w:val="000000"/>
                <w:kern w:val="0"/>
              </w:rPr>
              <w:t>0.681</w:t>
            </w:r>
          </w:p>
        </w:tc>
        <w:tc>
          <w:tcPr>
            <w:tcW w:w="2268" w:type="dxa"/>
            <w:vAlign w:val="center"/>
          </w:tcPr>
          <w:p>
            <w:pPr>
              <w:pStyle w:val="77"/>
              <w:jc w:val="left"/>
              <w:rPr>
                <w:kern w:val="0"/>
              </w:rPr>
            </w:pPr>
            <w:r>
              <w:rPr>
                <w:rFonts w:eastAsia="Malgun Gothic"/>
                <w:color w:val="000000"/>
                <w:kern w:val="0"/>
              </w:rPr>
              <w:t>1.07 (0.76–1.51)</w:t>
            </w:r>
          </w:p>
        </w:tc>
        <w:tc>
          <w:tcPr>
            <w:tcW w:w="1218" w:type="dxa"/>
            <w:vAlign w:val="center"/>
          </w:tcPr>
          <w:p>
            <w:pPr>
              <w:pStyle w:val="77"/>
              <w:jc w:val="left"/>
              <w:rPr>
                <w:kern w:val="0"/>
              </w:rPr>
            </w:pPr>
            <w:r>
              <w:rPr>
                <w:rFonts w:eastAsia="Malgun Gothic"/>
                <w:color w:val="000000"/>
                <w:kern w:val="0"/>
              </w:rPr>
              <w:t>0.690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3" w:hRule="atLeast"/>
        </w:trPr>
        <w:tc>
          <w:tcPr>
            <w:tcW w:w="2547" w:type="dxa"/>
          </w:tcPr>
          <w:p>
            <w:pPr>
              <w:pStyle w:val="77"/>
              <w:jc w:val="left"/>
              <w:rPr>
                <w:kern w:val="0"/>
              </w:rPr>
            </w:pPr>
            <w:r>
              <w:rPr>
                <w:kern w:val="0"/>
              </w:rPr>
              <w:t>Active</w:t>
            </w:r>
          </w:p>
        </w:tc>
        <w:tc>
          <w:tcPr>
            <w:tcW w:w="1417" w:type="dxa"/>
            <w:vAlign w:val="center"/>
          </w:tcPr>
          <w:p>
            <w:pPr>
              <w:pStyle w:val="77"/>
              <w:jc w:val="left"/>
              <w:rPr>
                <w:kern w:val="0"/>
              </w:rPr>
            </w:pPr>
            <w:r>
              <w:rPr>
                <w:rFonts w:eastAsia="Malgun Gothic"/>
                <w:color w:val="000000"/>
                <w:kern w:val="0"/>
              </w:rPr>
              <w:t>1192</w:t>
            </w:r>
          </w:p>
        </w:tc>
        <w:tc>
          <w:tcPr>
            <w:tcW w:w="1276" w:type="dxa"/>
            <w:vAlign w:val="center"/>
          </w:tcPr>
          <w:p>
            <w:pPr>
              <w:pStyle w:val="77"/>
              <w:jc w:val="left"/>
              <w:rPr>
                <w:kern w:val="0"/>
              </w:rPr>
            </w:pPr>
            <w:r>
              <w:rPr>
                <w:rFonts w:eastAsia="Malgun Gothic"/>
                <w:color w:val="000000"/>
                <w:kern w:val="0"/>
              </w:rPr>
              <w:t>39</w:t>
            </w:r>
          </w:p>
        </w:tc>
        <w:tc>
          <w:tcPr>
            <w:tcW w:w="1276" w:type="dxa"/>
            <w:vAlign w:val="center"/>
          </w:tcPr>
          <w:p>
            <w:pPr>
              <w:pStyle w:val="77"/>
              <w:jc w:val="left"/>
              <w:rPr>
                <w:kern w:val="0"/>
              </w:rPr>
            </w:pPr>
            <w:r>
              <w:rPr>
                <w:rFonts w:eastAsia="Malgun Gothic"/>
                <w:color w:val="000000"/>
                <w:kern w:val="0"/>
              </w:rPr>
              <w:t xml:space="preserve">1.0 </w:t>
            </w:r>
          </w:p>
        </w:tc>
        <w:tc>
          <w:tcPr>
            <w:tcW w:w="2410" w:type="dxa"/>
            <w:vAlign w:val="center"/>
          </w:tcPr>
          <w:p>
            <w:pPr>
              <w:pStyle w:val="77"/>
              <w:jc w:val="left"/>
              <w:rPr>
                <w:kern w:val="0"/>
              </w:rPr>
            </w:pPr>
            <w:r>
              <w:rPr>
                <w:rFonts w:eastAsia="Malgun Gothic"/>
                <w:color w:val="000000"/>
                <w:kern w:val="0"/>
              </w:rPr>
              <w:t>0.92 (0.63–1.33)</w:t>
            </w:r>
          </w:p>
        </w:tc>
        <w:tc>
          <w:tcPr>
            <w:tcW w:w="1275" w:type="dxa"/>
            <w:vAlign w:val="center"/>
          </w:tcPr>
          <w:p>
            <w:pPr>
              <w:pStyle w:val="77"/>
              <w:jc w:val="left"/>
              <w:rPr>
                <w:kern w:val="0"/>
              </w:rPr>
            </w:pPr>
            <w:r>
              <w:rPr>
                <w:rFonts w:eastAsia="Malgun Gothic"/>
                <w:color w:val="000000"/>
                <w:kern w:val="0"/>
              </w:rPr>
              <w:t>0.640</w:t>
            </w:r>
          </w:p>
        </w:tc>
        <w:tc>
          <w:tcPr>
            <w:tcW w:w="2268" w:type="dxa"/>
            <w:vAlign w:val="center"/>
          </w:tcPr>
          <w:p>
            <w:pPr>
              <w:pStyle w:val="77"/>
              <w:jc w:val="left"/>
              <w:rPr>
                <w:kern w:val="0"/>
              </w:rPr>
            </w:pPr>
            <w:r>
              <w:rPr>
                <w:rFonts w:eastAsia="Malgun Gothic"/>
                <w:color w:val="000000"/>
                <w:kern w:val="0"/>
              </w:rPr>
              <w:t>1.14 (0.77–1.68)</w:t>
            </w:r>
          </w:p>
        </w:tc>
        <w:tc>
          <w:tcPr>
            <w:tcW w:w="1218" w:type="dxa"/>
            <w:vAlign w:val="center"/>
          </w:tcPr>
          <w:p>
            <w:pPr>
              <w:pStyle w:val="77"/>
              <w:jc w:val="left"/>
              <w:rPr>
                <w:kern w:val="0"/>
              </w:rPr>
            </w:pPr>
            <w:r>
              <w:rPr>
                <w:rFonts w:eastAsia="Malgun Gothic"/>
                <w:color w:val="000000"/>
                <w:kern w:val="0"/>
              </w:rPr>
              <w:t>0.515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trPr>
        <w:tc>
          <w:tcPr>
            <w:tcW w:w="2547" w:type="dxa"/>
          </w:tcPr>
          <w:p>
            <w:pPr>
              <w:pStyle w:val="77"/>
              <w:jc w:val="left"/>
              <w:rPr>
                <w:kern w:val="0"/>
              </w:rPr>
            </w:pPr>
            <w:r>
              <w:rPr>
                <w:kern w:val="0"/>
              </w:rPr>
              <w:t>Highly active</w:t>
            </w:r>
          </w:p>
        </w:tc>
        <w:tc>
          <w:tcPr>
            <w:tcW w:w="1417" w:type="dxa"/>
            <w:vAlign w:val="center"/>
          </w:tcPr>
          <w:p>
            <w:pPr>
              <w:pStyle w:val="77"/>
              <w:jc w:val="left"/>
              <w:rPr>
                <w:kern w:val="0"/>
              </w:rPr>
            </w:pPr>
            <w:r>
              <w:rPr>
                <w:rFonts w:eastAsia="Malgun Gothic"/>
                <w:color w:val="000000"/>
                <w:kern w:val="0"/>
              </w:rPr>
              <w:t>559</w:t>
            </w:r>
          </w:p>
        </w:tc>
        <w:tc>
          <w:tcPr>
            <w:tcW w:w="1276" w:type="dxa"/>
            <w:vAlign w:val="center"/>
          </w:tcPr>
          <w:p>
            <w:pPr>
              <w:pStyle w:val="77"/>
              <w:jc w:val="left"/>
              <w:rPr>
                <w:kern w:val="0"/>
              </w:rPr>
            </w:pPr>
            <w:r>
              <w:rPr>
                <w:rFonts w:eastAsia="Malgun Gothic"/>
                <w:color w:val="000000"/>
                <w:kern w:val="0"/>
              </w:rPr>
              <w:t>16</w:t>
            </w:r>
          </w:p>
        </w:tc>
        <w:tc>
          <w:tcPr>
            <w:tcW w:w="1276" w:type="dxa"/>
            <w:vAlign w:val="center"/>
          </w:tcPr>
          <w:p>
            <w:pPr>
              <w:pStyle w:val="77"/>
              <w:jc w:val="left"/>
              <w:rPr>
                <w:kern w:val="0"/>
              </w:rPr>
            </w:pPr>
            <w:r>
              <w:rPr>
                <w:rFonts w:eastAsia="Malgun Gothic"/>
                <w:color w:val="000000"/>
                <w:kern w:val="0"/>
              </w:rPr>
              <w:t xml:space="preserve">0.9 </w:t>
            </w:r>
          </w:p>
        </w:tc>
        <w:tc>
          <w:tcPr>
            <w:tcW w:w="2410" w:type="dxa"/>
            <w:vAlign w:val="center"/>
          </w:tcPr>
          <w:p>
            <w:pPr>
              <w:pStyle w:val="77"/>
              <w:jc w:val="left"/>
              <w:rPr>
                <w:kern w:val="0"/>
              </w:rPr>
            </w:pPr>
            <w:r>
              <w:rPr>
                <w:rFonts w:eastAsia="Malgun Gothic"/>
                <w:color w:val="000000"/>
                <w:kern w:val="0"/>
              </w:rPr>
              <w:t>0.78 (0.46–1.32)</w:t>
            </w:r>
          </w:p>
        </w:tc>
        <w:tc>
          <w:tcPr>
            <w:tcW w:w="1275" w:type="dxa"/>
            <w:vAlign w:val="center"/>
          </w:tcPr>
          <w:p>
            <w:pPr>
              <w:pStyle w:val="77"/>
              <w:jc w:val="left"/>
              <w:rPr>
                <w:kern w:val="0"/>
              </w:rPr>
            </w:pPr>
            <w:r>
              <w:rPr>
                <w:rFonts w:eastAsia="Malgun Gothic"/>
                <w:color w:val="000000"/>
                <w:kern w:val="0"/>
              </w:rPr>
              <w:t>0.352</w:t>
            </w:r>
          </w:p>
        </w:tc>
        <w:tc>
          <w:tcPr>
            <w:tcW w:w="2268" w:type="dxa"/>
            <w:vAlign w:val="center"/>
          </w:tcPr>
          <w:p>
            <w:pPr>
              <w:pStyle w:val="77"/>
              <w:jc w:val="left"/>
              <w:rPr>
                <w:kern w:val="0"/>
              </w:rPr>
            </w:pPr>
            <w:r>
              <w:rPr>
                <w:rFonts w:eastAsia="Malgun Gothic"/>
                <w:color w:val="000000"/>
                <w:kern w:val="0"/>
              </w:rPr>
              <w:t>1.03 (0.60–1.77)</w:t>
            </w:r>
          </w:p>
        </w:tc>
        <w:tc>
          <w:tcPr>
            <w:tcW w:w="1218" w:type="dxa"/>
            <w:vAlign w:val="center"/>
          </w:tcPr>
          <w:p>
            <w:pPr>
              <w:pStyle w:val="77"/>
              <w:jc w:val="left"/>
              <w:rPr>
                <w:kern w:val="0"/>
              </w:rPr>
            </w:pPr>
            <w:r>
              <w:rPr>
                <w:rFonts w:eastAsia="Malgun Gothic"/>
                <w:color w:val="000000"/>
                <w:kern w:val="0"/>
              </w:rPr>
              <w:t>0.912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trPr>
        <w:tc>
          <w:tcPr>
            <w:tcW w:w="13687" w:type="dxa"/>
            <w:gridSpan w:val="8"/>
          </w:tcPr>
          <w:p>
            <w:pPr>
              <w:pStyle w:val="77"/>
              <w:jc w:val="left"/>
              <w:rPr>
                <w:b/>
                <w:bCs/>
                <w:kern w:val="0"/>
              </w:rPr>
            </w:pPr>
            <w:r>
              <w:rPr>
                <w:bCs/>
                <w:kern w:val="0"/>
              </w:rPr>
              <w:t>Male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trPr>
        <w:tc>
          <w:tcPr>
            <w:tcW w:w="2547" w:type="dxa"/>
          </w:tcPr>
          <w:p>
            <w:pPr>
              <w:pStyle w:val="77"/>
              <w:jc w:val="left"/>
              <w:rPr>
                <w:kern w:val="0"/>
              </w:rPr>
            </w:pPr>
            <w:r>
              <w:rPr>
                <w:kern w:val="0"/>
              </w:rPr>
              <w:t>Inactive</w:t>
            </w:r>
          </w:p>
        </w:tc>
        <w:tc>
          <w:tcPr>
            <w:tcW w:w="1417" w:type="dxa"/>
            <w:vAlign w:val="center"/>
          </w:tcPr>
          <w:p>
            <w:pPr>
              <w:pStyle w:val="77"/>
              <w:jc w:val="left"/>
              <w:rPr>
                <w:kern w:val="0"/>
              </w:rPr>
            </w:pPr>
            <w:r>
              <w:rPr>
                <w:rFonts w:eastAsia="Malgun Gothic"/>
                <w:color w:val="000000"/>
                <w:kern w:val="0"/>
              </w:rPr>
              <w:t>927</w:t>
            </w:r>
          </w:p>
        </w:tc>
        <w:tc>
          <w:tcPr>
            <w:tcW w:w="1276" w:type="dxa"/>
            <w:vAlign w:val="center"/>
          </w:tcPr>
          <w:p>
            <w:pPr>
              <w:pStyle w:val="77"/>
              <w:jc w:val="left"/>
              <w:rPr>
                <w:kern w:val="0"/>
              </w:rPr>
            </w:pPr>
            <w:r>
              <w:rPr>
                <w:rFonts w:eastAsia="Malgun Gothic"/>
                <w:color w:val="000000"/>
                <w:kern w:val="0"/>
              </w:rPr>
              <w:t>59</w:t>
            </w:r>
          </w:p>
        </w:tc>
        <w:tc>
          <w:tcPr>
            <w:tcW w:w="1276" w:type="dxa"/>
            <w:vAlign w:val="center"/>
          </w:tcPr>
          <w:p>
            <w:pPr>
              <w:pStyle w:val="77"/>
              <w:jc w:val="left"/>
              <w:rPr>
                <w:kern w:val="0"/>
              </w:rPr>
            </w:pPr>
            <w:r>
              <w:rPr>
                <w:rFonts w:eastAsia="Malgun Gothic"/>
                <w:color w:val="000000"/>
                <w:kern w:val="0"/>
              </w:rPr>
              <w:t xml:space="preserve">2.3 </w:t>
            </w:r>
          </w:p>
        </w:tc>
        <w:tc>
          <w:tcPr>
            <w:tcW w:w="2410" w:type="dxa"/>
            <w:vAlign w:val="center"/>
          </w:tcPr>
          <w:p>
            <w:pPr>
              <w:pStyle w:val="77"/>
              <w:jc w:val="left"/>
              <w:rPr>
                <w:kern w:val="0"/>
              </w:rPr>
            </w:pPr>
            <w:r>
              <w:rPr>
                <w:rFonts w:eastAsia="Malgun Gothic"/>
                <w:color w:val="000000"/>
                <w:kern w:val="0"/>
              </w:rPr>
              <w:t>Reference</w:t>
            </w:r>
          </w:p>
        </w:tc>
        <w:tc>
          <w:tcPr>
            <w:tcW w:w="1275" w:type="dxa"/>
            <w:vAlign w:val="center"/>
          </w:tcPr>
          <w:p>
            <w:pPr>
              <w:pStyle w:val="77"/>
              <w:jc w:val="left"/>
              <w:rPr>
                <w:kern w:val="0"/>
              </w:rPr>
            </w:pPr>
          </w:p>
        </w:tc>
        <w:tc>
          <w:tcPr>
            <w:tcW w:w="2268" w:type="dxa"/>
            <w:vAlign w:val="center"/>
          </w:tcPr>
          <w:p>
            <w:pPr>
              <w:pStyle w:val="77"/>
              <w:jc w:val="left"/>
              <w:rPr>
                <w:kern w:val="0"/>
              </w:rPr>
            </w:pPr>
            <w:r>
              <w:rPr>
                <w:rFonts w:eastAsia="Malgun Gothic"/>
                <w:color w:val="000000"/>
                <w:kern w:val="0"/>
              </w:rPr>
              <w:t>Reference</w:t>
            </w:r>
          </w:p>
        </w:tc>
        <w:tc>
          <w:tcPr>
            <w:tcW w:w="1218" w:type="dxa"/>
            <w:vAlign w:val="center"/>
          </w:tcPr>
          <w:p>
            <w:pPr>
              <w:pStyle w:val="77"/>
              <w:jc w:val="left"/>
              <w:rPr>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trPr>
        <w:tc>
          <w:tcPr>
            <w:tcW w:w="2547" w:type="dxa"/>
          </w:tcPr>
          <w:p>
            <w:pPr>
              <w:pStyle w:val="77"/>
              <w:jc w:val="left"/>
              <w:rPr>
                <w:kern w:val="0"/>
              </w:rPr>
            </w:pPr>
            <w:r>
              <w:rPr>
                <w:kern w:val="0"/>
              </w:rPr>
              <w:t>Insufficiently active</w:t>
            </w:r>
          </w:p>
        </w:tc>
        <w:tc>
          <w:tcPr>
            <w:tcW w:w="1417" w:type="dxa"/>
            <w:vAlign w:val="center"/>
          </w:tcPr>
          <w:p>
            <w:pPr>
              <w:pStyle w:val="77"/>
              <w:jc w:val="left"/>
              <w:rPr>
                <w:kern w:val="0"/>
              </w:rPr>
            </w:pPr>
            <w:r>
              <w:rPr>
                <w:rFonts w:eastAsia="Malgun Gothic"/>
                <w:color w:val="000000"/>
                <w:kern w:val="0"/>
              </w:rPr>
              <w:t>577</w:t>
            </w:r>
          </w:p>
        </w:tc>
        <w:tc>
          <w:tcPr>
            <w:tcW w:w="1276" w:type="dxa"/>
            <w:vAlign w:val="center"/>
          </w:tcPr>
          <w:p>
            <w:pPr>
              <w:pStyle w:val="77"/>
              <w:jc w:val="left"/>
              <w:rPr>
                <w:kern w:val="0"/>
              </w:rPr>
            </w:pPr>
            <w:r>
              <w:rPr>
                <w:rFonts w:eastAsia="Malgun Gothic"/>
                <w:color w:val="000000"/>
                <w:kern w:val="0"/>
              </w:rPr>
              <w:t>27</w:t>
            </w:r>
          </w:p>
        </w:tc>
        <w:tc>
          <w:tcPr>
            <w:tcW w:w="1276" w:type="dxa"/>
            <w:vAlign w:val="center"/>
          </w:tcPr>
          <w:p>
            <w:pPr>
              <w:pStyle w:val="77"/>
              <w:jc w:val="left"/>
              <w:rPr>
                <w:kern w:val="0"/>
              </w:rPr>
            </w:pPr>
            <w:r>
              <w:rPr>
                <w:rFonts w:eastAsia="Malgun Gothic"/>
                <w:color w:val="000000"/>
                <w:kern w:val="0"/>
              </w:rPr>
              <w:t xml:space="preserve">1.6 </w:t>
            </w:r>
          </w:p>
        </w:tc>
        <w:tc>
          <w:tcPr>
            <w:tcW w:w="2410" w:type="dxa"/>
            <w:vAlign w:val="center"/>
          </w:tcPr>
          <w:p>
            <w:pPr>
              <w:pStyle w:val="77"/>
              <w:jc w:val="left"/>
              <w:rPr>
                <w:kern w:val="0"/>
              </w:rPr>
            </w:pPr>
            <w:r>
              <w:rPr>
                <w:rFonts w:eastAsia="Malgun Gothic"/>
                <w:color w:val="000000"/>
                <w:kern w:val="0"/>
              </w:rPr>
              <w:t>0.71 (0.45–1.11)</w:t>
            </w:r>
          </w:p>
        </w:tc>
        <w:tc>
          <w:tcPr>
            <w:tcW w:w="1275" w:type="dxa"/>
            <w:vAlign w:val="center"/>
          </w:tcPr>
          <w:p>
            <w:pPr>
              <w:pStyle w:val="77"/>
              <w:jc w:val="left"/>
              <w:rPr>
                <w:kern w:val="0"/>
              </w:rPr>
            </w:pPr>
            <w:r>
              <w:rPr>
                <w:rFonts w:eastAsia="Malgun Gothic"/>
                <w:color w:val="000000"/>
                <w:kern w:val="0"/>
              </w:rPr>
              <w:t>0.134</w:t>
            </w:r>
          </w:p>
        </w:tc>
        <w:tc>
          <w:tcPr>
            <w:tcW w:w="2268" w:type="dxa"/>
            <w:vAlign w:val="center"/>
          </w:tcPr>
          <w:p>
            <w:pPr>
              <w:pStyle w:val="77"/>
              <w:jc w:val="left"/>
              <w:rPr>
                <w:kern w:val="0"/>
              </w:rPr>
            </w:pPr>
            <w:r>
              <w:rPr>
                <w:rFonts w:eastAsia="Malgun Gothic"/>
                <w:color w:val="000000"/>
                <w:kern w:val="0"/>
              </w:rPr>
              <w:t>0.71 (0.45–1.13)</w:t>
            </w:r>
          </w:p>
        </w:tc>
        <w:tc>
          <w:tcPr>
            <w:tcW w:w="1218" w:type="dxa"/>
            <w:vAlign w:val="center"/>
          </w:tcPr>
          <w:p>
            <w:pPr>
              <w:pStyle w:val="77"/>
              <w:jc w:val="left"/>
              <w:rPr>
                <w:kern w:val="0"/>
              </w:rPr>
            </w:pPr>
            <w:r>
              <w:rPr>
                <w:rFonts w:eastAsia="Malgun Gothic"/>
                <w:color w:val="000000"/>
                <w:kern w:val="0"/>
              </w:rPr>
              <w:t>0.152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3" w:hRule="atLeast"/>
        </w:trPr>
        <w:tc>
          <w:tcPr>
            <w:tcW w:w="2547" w:type="dxa"/>
          </w:tcPr>
          <w:p>
            <w:pPr>
              <w:pStyle w:val="77"/>
              <w:jc w:val="left"/>
              <w:rPr>
                <w:kern w:val="0"/>
              </w:rPr>
            </w:pPr>
            <w:r>
              <w:rPr>
                <w:kern w:val="0"/>
              </w:rPr>
              <w:t>Active</w:t>
            </w:r>
          </w:p>
        </w:tc>
        <w:tc>
          <w:tcPr>
            <w:tcW w:w="1417" w:type="dxa"/>
            <w:vAlign w:val="center"/>
          </w:tcPr>
          <w:p>
            <w:pPr>
              <w:pStyle w:val="77"/>
              <w:jc w:val="left"/>
              <w:rPr>
                <w:kern w:val="0"/>
              </w:rPr>
            </w:pPr>
            <w:r>
              <w:rPr>
                <w:rFonts w:eastAsia="Malgun Gothic"/>
                <w:color w:val="000000"/>
                <w:kern w:val="0"/>
              </w:rPr>
              <w:t>633</w:t>
            </w:r>
          </w:p>
        </w:tc>
        <w:tc>
          <w:tcPr>
            <w:tcW w:w="1276" w:type="dxa"/>
            <w:vAlign w:val="center"/>
          </w:tcPr>
          <w:p>
            <w:pPr>
              <w:pStyle w:val="77"/>
              <w:jc w:val="left"/>
              <w:rPr>
                <w:kern w:val="0"/>
              </w:rPr>
            </w:pPr>
            <w:r>
              <w:rPr>
                <w:rFonts w:eastAsia="Malgun Gothic"/>
                <w:color w:val="000000"/>
                <w:kern w:val="0"/>
              </w:rPr>
              <w:t>39</w:t>
            </w:r>
          </w:p>
        </w:tc>
        <w:tc>
          <w:tcPr>
            <w:tcW w:w="1276" w:type="dxa"/>
            <w:vAlign w:val="center"/>
          </w:tcPr>
          <w:p>
            <w:pPr>
              <w:pStyle w:val="77"/>
              <w:jc w:val="left"/>
              <w:rPr>
                <w:kern w:val="0"/>
              </w:rPr>
            </w:pPr>
            <w:r>
              <w:rPr>
                <w:rFonts w:eastAsia="Malgun Gothic"/>
                <w:color w:val="000000"/>
                <w:kern w:val="0"/>
              </w:rPr>
              <w:t xml:space="preserve">2.0 </w:t>
            </w:r>
          </w:p>
        </w:tc>
        <w:tc>
          <w:tcPr>
            <w:tcW w:w="2410" w:type="dxa"/>
            <w:vAlign w:val="center"/>
          </w:tcPr>
          <w:p>
            <w:pPr>
              <w:pStyle w:val="77"/>
              <w:jc w:val="left"/>
              <w:rPr>
                <w:kern w:val="0"/>
              </w:rPr>
            </w:pPr>
            <w:r>
              <w:rPr>
                <w:rFonts w:eastAsia="Malgun Gothic"/>
                <w:color w:val="000000"/>
                <w:kern w:val="0"/>
              </w:rPr>
              <w:t>0.90 (0.60–1.34)</w:t>
            </w:r>
          </w:p>
        </w:tc>
        <w:tc>
          <w:tcPr>
            <w:tcW w:w="1275" w:type="dxa"/>
            <w:vAlign w:val="center"/>
          </w:tcPr>
          <w:p>
            <w:pPr>
              <w:pStyle w:val="77"/>
              <w:jc w:val="left"/>
              <w:rPr>
                <w:kern w:val="0"/>
              </w:rPr>
            </w:pPr>
            <w:r>
              <w:rPr>
                <w:rFonts w:eastAsia="Malgun Gothic"/>
                <w:color w:val="000000"/>
                <w:kern w:val="0"/>
              </w:rPr>
              <w:t>0.591</w:t>
            </w:r>
          </w:p>
        </w:tc>
        <w:tc>
          <w:tcPr>
            <w:tcW w:w="2268" w:type="dxa"/>
            <w:vAlign w:val="center"/>
          </w:tcPr>
          <w:p>
            <w:pPr>
              <w:pStyle w:val="77"/>
              <w:jc w:val="left"/>
              <w:rPr>
                <w:kern w:val="0"/>
              </w:rPr>
            </w:pPr>
            <w:r>
              <w:rPr>
                <w:rFonts w:eastAsia="Malgun Gothic"/>
                <w:color w:val="000000"/>
                <w:kern w:val="0"/>
              </w:rPr>
              <w:t>0.97 (0.64–1.48)</w:t>
            </w:r>
          </w:p>
        </w:tc>
        <w:tc>
          <w:tcPr>
            <w:tcW w:w="1218" w:type="dxa"/>
            <w:vAlign w:val="center"/>
          </w:tcPr>
          <w:p>
            <w:pPr>
              <w:pStyle w:val="77"/>
              <w:jc w:val="left"/>
              <w:rPr>
                <w:kern w:val="0"/>
              </w:rPr>
            </w:pPr>
            <w:r>
              <w:rPr>
                <w:rFonts w:eastAsia="Malgun Gothic"/>
                <w:color w:val="000000"/>
                <w:kern w:val="0"/>
              </w:rPr>
              <w:t>0.899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trPr>
        <w:tc>
          <w:tcPr>
            <w:tcW w:w="2547" w:type="dxa"/>
          </w:tcPr>
          <w:p>
            <w:pPr>
              <w:pStyle w:val="77"/>
              <w:jc w:val="left"/>
              <w:rPr>
                <w:kern w:val="0"/>
              </w:rPr>
            </w:pPr>
            <w:r>
              <w:rPr>
                <w:kern w:val="0"/>
              </w:rPr>
              <w:t>Highly active</w:t>
            </w:r>
          </w:p>
        </w:tc>
        <w:tc>
          <w:tcPr>
            <w:tcW w:w="1417" w:type="dxa"/>
            <w:vAlign w:val="center"/>
          </w:tcPr>
          <w:p>
            <w:pPr>
              <w:pStyle w:val="77"/>
              <w:jc w:val="left"/>
              <w:rPr>
                <w:kern w:val="0"/>
              </w:rPr>
            </w:pPr>
            <w:r>
              <w:rPr>
                <w:rFonts w:eastAsia="Malgun Gothic"/>
                <w:color w:val="000000"/>
                <w:kern w:val="0"/>
              </w:rPr>
              <w:t>508</w:t>
            </w:r>
          </w:p>
        </w:tc>
        <w:tc>
          <w:tcPr>
            <w:tcW w:w="1276" w:type="dxa"/>
            <w:vAlign w:val="center"/>
          </w:tcPr>
          <w:p>
            <w:pPr>
              <w:pStyle w:val="77"/>
              <w:jc w:val="left"/>
              <w:rPr>
                <w:kern w:val="0"/>
              </w:rPr>
            </w:pPr>
            <w:r>
              <w:rPr>
                <w:rFonts w:eastAsia="Malgun Gothic"/>
                <w:color w:val="000000"/>
                <w:kern w:val="0"/>
              </w:rPr>
              <w:t>35</w:t>
            </w:r>
          </w:p>
        </w:tc>
        <w:tc>
          <w:tcPr>
            <w:tcW w:w="1276" w:type="dxa"/>
            <w:vAlign w:val="center"/>
          </w:tcPr>
          <w:p>
            <w:pPr>
              <w:pStyle w:val="77"/>
              <w:jc w:val="left"/>
              <w:rPr>
                <w:kern w:val="0"/>
              </w:rPr>
            </w:pPr>
            <w:r>
              <w:rPr>
                <w:rFonts w:eastAsia="Malgun Gothic"/>
                <w:color w:val="000000"/>
                <w:kern w:val="0"/>
              </w:rPr>
              <w:t xml:space="preserve">2.2 </w:t>
            </w:r>
          </w:p>
        </w:tc>
        <w:tc>
          <w:tcPr>
            <w:tcW w:w="2410" w:type="dxa"/>
            <w:vAlign w:val="center"/>
          </w:tcPr>
          <w:p>
            <w:pPr>
              <w:pStyle w:val="77"/>
              <w:jc w:val="left"/>
              <w:rPr>
                <w:kern w:val="0"/>
              </w:rPr>
            </w:pPr>
            <w:r>
              <w:rPr>
                <w:rFonts w:eastAsia="Malgun Gothic"/>
                <w:color w:val="000000"/>
                <w:kern w:val="0"/>
              </w:rPr>
              <w:t>0.97 (0.64–1.48)</w:t>
            </w:r>
          </w:p>
        </w:tc>
        <w:tc>
          <w:tcPr>
            <w:tcW w:w="1275" w:type="dxa"/>
            <w:vAlign w:val="center"/>
          </w:tcPr>
          <w:p>
            <w:pPr>
              <w:pStyle w:val="77"/>
              <w:jc w:val="left"/>
              <w:rPr>
                <w:kern w:val="0"/>
              </w:rPr>
            </w:pPr>
            <w:r>
              <w:rPr>
                <w:rFonts w:eastAsia="Malgun Gothic"/>
                <w:color w:val="000000"/>
                <w:kern w:val="0"/>
              </w:rPr>
              <w:t>0.893</w:t>
            </w:r>
          </w:p>
        </w:tc>
        <w:tc>
          <w:tcPr>
            <w:tcW w:w="2268" w:type="dxa"/>
            <w:vAlign w:val="center"/>
          </w:tcPr>
          <w:p>
            <w:pPr>
              <w:pStyle w:val="77"/>
              <w:jc w:val="left"/>
              <w:rPr>
                <w:kern w:val="0"/>
              </w:rPr>
            </w:pPr>
            <w:r>
              <w:rPr>
                <w:rFonts w:eastAsia="Malgun Gothic"/>
                <w:color w:val="000000"/>
                <w:kern w:val="0"/>
              </w:rPr>
              <w:t>1.07 (0.70–1.64)</w:t>
            </w:r>
          </w:p>
        </w:tc>
        <w:tc>
          <w:tcPr>
            <w:tcW w:w="1218" w:type="dxa"/>
            <w:vAlign w:val="center"/>
          </w:tcPr>
          <w:p>
            <w:pPr>
              <w:pStyle w:val="77"/>
              <w:jc w:val="left"/>
              <w:rPr>
                <w:kern w:val="0"/>
              </w:rPr>
            </w:pPr>
            <w:r>
              <w:rPr>
                <w:rFonts w:eastAsia="Malgun Gothic"/>
                <w:color w:val="000000"/>
                <w:kern w:val="0"/>
              </w:rPr>
              <w:t>0.744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trPr>
        <w:tc>
          <w:tcPr>
            <w:tcW w:w="13687" w:type="dxa"/>
            <w:gridSpan w:val="8"/>
          </w:tcPr>
          <w:p>
            <w:pPr>
              <w:pStyle w:val="77"/>
              <w:jc w:val="left"/>
              <w:rPr>
                <w:b/>
                <w:bCs/>
                <w:kern w:val="0"/>
              </w:rPr>
            </w:pPr>
            <w:r>
              <w:rPr>
                <w:b/>
                <w:bCs/>
                <w:kern w:val="0"/>
              </w:rPr>
              <w:t>Stroke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trPr>
        <w:tc>
          <w:tcPr>
            <w:tcW w:w="13687" w:type="dxa"/>
            <w:gridSpan w:val="8"/>
          </w:tcPr>
          <w:p>
            <w:pPr>
              <w:pStyle w:val="77"/>
              <w:jc w:val="left"/>
              <w:rPr>
                <w:b/>
                <w:bCs/>
                <w:kern w:val="0"/>
              </w:rPr>
            </w:pPr>
            <w:r>
              <w:rPr>
                <w:bCs/>
                <w:kern w:val="0"/>
              </w:rPr>
              <w:t>Female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trPr>
        <w:tc>
          <w:tcPr>
            <w:tcW w:w="2547" w:type="dxa"/>
          </w:tcPr>
          <w:p>
            <w:pPr>
              <w:pStyle w:val="77"/>
              <w:jc w:val="left"/>
              <w:rPr>
                <w:kern w:val="0"/>
              </w:rPr>
            </w:pPr>
            <w:r>
              <w:rPr>
                <w:kern w:val="0"/>
              </w:rPr>
              <w:t>Inactive</w:t>
            </w:r>
          </w:p>
        </w:tc>
        <w:tc>
          <w:tcPr>
            <w:tcW w:w="1417" w:type="dxa"/>
            <w:vAlign w:val="center"/>
          </w:tcPr>
          <w:p>
            <w:pPr>
              <w:pStyle w:val="77"/>
              <w:jc w:val="left"/>
              <w:rPr>
                <w:kern w:val="0"/>
              </w:rPr>
            </w:pPr>
            <w:r>
              <w:rPr>
                <w:rFonts w:eastAsia="Malgun Gothic"/>
                <w:color w:val="000000"/>
                <w:kern w:val="0"/>
              </w:rPr>
              <w:t>3009</w:t>
            </w:r>
          </w:p>
        </w:tc>
        <w:tc>
          <w:tcPr>
            <w:tcW w:w="1276" w:type="dxa"/>
            <w:vAlign w:val="center"/>
          </w:tcPr>
          <w:p>
            <w:pPr>
              <w:pStyle w:val="77"/>
              <w:jc w:val="left"/>
              <w:rPr>
                <w:kern w:val="0"/>
              </w:rPr>
            </w:pPr>
            <w:r>
              <w:rPr>
                <w:rFonts w:eastAsia="Malgun Gothic"/>
                <w:color w:val="000000"/>
                <w:kern w:val="0"/>
              </w:rPr>
              <w:t>170</w:t>
            </w:r>
          </w:p>
        </w:tc>
        <w:tc>
          <w:tcPr>
            <w:tcW w:w="1276" w:type="dxa"/>
            <w:vAlign w:val="center"/>
          </w:tcPr>
          <w:p>
            <w:pPr>
              <w:pStyle w:val="77"/>
              <w:jc w:val="left"/>
              <w:rPr>
                <w:kern w:val="0"/>
              </w:rPr>
            </w:pPr>
            <w:r>
              <w:rPr>
                <w:rFonts w:eastAsia="Malgun Gothic"/>
                <w:color w:val="000000"/>
                <w:kern w:val="0"/>
              </w:rPr>
              <w:t xml:space="preserve">2.0 </w:t>
            </w:r>
          </w:p>
        </w:tc>
        <w:tc>
          <w:tcPr>
            <w:tcW w:w="2410" w:type="dxa"/>
            <w:vAlign w:val="center"/>
          </w:tcPr>
          <w:p>
            <w:pPr>
              <w:pStyle w:val="77"/>
              <w:jc w:val="left"/>
              <w:rPr>
                <w:kern w:val="0"/>
              </w:rPr>
            </w:pPr>
            <w:r>
              <w:rPr>
                <w:rFonts w:eastAsia="Malgun Gothic"/>
                <w:color w:val="000000"/>
                <w:kern w:val="0"/>
              </w:rPr>
              <w:t>Reference</w:t>
            </w:r>
          </w:p>
        </w:tc>
        <w:tc>
          <w:tcPr>
            <w:tcW w:w="1275" w:type="dxa"/>
            <w:vAlign w:val="center"/>
          </w:tcPr>
          <w:p>
            <w:pPr>
              <w:pStyle w:val="77"/>
              <w:jc w:val="left"/>
              <w:rPr>
                <w:kern w:val="0"/>
              </w:rPr>
            </w:pPr>
          </w:p>
        </w:tc>
        <w:tc>
          <w:tcPr>
            <w:tcW w:w="2268" w:type="dxa"/>
            <w:vAlign w:val="center"/>
          </w:tcPr>
          <w:p>
            <w:pPr>
              <w:pStyle w:val="77"/>
              <w:jc w:val="left"/>
              <w:rPr>
                <w:kern w:val="0"/>
              </w:rPr>
            </w:pPr>
            <w:r>
              <w:rPr>
                <w:rFonts w:eastAsia="Malgun Gothic"/>
                <w:color w:val="000000"/>
                <w:kern w:val="0"/>
              </w:rPr>
              <w:t>Reference</w:t>
            </w:r>
          </w:p>
        </w:tc>
        <w:tc>
          <w:tcPr>
            <w:tcW w:w="1218" w:type="dxa"/>
            <w:vAlign w:val="center"/>
          </w:tcPr>
          <w:p>
            <w:pPr>
              <w:pStyle w:val="77"/>
              <w:jc w:val="left"/>
              <w:rPr>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trPr>
        <w:tc>
          <w:tcPr>
            <w:tcW w:w="2547" w:type="dxa"/>
          </w:tcPr>
          <w:p>
            <w:pPr>
              <w:pStyle w:val="77"/>
              <w:jc w:val="left"/>
              <w:rPr>
                <w:kern w:val="0"/>
              </w:rPr>
            </w:pPr>
            <w:r>
              <w:rPr>
                <w:kern w:val="0"/>
              </w:rPr>
              <w:t>Insufficiently active</w:t>
            </w:r>
          </w:p>
        </w:tc>
        <w:tc>
          <w:tcPr>
            <w:tcW w:w="1417" w:type="dxa"/>
            <w:vAlign w:val="center"/>
          </w:tcPr>
          <w:p>
            <w:pPr>
              <w:pStyle w:val="77"/>
              <w:jc w:val="left"/>
              <w:rPr>
                <w:kern w:val="0"/>
              </w:rPr>
            </w:pPr>
            <w:r>
              <w:rPr>
                <w:rFonts w:eastAsia="Malgun Gothic"/>
                <w:color w:val="000000"/>
                <w:kern w:val="0"/>
              </w:rPr>
              <w:t>1577</w:t>
            </w:r>
          </w:p>
        </w:tc>
        <w:tc>
          <w:tcPr>
            <w:tcW w:w="1276" w:type="dxa"/>
            <w:vAlign w:val="center"/>
          </w:tcPr>
          <w:p>
            <w:pPr>
              <w:pStyle w:val="77"/>
              <w:jc w:val="left"/>
              <w:rPr>
                <w:kern w:val="0"/>
              </w:rPr>
            </w:pPr>
            <w:r>
              <w:rPr>
                <w:rFonts w:eastAsia="Malgun Gothic"/>
                <w:color w:val="000000"/>
                <w:kern w:val="0"/>
              </w:rPr>
              <w:t>87</w:t>
            </w:r>
          </w:p>
        </w:tc>
        <w:tc>
          <w:tcPr>
            <w:tcW w:w="1276" w:type="dxa"/>
            <w:vAlign w:val="center"/>
          </w:tcPr>
          <w:p>
            <w:pPr>
              <w:pStyle w:val="77"/>
              <w:jc w:val="left"/>
              <w:rPr>
                <w:kern w:val="0"/>
              </w:rPr>
            </w:pPr>
            <w:r>
              <w:rPr>
                <w:rFonts w:eastAsia="Malgun Gothic"/>
                <w:color w:val="000000"/>
                <w:kern w:val="0"/>
              </w:rPr>
              <w:t xml:space="preserve">1.8 </w:t>
            </w:r>
          </w:p>
        </w:tc>
        <w:tc>
          <w:tcPr>
            <w:tcW w:w="2410" w:type="dxa"/>
            <w:vAlign w:val="center"/>
          </w:tcPr>
          <w:p>
            <w:pPr>
              <w:pStyle w:val="77"/>
              <w:jc w:val="left"/>
              <w:rPr>
                <w:kern w:val="0"/>
              </w:rPr>
            </w:pPr>
            <w:r>
              <w:rPr>
                <w:rFonts w:eastAsia="Malgun Gothic"/>
                <w:color w:val="000000"/>
                <w:kern w:val="0"/>
              </w:rPr>
              <w:t>0.92 (0.71–1.19)</w:t>
            </w:r>
          </w:p>
        </w:tc>
        <w:tc>
          <w:tcPr>
            <w:tcW w:w="1275" w:type="dxa"/>
            <w:vAlign w:val="center"/>
          </w:tcPr>
          <w:p>
            <w:pPr>
              <w:pStyle w:val="77"/>
              <w:jc w:val="left"/>
              <w:rPr>
                <w:kern w:val="0"/>
              </w:rPr>
            </w:pPr>
            <w:r>
              <w:rPr>
                <w:rFonts w:eastAsia="Malgun Gothic"/>
                <w:color w:val="000000"/>
                <w:kern w:val="0"/>
              </w:rPr>
              <w:t>0.534</w:t>
            </w:r>
          </w:p>
        </w:tc>
        <w:tc>
          <w:tcPr>
            <w:tcW w:w="2268" w:type="dxa"/>
            <w:vAlign w:val="center"/>
          </w:tcPr>
          <w:p>
            <w:pPr>
              <w:pStyle w:val="77"/>
              <w:jc w:val="left"/>
              <w:rPr>
                <w:kern w:val="0"/>
              </w:rPr>
            </w:pPr>
            <w:r>
              <w:rPr>
                <w:rFonts w:eastAsia="Malgun Gothic"/>
                <w:color w:val="000000"/>
                <w:kern w:val="0"/>
              </w:rPr>
              <w:t>1.04 (0.80–1.35)</w:t>
            </w:r>
          </w:p>
        </w:tc>
        <w:tc>
          <w:tcPr>
            <w:tcW w:w="1218" w:type="dxa"/>
            <w:vAlign w:val="center"/>
          </w:tcPr>
          <w:p>
            <w:pPr>
              <w:pStyle w:val="77"/>
              <w:jc w:val="left"/>
              <w:rPr>
                <w:kern w:val="0"/>
              </w:rPr>
            </w:pPr>
            <w:r>
              <w:rPr>
                <w:rFonts w:eastAsia="Malgun Gothic"/>
                <w:color w:val="000000"/>
                <w:kern w:val="0"/>
              </w:rPr>
              <w:t>0.794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3" w:hRule="atLeast"/>
        </w:trPr>
        <w:tc>
          <w:tcPr>
            <w:tcW w:w="2547" w:type="dxa"/>
          </w:tcPr>
          <w:p>
            <w:pPr>
              <w:pStyle w:val="77"/>
              <w:jc w:val="left"/>
              <w:rPr>
                <w:kern w:val="0"/>
              </w:rPr>
            </w:pPr>
            <w:r>
              <w:rPr>
                <w:kern w:val="0"/>
              </w:rPr>
              <w:t>Active</w:t>
            </w:r>
          </w:p>
        </w:tc>
        <w:tc>
          <w:tcPr>
            <w:tcW w:w="1417" w:type="dxa"/>
            <w:vAlign w:val="center"/>
          </w:tcPr>
          <w:p>
            <w:pPr>
              <w:pStyle w:val="77"/>
              <w:jc w:val="left"/>
              <w:rPr>
                <w:kern w:val="0"/>
              </w:rPr>
            </w:pPr>
            <w:r>
              <w:rPr>
                <w:rFonts w:eastAsia="Malgun Gothic"/>
                <w:color w:val="000000"/>
                <w:kern w:val="0"/>
              </w:rPr>
              <w:t>1192</w:t>
            </w:r>
          </w:p>
        </w:tc>
        <w:tc>
          <w:tcPr>
            <w:tcW w:w="1276" w:type="dxa"/>
            <w:vAlign w:val="center"/>
          </w:tcPr>
          <w:p>
            <w:pPr>
              <w:pStyle w:val="77"/>
              <w:jc w:val="left"/>
              <w:rPr>
                <w:kern w:val="0"/>
              </w:rPr>
            </w:pPr>
            <w:r>
              <w:rPr>
                <w:rFonts w:eastAsia="Malgun Gothic"/>
                <w:color w:val="000000"/>
                <w:kern w:val="0"/>
              </w:rPr>
              <w:t>63</w:t>
            </w:r>
          </w:p>
        </w:tc>
        <w:tc>
          <w:tcPr>
            <w:tcW w:w="1276" w:type="dxa"/>
            <w:vAlign w:val="center"/>
          </w:tcPr>
          <w:p>
            <w:pPr>
              <w:pStyle w:val="77"/>
              <w:jc w:val="left"/>
              <w:rPr>
                <w:kern w:val="0"/>
              </w:rPr>
            </w:pPr>
            <w:r>
              <w:rPr>
                <w:rFonts w:eastAsia="Malgun Gothic"/>
                <w:color w:val="000000"/>
                <w:kern w:val="0"/>
              </w:rPr>
              <w:t xml:space="preserve">1.7 </w:t>
            </w:r>
          </w:p>
        </w:tc>
        <w:tc>
          <w:tcPr>
            <w:tcW w:w="2410" w:type="dxa"/>
            <w:vAlign w:val="center"/>
          </w:tcPr>
          <w:p>
            <w:pPr>
              <w:pStyle w:val="77"/>
              <w:jc w:val="left"/>
              <w:rPr>
                <w:kern w:val="0"/>
              </w:rPr>
            </w:pPr>
            <w:r>
              <w:rPr>
                <w:rFonts w:eastAsia="Malgun Gothic"/>
                <w:color w:val="000000"/>
                <w:kern w:val="0"/>
              </w:rPr>
              <w:t>0.87 (0.65–1.15)</w:t>
            </w:r>
          </w:p>
        </w:tc>
        <w:tc>
          <w:tcPr>
            <w:tcW w:w="1275" w:type="dxa"/>
            <w:vAlign w:val="center"/>
          </w:tcPr>
          <w:p>
            <w:pPr>
              <w:pStyle w:val="77"/>
              <w:jc w:val="left"/>
              <w:rPr>
                <w:kern w:val="0"/>
              </w:rPr>
            </w:pPr>
            <w:r>
              <w:rPr>
                <w:rFonts w:eastAsia="Malgun Gothic"/>
                <w:color w:val="000000"/>
                <w:kern w:val="0"/>
              </w:rPr>
              <w:t>0.324</w:t>
            </w:r>
          </w:p>
        </w:tc>
        <w:tc>
          <w:tcPr>
            <w:tcW w:w="2268" w:type="dxa"/>
            <w:vAlign w:val="center"/>
          </w:tcPr>
          <w:p>
            <w:pPr>
              <w:pStyle w:val="77"/>
              <w:jc w:val="left"/>
              <w:rPr>
                <w:kern w:val="0"/>
              </w:rPr>
            </w:pPr>
            <w:r>
              <w:rPr>
                <w:rFonts w:eastAsia="Malgun Gothic"/>
                <w:color w:val="000000"/>
                <w:kern w:val="0"/>
              </w:rPr>
              <w:t>1.02 (0.76–1.38)</w:t>
            </w:r>
          </w:p>
        </w:tc>
        <w:tc>
          <w:tcPr>
            <w:tcW w:w="1218" w:type="dxa"/>
            <w:vAlign w:val="center"/>
          </w:tcPr>
          <w:p>
            <w:pPr>
              <w:pStyle w:val="77"/>
              <w:jc w:val="left"/>
              <w:rPr>
                <w:kern w:val="0"/>
              </w:rPr>
            </w:pPr>
            <w:r>
              <w:rPr>
                <w:rFonts w:eastAsia="Malgun Gothic"/>
                <w:color w:val="000000"/>
                <w:kern w:val="0"/>
              </w:rPr>
              <w:t>0.885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trPr>
        <w:tc>
          <w:tcPr>
            <w:tcW w:w="2547" w:type="dxa"/>
          </w:tcPr>
          <w:p>
            <w:pPr>
              <w:pStyle w:val="77"/>
              <w:jc w:val="left"/>
              <w:rPr>
                <w:kern w:val="0"/>
              </w:rPr>
            </w:pPr>
            <w:r>
              <w:rPr>
                <w:kern w:val="0"/>
              </w:rPr>
              <w:t>Highly active</w:t>
            </w:r>
          </w:p>
        </w:tc>
        <w:tc>
          <w:tcPr>
            <w:tcW w:w="1417" w:type="dxa"/>
            <w:vAlign w:val="center"/>
          </w:tcPr>
          <w:p>
            <w:pPr>
              <w:pStyle w:val="77"/>
              <w:jc w:val="left"/>
              <w:rPr>
                <w:kern w:val="0"/>
              </w:rPr>
            </w:pPr>
            <w:r>
              <w:rPr>
                <w:rFonts w:eastAsia="Malgun Gothic"/>
                <w:color w:val="000000"/>
                <w:kern w:val="0"/>
              </w:rPr>
              <w:t>559</w:t>
            </w:r>
          </w:p>
        </w:tc>
        <w:tc>
          <w:tcPr>
            <w:tcW w:w="1276" w:type="dxa"/>
            <w:vAlign w:val="center"/>
          </w:tcPr>
          <w:p>
            <w:pPr>
              <w:pStyle w:val="77"/>
              <w:jc w:val="left"/>
              <w:rPr>
                <w:kern w:val="0"/>
              </w:rPr>
            </w:pPr>
            <w:r>
              <w:rPr>
                <w:rFonts w:eastAsia="Malgun Gothic"/>
                <w:color w:val="000000"/>
                <w:kern w:val="0"/>
              </w:rPr>
              <w:t>20</w:t>
            </w:r>
          </w:p>
        </w:tc>
        <w:tc>
          <w:tcPr>
            <w:tcW w:w="1276" w:type="dxa"/>
            <w:vAlign w:val="center"/>
          </w:tcPr>
          <w:p>
            <w:pPr>
              <w:pStyle w:val="77"/>
              <w:jc w:val="left"/>
              <w:rPr>
                <w:kern w:val="0"/>
              </w:rPr>
            </w:pPr>
            <w:r>
              <w:rPr>
                <w:rFonts w:eastAsia="Malgun Gothic"/>
                <w:color w:val="000000"/>
                <w:kern w:val="0"/>
              </w:rPr>
              <w:t xml:space="preserve">1.1 </w:t>
            </w:r>
          </w:p>
        </w:tc>
        <w:tc>
          <w:tcPr>
            <w:tcW w:w="2410" w:type="dxa"/>
            <w:vAlign w:val="center"/>
          </w:tcPr>
          <w:p>
            <w:pPr>
              <w:pStyle w:val="77"/>
              <w:jc w:val="left"/>
              <w:rPr>
                <w:kern w:val="0"/>
              </w:rPr>
            </w:pPr>
            <w:r>
              <w:rPr>
                <w:rFonts w:eastAsia="Malgun Gothic"/>
                <w:color w:val="000000"/>
                <w:kern w:val="0"/>
              </w:rPr>
              <w:t>0.57 (0.36–0.90)</w:t>
            </w:r>
          </w:p>
        </w:tc>
        <w:tc>
          <w:tcPr>
            <w:tcW w:w="1275" w:type="dxa"/>
            <w:vAlign w:val="center"/>
          </w:tcPr>
          <w:p>
            <w:pPr>
              <w:pStyle w:val="77"/>
              <w:jc w:val="left"/>
              <w:rPr>
                <w:kern w:val="0"/>
              </w:rPr>
            </w:pPr>
            <w:r>
              <w:rPr>
                <w:rFonts w:eastAsia="Malgun Gothic"/>
                <w:color w:val="000000"/>
                <w:kern w:val="0"/>
              </w:rPr>
              <w:t>0.016</w:t>
            </w:r>
          </w:p>
        </w:tc>
        <w:tc>
          <w:tcPr>
            <w:tcW w:w="2268" w:type="dxa"/>
            <w:vAlign w:val="center"/>
          </w:tcPr>
          <w:p>
            <w:pPr>
              <w:pStyle w:val="77"/>
              <w:jc w:val="left"/>
              <w:rPr>
                <w:kern w:val="0"/>
              </w:rPr>
            </w:pPr>
            <w:r>
              <w:rPr>
                <w:rFonts w:eastAsia="Malgun Gothic"/>
                <w:color w:val="000000"/>
                <w:kern w:val="0"/>
              </w:rPr>
              <w:t>0.72 (0.45–1.15)</w:t>
            </w:r>
          </w:p>
        </w:tc>
        <w:tc>
          <w:tcPr>
            <w:tcW w:w="1218" w:type="dxa"/>
            <w:vAlign w:val="center"/>
          </w:tcPr>
          <w:p>
            <w:pPr>
              <w:pStyle w:val="77"/>
              <w:jc w:val="left"/>
              <w:rPr>
                <w:kern w:val="0"/>
              </w:rPr>
            </w:pPr>
            <w:r>
              <w:rPr>
                <w:rFonts w:eastAsia="Malgun Gothic"/>
                <w:color w:val="000000"/>
                <w:kern w:val="0"/>
              </w:rPr>
              <w:t>0.169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trPr>
        <w:tc>
          <w:tcPr>
            <w:tcW w:w="13687" w:type="dxa"/>
            <w:gridSpan w:val="8"/>
          </w:tcPr>
          <w:p>
            <w:pPr>
              <w:pStyle w:val="77"/>
              <w:jc w:val="left"/>
              <w:rPr>
                <w:b/>
                <w:bCs/>
                <w:kern w:val="0"/>
              </w:rPr>
            </w:pPr>
            <w:r>
              <w:rPr>
                <w:bCs/>
                <w:kern w:val="0"/>
              </w:rPr>
              <w:t>Male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trPr>
        <w:tc>
          <w:tcPr>
            <w:tcW w:w="2547" w:type="dxa"/>
          </w:tcPr>
          <w:p>
            <w:pPr>
              <w:pStyle w:val="77"/>
              <w:jc w:val="left"/>
              <w:rPr>
                <w:kern w:val="0"/>
              </w:rPr>
            </w:pPr>
            <w:r>
              <w:rPr>
                <w:kern w:val="0"/>
              </w:rPr>
              <w:t>Inactive</w:t>
            </w:r>
          </w:p>
        </w:tc>
        <w:tc>
          <w:tcPr>
            <w:tcW w:w="1417" w:type="dxa"/>
            <w:vAlign w:val="center"/>
          </w:tcPr>
          <w:p>
            <w:pPr>
              <w:pStyle w:val="77"/>
              <w:jc w:val="left"/>
              <w:rPr>
                <w:kern w:val="0"/>
              </w:rPr>
            </w:pPr>
            <w:r>
              <w:rPr>
                <w:rFonts w:eastAsia="Malgun Gothic"/>
                <w:color w:val="000000"/>
                <w:kern w:val="0"/>
              </w:rPr>
              <w:t>927</w:t>
            </w:r>
          </w:p>
        </w:tc>
        <w:tc>
          <w:tcPr>
            <w:tcW w:w="1276" w:type="dxa"/>
            <w:vAlign w:val="center"/>
          </w:tcPr>
          <w:p>
            <w:pPr>
              <w:pStyle w:val="77"/>
              <w:jc w:val="left"/>
              <w:rPr>
                <w:kern w:val="0"/>
              </w:rPr>
            </w:pPr>
            <w:r>
              <w:rPr>
                <w:rFonts w:eastAsia="Malgun Gothic"/>
                <w:color w:val="000000"/>
                <w:kern w:val="0"/>
              </w:rPr>
              <w:t>76</w:t>
            </w:r>
          </w:p>
        </w:tc>
        <w:tc>
          <w:tcPr>
            <w:tcW w:w="1276" w:type="dxa"/>
            <w:vAlign w:val="center"/>
          </w:tcPr>
          <w:p>
            <w:pPr>
              <w:pStyle w:val="77"/>
              <w:jc w:val="left"/>
              <w:rPr>
                <w:kern w:val="0"/>
              </w:rPr>
            </w:pPr>
            <w:r>
              <w:rPr>
                <w:rFonts w:eastAsia="Malgun Gothic"/>
                <w:color w:val="000000"/>
                <w:kern w:val="0"/>
              </w:rPr>
              <w:t xml:space="preserve">3.0 </w:t>
            </w:r>
          </w:p>
        </w:tc>
        <w:tc>
          <w:tcPr>
            <w:tcW w:w="2410" w:type="dxa"/>
            <w:vAlign w:val="center"/>
          </w:tcPr>
          <w:p>
            <w:pPr>
              <w:pStyle w:val="77"/>
              <w:jc w:val="left"/>
              <w:rPr>
                <w:kern w:val="0"/>
              </w:rPr>
            </w:pPr>
            <w:r>
              <w:rPr>
                <w:rFonts w:eastAsia="Malgun Gothic"/>
                <w:color w:val="000000"/>
                <w:kern w:val="0"/>
              </w:rPr>
              <w:t>Reference</w:t>
            </w:r>
          </w:p>
        </w:tc>
        <w:tc>
          <w:tcPr>
            <w:tcW w:w="1275" w:type="dxa"/>
            <w:vAlign w:val="center"/>
          </w:tcPr>
          <w:p>
            <w:pPr>
              <w:pStyle w:val="77"/>
              <w:jc w:val="left"/>
              <w:rPr>
                <w:kern w:val="0"/>
              </w:rPr>
            </w:pPr>
          </w:p>
        </w:tc>
        <w:tc>
          <w:tcPr>
            <w:tcW w:w="2268" w:type="dxa"/>
            <w:vAlign w:val="center"/>
          </w:tcPr>
          <w:p>
            <w:pPr>
              <w:pStyle w:val="77"/>
              <w:jc w:val="left"/>
              <w:rPr>
                <w:kern w:val="0"/>
              </w:rPr>
            </w:pPr>
            <w:r>
              <w:rPr>
                <w:rFonts w:eastAsia="Malgun Gothic"/>
                <w:color w:val="000000"/>
                <w:kern w:val="0"/>
              </w:rPr>
              <w:t>Reference</w:t>
            </w:r>
          </w:p>
        </w:tc>
        <w:tc>
          <w:tcPr>
            <w:tcW w:w="1218" w:type="dxa"/>
            <w:vAlign w:val="center"/>
          </w:tcPr>
          <w:p>
            <w:pPr>
              <w:pStyle w:val="77"/>
              <w:jc w:val="left"/>
              <w:rPr>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trPr>
        <w:tc>
          <w:tcPr>
            <w:tcW w:w="2547" w:type="dxa"/>
          </w:tcPr>
          <w:p>
            <w:pPr>
              <w:pStyle w:val="77"/>
              <w:jc w:val="left"/>
              <w:rPr>
                <w:kern w:val="0"/>
              </w:rPr>
            </w:pPr>
            <w:r>
              <w:rPr>
                <w:kern w:val="0"/>
              </w:rPr>
              <w:t>Insufficiently active</w:t>
            </w:r>
          </w:p>
        </w:tc>
        <w:tc>
          <w:tcPr>
            <w:tcW w:w="1417" w:type="dxa"/>
            <w:vAlign w:val="center"/>
          </w:tcPr>
          <w:p>
            <w:pPr>
              <w:pStyle w:val="77"/>
              <w:jc w:val="left"/>
              <w:rPr>
                <w:kern w:val="0"/>
              </w:rPr>
            </w:pPr>
            <w:r>
              <w:rPr>
                <w:rFonts w:eastAsia="Malgun Gothic"/>
                <w:color w:val="000000"/>
                <w:kern w:val="0"/>
              </w:rPr>
              <w:t>577</w:t>
            </w:r>
          </w:p>
        </w:tc>
        <w:tc>
          <w:tcPr>
            <w:tcW w:w="1276" w:type="dxa"/>
            <w:vAlign w:val="center"/>
          </w:tcPr>
          <w:p>
            <w:pPr>
              <w:pStyle w:val="77"/>
              <w:jc w:val="left"/>
              <w:rPr>
                <w:kern w:val="0"/>
              </w:rPr>
            </w:pPr>
            <w:r>
              <w:rPr>
                <w:rFonts w:eastAsia="Malgun Gothic"/>
                <w:color w:val="000000"/>
                <w:kern w:val="0"/>
              </w:rPr>
              <w:t>48</w:t>
            </w:r>
          </w:p>
        </w:tc>
        <w:tc>
          <w:tcPr>
            <w:tcW w:w="1276" w:type="dxa"/>
            <w:vAlign w:val="center"/>
          </w:tcPr>
          <w:p>
            <w:pPr>
              <w:pStyle w:val="77"/>
              <w:jc w:val="left"/>
              <w:rPr>
                <w:kern w:val="0"/>
              </w:rPr>
            </w:pPr>
            <w:r>
              <w:rPr>
                <w:rFonts w:eastAsia="Malgun Gothic"/>
                <w:color w:val="000000"/>
                <w:kern w:val="0"/>
              </w:rPr>
              <w:t xml:space="preserve">2.9 </w:t>
            </w:r>
          </w:p>
        </w:tc>
        <w:tc>
          <w:tcPr>
            <w:tcW w:w="2410" w:type="dxa"/>
            <w:vAlign w:val="center"/>
          </w:tcPr>
          <w:p>
            <w:pPr>
              <w:pStyle w:val="77"/>
              <w:jc w:val="left"/>
              <w:rPr>
                <w:kern w:val="0"/>
              </w:rPr>
            </w:pPr>
            <w:r>
              <w:rPr>
                <w:rFonts w:eastAsia="Malgun Gothic"/>
                <w:color w:val="000000"/>
                <w:kern w:val="0"/>
              </w:rPr>
              <w:t>0.97 (0.68–1.40)</w:t>
            </w:r>
          </w:p>
        </w:tc>
        <w:tc>
          <w:tcPr>
            <w:tcW w:w="1275" w:type="dxa"/>
            <w:vAlign w:val="center"/>
          </w:tcPr>
          <w:p>
            <w:pPr>
              <w:pStyle w:val="77"/>
              <w:jc w:val="left"/>
              <w:rPr>
                <w:kern w:val="0"/>
              </w:rPr>
            </w:pPr>
            <w:r>
              <w:rPr>
                <w:rFonts w:eastAsia="Malgun Gothic"/>
                <w:color w:val="000000"/>
                <w:kern w:val="0"/>
              </w:rPr>
              <w:t>0.882</w:t>
            </w:r>
          </w:p>
        </w:tc>
        <w:tc>
          <w:tcPr>
            <w:tcW w:w="2268" w:type="dxa"/>
            <w:vAlign w:val="center"/>
          </w:tcPr>
          <w:p>
            <w:pPr>
              <w:pStyle w:val="77"/>
              <w:jc w:val="left"/>
              <w:rPr>
                <w:kern w:val="0"/>
              </w:rPr>
            </w:pPr>
            <w:r>
              <w:rPr>
                <w:rFonts w:eastAsia="Malgun Gothic"/>
                <w:color w:val="000000"/>
                <w:kern w:val="0"/>
              </w:rPr>
              <w:t>1.00 (0.69–1.45)</w:t>
            </w:r>
          </w:p>
        </w:tc>
        <w:tc>
          <w:tcPr>
            <w:tcW w:w="1218" w:type="dxa"/>
            <w:vAlign w:val="center"/>
          </w:tcPr>
          <w:p>
            <w:pPr>
              <w:pStyle w:val="77"/>
              <w:jc w:val="left"/>
              <w:rPr>
                <w:kern w:val="0"/>
              </w:rPr>
            </w:pPr>
            <w:r>
              <w:rPr>
                <w:rFonts w:eastAsia="Malgun Gothic"/>
                <w:color w:val="000000"/>
                <w:kern w:val="0"/>
              </w:rPr>
              <w:t>0.991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3" w:hRule="atLeast"/>
        </w:trPr>
        <w:tc>
          <w:tcPr>
            <w:tcW w:w="2547" w:type="dxa"/>
          </w:tcPr>
          <w:p>
            <w:pPr>
              <w:pStyle w:val="77"/>
              <w:jc w:val="left"/>
              <w:rPr>
                <w:kern w:val="0"/>
              </w:rPr>
            </w:pPr>
            <w:r>
              <w:rPr>
                <w:kern w:val="0"/>
              </w:rPr>
              <w:t>Active</w:t>
            </w:r>
          </w:p>
        </w:tc>
        <w:tc>
          <w:tcPr>
            <w:tcW w:w="1417" w:type="dxa"/>
            <w:vAlign w:val="center"/>
          </w:tcPr>
          <w:p>
            <w:pPr>
              <w:pStyle w:val="77"/>
              <w:jc w:val="left"/>
              <w:rPr>
                <w:kern w:val="0"/>
              </w:rPr>
            </w:pPr>
            <w:r>
              <w:rPr>
                <w:rFonts w:eastAsia="Malgun Gothic"/>
                <w:color w:val="000000"/>
                <w:kern w:val="0"/>
              </w:rPr>
              <w:t>633</w:t>
            </w:r>
          </w:p>
        </w:tc>
        <w:tc>
          <w:tcPr>
            <w:tcW w:w="1276" w:type="dxa"/>
            <w:vAlign w:val="center"/>
          </w:tcPr>
          <w:p>
            <w:pPr>
              <w:pStyle w:val="77"/>
              <w:jc w:val="left"/>
              <w:rPr>
                <w:kern w:val="0"/>
              </w:rPr>
            </w:pPr>
            <w:r>
              <w:rPr>
                <w:rFonts w:eastAsia="Malgun Gothic"/>
                <w:color w:val="000000"/>
                <w:kern w:val="0"/>
              </w:rPr>
              <w:t>45</w:t>
            </w:r>
          </w:p>
        </w:tc>
        <w:tc>
          <w:tcPr>
            <w:tcW w:w="1276" w:type="dxa"/>
            <w:vAlign w:val="center"/>
          </w:tcPr>
          <w:p>
            <w:pPr>
              <w:pStyle w:val="77"/>
              <w:jc w:val="left"/>
              <w:rPr>
                <w:kern w:val="0"/>
              </w:rPr>
            </w:pPr>
            <w:r>
              <w:rPr>
                <w:rFonts w:eastAsia="Malgun Gothic"/>
                <w:color w:val="000000"/>
                <w:kern w:val="0"/>
              </w:rPr>
              <w:t xml:space="preserve">2.4 </w:t>
            </w:r>
          </w:p>
        </w:tc>
        <w:tc>
          <w:tcPr>
            <w:tcW w:w="2410" w:type="dxa"/>
            <w:vAlign w:val="center"/>
          </w:tcPr>
          <w:p>
            <w:pPr>
              <w:pStyle w:val="77"/>
              <w:jc w:val="left"/>
              <w:rPr>
                <w:kern w:val="0"/>
              </w:rPr>
            </w:pPr>
            <w:r>
              <w:rPr>
                <w:rFonts w:eastAsia="Malgun Gothic"/>
                <w:color w:val="000000"/>
                <w:kern w:val="0"/>
              </w:rPr>
              <w:t>0.78 (0.54–1.13)</w:t>
            </w:r>
          </w:p>
        </w:tc>
        <w:tc>
          <w:tcPr>
            <w:tcW w:w="1275" w:type="dxa"/>
            <w:vAlign w:val="center"/>
          </w:tcPr>
          <w:p>
            <w:pPr>
              <w:pStyle w:val="77"/>
              <w:jc w:val="left"/>
              <w:rPr>
                <w:kern w:val="0"/>
              </w:rPr>
            </w:pPr>
            <w:r>
              <w:rPr>
                <w:rFonts w:eastAsia="Malgun Gothic"/>
                <w:color w:val="000000"/>
                <w:kern w:val="0"/>
              </w:rPr>
              <w:t>0.187</w:t>
            </w:r>
          </w:p>
        </w:tc>
        <w:tc>
          <w:tcPr>
            <w:tcW w:w="2268" w:type="dxa"/>
            <w:vAlign w:val="center"/>
          </w:tcPr>
          <w:p>
            <w:pPr>
              <w:pStyle w:val="77"/>
              <w:jc w:val="left"/>
              <w:rPr>
                <w:kern w:val="0"/>
              </w:rPr>
            </w:pPr>
            <w:r>
              <w:rPr>
                <w:rFonts w:eastAsia="Malgun Gothic"/>
                <w:color w:val="000000"/>
                <w:kern w:val="0"/>
              </w:rPr>
              <w:t>0.80 (0.55–1.17)</w:t>
            </w:r>
          </w:p>
        </w:tc>
        <w:tc>
          <w:tcPr>
            <w:tcW w:w="1218" w:type="dxa"/>
            <w:vAlign w:val="center"/>
          </w:tcPr>
          <w:p>
            <w:pPr>
              <w:pStyle w:val="77"/>
              <w:jc w:val="left"/>
              <w:rPr>
                <w:kern w:val="0"/>
              </w:rPr>
            </w:pPr>
            <w:r>
              <w:rPr>
                <w:rFonts w:eastAsia="Malgun Gothic"/>
                <w:color w:val="000000"/>
                <w:kern w:val="0"/>
              </w:rPr>
              <w:t>0.247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trPr>
        <w:tc>
          <w:tcPr>
            <w:tcW w:w="2547" w:type="dxa"/>
          </w:tcPr>
          <w:p>
            <w:pPr>
              <w:pStyle w:val="77"/>
              <w:jc w:val="left"/>
              <w:rPr>
                <w:kern w:val="0"/>
              </w:rPr>
            </w:pPr>
            <w:r>
              <w:rPr>
                <w:kern w:val="0"/>
              </w:rPr>
              <w:t>Highly active</w:t>
            </w:r>
          </w:p>
        </w:tc>
        <w:tc>
          <w:tcPr>
            <w:tcW w:w="1417" w:type="dxa"/>
            <w:vAlign w:val="center"/>
          </w:tcPr>
          <w:p>
            <w:pPr>
              <w:pStyle w:val="77"/>
              <w:jc w:val="left"/>
              <w:rPr>
                <w:kern w:val="0"/>
              </w:rPr>
            </w:pPr>
            <w:r>
              <w:rPr>
                <w:rFonts w:eastAsia="Malgun Gothic"/>
                <w:color w:val="000000"/>
                <w:kern w:val="0"/>
              </w:rPr>
              <w:t>508</w:t>
            </w:r>
          </w:p>
        </w:tc>
        <w:tc>
          <w:tcPr>
            <w:tcW w:w="1276" w:type="dxa"/>
            <w:vAlign w:val="center"/>
          </w:tcPr>
          <w:p>
            <w:pPr>
              <w:pStyle w:val="77"/>
              <w:jc w:val="left"/>
              <w:rPr>
                <w:kern w:val="0"/>
              </w:rPr>
            </w:pPr>
            <w:r>
              <w:rPr>
                <w:rFonts w:eastAsia="Malgun Gothic"/>
                <w:color w:val="000000"/>
                <w:kern w:val="0"/>
              </w:rPr>
              <w:t>30</w:t>
            </w:r>
          </w:p>
        </w:tc>
        <w:tc>
          <w:tcPr>
            <w:tcW w:w="1276" w:type="dxa"/>
            <w:vAlign w:val="center"/>
          </w:tcPr>
          <w:p>
            <w:pPr>
              <w:pStyle w:val="77"/>
              <w:jc w:val="left"/>
              <w:rPr>
                <w:kern w:val="0"/>
              </w:rPr>
            </w:pPr>
            <w:r>
              <w:rPr>
                <w:rFonts w:eastAsia="Malgun Gothic"/>
                <w:color w:val="000000"/>
                <w:kern w:val="0"/>
              </w:rPr>
              <w:t xml:space="preserve">1.9 </w:t>
            </w:r>
          </w:p>
        </w:tc>
        <w:tc>
          <w:tcPr>
            <w:tcW w:w="2410" w:type="dxa"/>
            <w:vAlign w:val="center"/>
          </w:tcPr>
          <w:p>
            <w:pPr>
              <w:pStyle w:val="77"/>
              <w:jc w:val="left"/>
              <w:rPr>
                <w:kern w:val="0"/>
              </w:rPr>
            </w:pPr>
            <w:r>
              <w:rPr>
                <w:rFonts w:eastAsia="Malgun Gothic"/>
                <w:color w:val="000000"/>
                <w:kern w:val="0"/>
              </w:rPr>
              <w:t>0.62 (0.41–0.94)</w:t>
            </w:r>
          </w:p>
        </w:tc>
        <w:tc>
          <w:tcPr>
            <w:tcW w:w="1275" w:type="dxa"/>
            <w:vAlign w:val="center"/>
          </w:tcPr>
          <w:p>
            <w:pPr>
              <w:pStyle w:val="77"/>
              <w:jc w:val="left"/>
              <w:rPr>
                <w:kern w:val="0"/>
              </w:rPr>
            </w:pPr>
            <w:r>
              <w:rPr>
                <w:rFonts w:eastAsia="Malgun Gothic"/>
                <w:color w:val="000000"/>
                <w:kern w:val="0"/>
              </w:rPr>
              <w:t>0.026</w:t>
            </w:r>
          </w:p>
        </w:tc>
        <w:tc>
          <w:tcPr>
            <w:tcW w:w="2268" w:type="dxa"/>
            <w:vAlign w:val="center"/>
          </w:tcPr>
          <w:p>
            <w:pPr>
              <w:pStyle w:val="77"/>
              <w:jc w:val="left"/>
              <w:rPr>
                <w:kern w:val="0"/>
              </w:rPr>
            </w:pPr>
            <w:r>
              <w:rPr>
                <w:rFonts w:eastAsia="Malgun Gothic"/>
                <w:color w:val="000000"/>
                <w:kern w:val="0"/>
              </w:rPr>
              <w:t>0.67 (0.43–1.03)</w:t>
            </w:r>
          </w:p>
        </w:tc>
        <w:tc>
          <w:tcPr>
            <w:tcW w:w="1218" w:type="dxa"/>
            <w:vAlign w:val="center"/>
          </w:tcPr>
          <w:p>
            <w:pPr>
              <w:pStyle w:val="77"/>
              <w:jc w:val="left"/>
              <w:rPr>
                <w:kern w:val="0"/>
              </w:rPr>
            </w:pPr>
            <w:r>
              <w:rPr>
                <w:rFonts w:eastAsia="Malgun Gothic"/>
                <w:color w:val="000000"/>
                <w:kern w:val="0"/>
              </w:rPr>
              <w:t>0.069</w:t>
            </w:r>
          </w:p>
        </w:tc>
      </w:tr>
    </w:tbl>
    <w:p>
      <w:pPr>
        <w:pStyle w:val="57"/>
        <w:rPr>
          <w:color w:val="000000" w:themeColor="text1"/>
          <w14:textFill>
            <w14:solidFill>
              <w14:schemeClr w14:val="tx1"/>
            </w14:solidFill>
          </w14:textFill>
        </w:rPr>
      </w:pPr>
      <w:r>
        <w:t xml:space="preserve">HR, </w:t>
      </w:r>
      <w:r>
        <w:fldChar w:fldCharType="begin"/>
      </w:r>
      <w:r>
        <w:instrText xml:space="preserve"> HYPERLINK "https://en.wikipedia.org/wiki/Hazard_ratio" \t "_blank" </w:instrText>
      </w:r>
      <w:r>
        <w:fldChar w:fldCharType="separate"/>
      </w:r>
      <w:r>
        <w:rPr>
          <w:rStyle w:val="22"/>
          <w:rFonts w:eastAsia="Malgun Gothic"/>
          <w:b w:val="0"/>
          <w:bCs w:val="0"/>
          <w:sz w:val="22"/>
        </w:rPr>
        <w:t>hazard ratio</w:t>
      </w:r>
      <w:r>
        <w:rPr>
          <w:rStyle w:val="22"/>
          <w:rFonts w:eastAsia="Malgun Gothic"/>
          <w:b w:val="0"/>
          <w:bCs w:val="0"/>
          <w:sz w:val="22"/>
        </w:rPr>
        <w:fldChar w:fldCharType="end"/>
      </w:r>
      <w:r>
        <w:rPr>
          <w:rFonts w:eastAsia="Malgun Gothic"/>
          <w:b/>
          <w:bCs/>
        </w:rPr>
        <w:t xml:space="preserve">; </w:t>
      </w:r>
      <w:r>
        <w:rPr>
          <w:rFonts w:eastAsia="Malgun Gothic"/>
        </w:rPr>
        <w:t>CI,</w:t>
      </w:r>
      <w:r>
        <w:rPr>
          <w:rStyle w:val="26"/>
          <w:rFonts w:eastAsia="Malgun Gothic"/>
          <w:color w:val="000000"/>
          <w:sz w:val="22"/>
        </w:rPr>
        <w:t xml:space="preserve"> </w:t>
      </w:r>
      <w:r>
        <w:rPr>
          <w:rStyle w:val="32"/>
          <w:rFonts w:eastAsia="Malgun Gothic"/>
          <w:color w:val="000000"/>
          <w:sz w:val="22"/>
        </w:rPr>
        <w:t>confidence interval;</w:t>
      </w:r>
      <w:r>
        <w:rPr>
          <w:rFonts w:eastAsia="Malgun Gothic"/>
        </w:rPr>
        <w:t xml:space="preserve"> </w:t>
      </w:r>
      <w:r>
        <w:t xml:space="preserve">PYR, </w:t>
      </w:r>
      <w:r>
        <w:rPr>
          <w:rStyle w:val="23"/>
          <w:b w:val="0"/>
          <w:bCs w:val="0"/>
          <w:color w:val="202124"/>
          <w:sz w:val="22"/>
        </w:rPr>
        <w:t>person-years</w:t>
      </w:r>
      <w:r>
        <w:rPr>
          <w:color w:val="202124"/>
        </w:rPr>
        <w:t xml:space="preserve"> at risk.</w:t>
      </w:r>
    </w:p>
    <w:p>
      <w:pPr>
        <w:pStyle w:val="57"/>
      </w:pPr>
      <w:r>
        <w:t>The model was adjusted for age, sex, body mass index, hypertension, diabetes, dyslipidemia, chronic kidney disease, chronic obstructive pulmonary disease, malignancy, previous myocardial infarction, peripheral artery disease, vascular disease, prior stroke or transient ischemic attack, osteoporosis, Hospital Frailty Risk Score, Hospital Frailty Risk Score category, Charlson Comorbidity Index, smoking, and alcohol drinking.</w:t>
      </w:r>
    </w:p>
    <w:p>
      <w:pPr>
        <w:pStyle w:val="56"/>
      </w:pPr>
      <w:r>
        <w:rPr>
          <w:sz w:val="22"/>
        </w:rPr>
        <w:br w:type="page"/>
      </w:r>
      <w:r>
        <w:rPr>
          <w:bCs/>
        </w:rPr>
        <w:t xml:space="preserve">Supplementary Table </w:t>
      </w:r>
      <w:r>
        <w:rPr>
          <w:rFonts w:hint="eastAsia"/>
        </w:rPr>
        <w:t>4</w:t>
      </w:r>
      <w:r>
        <w:t>. Risk of all-cause mortality, cardiovascular mortality, and non-cardiovascular disease related mortality according to physical activity among older adults with heart failure.</w:t>
      </w:r>
    </w:p>
    <w:tbl>
      <w:tblPr>
        <w:tblStyle w:val="2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547"/>
        <w:gridCol w:w="1417"/>
        <w:gridCol w:w="1418"/>
        <w:gridCol w:w="1276"/>
        <w:gridCol w:w="2268"/>
        <w:gridCol w:w="1275"/>
        <w:gridCol w:w="2268"/>
        <w:gridCol w:w="12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1" w:hRule="atLeast"/>
        </w:trPr>
        <w:tc>
          <w:tcPr>
            <w:tcW w:w="2547" w:type="dxa"/>
            <w:vAlign w:val="center"/>
          </w:tcPr>
          <w:p>
            <w:pPr>
              <w:pStyle w:val="77"/>
              <w:jc w:val="left"/>
              <w:rPr>
                <w:kern w:val="0"/>
              </w:rPr>
            </w:pPr>
          </w:p>
        </w:tc>
        <w:tc>
          <w:tcPr>
            <w:tcW w:w="1417" w:type="dxa"/>
            <w:vAlign w:val="center"/>
          </w:tcPr>
          <w:p>
            <w:pPr>
              <w:pStyle w:val="77"/>
              <w:jc w:val="left"/>
              <w:rPr>
                <w:kern w:val="0"/>
              </w:rPr>
            </w:pPr>
            <w:r>
              <w:rPr>
                <w:kern w:val="0"/>
              </w:rPr>
              <w:t>Patients (n)</w:t>
            </w:r>
          </w:p>
        </w:tc>
        <w:tc>
          <w:tcPr>
            <w:tcW w:w="1418" w:type="dxa"/>
            <w:vAlign w:val="center"/>
          </w:tcPr>
          <w:p>
            <w:pPr>
              <w:pStyle w:val="77"/>
              <w:jc w:val="left"/>
              <w:rPr>
                <w:kern w:val="0"/>
              </w:rPr>
            </w:pPr>
            <w:r>
              <w:rPr>
                <w:kern w:val="0"/>
              </w:rPr>
              <w:t>Events (n)</w:t>
            </w:r>
          </w:p>
        </w:tc>
        <w:tc>
          <w:tcPr>
            <w:tcW w:w="1276" w:type="dxa"/>
            <w:vAlign w:val="center"/>
          </w:tcPr>
          <w:p>
            <w:pPr>
              <w:pStyle w:val="77"/>
              <w:jc w:val="left"/>
              <w:rPr>
                <w:kern w:val="0"/>
              </w:rPr>
            </w:pPr>
            <w:r>
              <w:rPr>
                <w:kern w:val="0"/>
              </w:rPr>
              <w:t>Events, /100 PYR</w:t>
            </w:r>
          </w:p>
        </w:tc>
        <w:tc>
          <w:tcPr>
            <w:tcW w:w="2268" w:type="dxa"/>
            <w:vAlign w:val="center"/>
          </w:tcPr>
          <w:p>
            <w:pPr>
              <w:pStyle w:val="77"/>
              <w:jc w:val="left"/>
              <w:rPr>
                <w:kern w:val="0"/>
              </w:rPr>
            </w:pPr>
            <w:r>
              <w:rPr>
                <w:kern w:val="0"/>
              </w:rPr>
              <w:t>Unadjusted HR</w:t>
            </w:r>
            <w:r>
              <w:rPr>
                <w:rFonts w:hint="eastAsia" w:eastAsia="等线"/>
                <w:kern w:val="0"/>
              </w:rPr>
              <w:t xml:space="preserve"> </w:t>
            </w:r>
            <w:r>
              <w:rPr>
                <w:kern w:val="0"/>
              </w:rPr>
              <w:t>(95% CI)</w:t>
            </w:r>
          </w:p>
        </w:tc>
        <w:tc>
          <w:tcPr>
            <w:tcW w:w="1275" w:type="dxa"/>
            <w:vAlign w:val="center"/>
          </w:tcPr>
          <w:p>
            <w:pPr>
              <w:pStyle w:val="77"/>
              <w:jc w:val="left"/>
              <w:rPr>
                <w:kern w:val="0"/>
              </w:rPr>
            </w:pPr>
            <w:r>
              <w:rPr>
                <w:i/>
                <w:iCs/>
                <w:kern w:val="0"/>
              </w:rPr>
              <w:t xml:space="preserve">p </w:t>
            </w:r>
            <w:r>
              <w:rPr>
                <w:kern w:val="0"/>
              </w:rPr>
              <w:t>value</w:t>
            </w:r>
          </w:p>
        </w:tc>
        <w:tc>
          <w:tcPr>
            <w:tcW w:w="2268" w:type="dxa"/>
            <w:vAlign w:val="center"/>
          </w:tcPr>
          <w:p>
            <w:pPr>
              <w:pStyle w:val="77"/>
              <w:jc w:val="left"/>
              <w:rPr>
                <w:kern w:val="0"/>
              </w:rPr>
            </w:pPr>
            <w:r>
              <w:rPr>
                <w:kern w:val="0"/>
              </w:rPr>
              <w:t>Adjusted HR</w:t>
            </w:r>
            <w:r>
              <w:rPr>
                <w:rFonts w:hint="eastAsia" w:eastAsia="等线"/>
                <w:kern w:val="0"/>
              </w:rPr>
              <w:t xml:space="preserve"> </w:t>
            </w:r>
            <w:r>
              <w:rPr>
                <w:kern w:val="0"/>
              </w:rPr>
              <w:t>(95% CI)</w:t>
            </w:r>
          </w:p>
        </w:tc>
        <w:tc>
          <w:tcPr>
            <w:tcW w:w="1218" w:type="dxa"/>
            <w:vAlign w:val="center"/>
          </w:tcPr>
          <w:p>
            <w:pPr>
              <w:pStyle w:val="77"/>
              <w:jc w:val="left"/>
              <w:rPr>
                <w:kern w:val="0"/>
              </w:rPr>
            </w:pPr>
            <w:r>
              <w:rPr>
                <w:i/>
                <w:iCs/>
                <w:kern w:val="0"/>
              </w:rPr>
              <w:t xml:space="preserve">p </w:t>
            </w:r>
            <w:r>
              <w:rPr>
                <w:kern w:val="0"/>
              </w:rPr>
              <w:t>value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trPr>
        <w:tc>
          <w:tcPr>
            <w:tcW w:w="13687" w:type="dxa"/>
            <w:gridSpan w:val="8"/>
          </w:tcPr>
          <w:p>
            <w:pPr>
              <w:pStyle w:val="77"/>
              <w:jc w:val="left"/>
              <w:rPr>
                <w:kern w:val="0"/>
              </w:rPr>
            </w:pPr>
            <w:r>
              <w:rPr>
                <w:kern w:val="0"/>
              </w:rPr>
              <w:t>All-cause mortality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trPr>
        <w:tc>
          <w:tcPr>
            <w:tcW w:w="13687" w:type="dxa"/>
            <w:gridSpan w:val="8"/>
          </w:tcPr>
          <w:p>
            <w:pPr>
              <w:pStyle w:val="77"/>
              <w:jc w:val="left"/>
              <w:rPr>
                <w:bCs/>
                <w:kern w:val="0"/>
              </w:rPr>
            </w:pPr>
            <w:r>
              <w:rPr>
                <w:bCs/>
                <w:kern w:val="0"/>
              </w:rPr>
              <w:t xml:space="preserve">HF medication group </w:t>
            </w:r>
            <w:r>
              <w:rPr>
                <w:rFonts w:hint="eastAsia"/>
                <w:kern w:val="0"/>
                <w:szCs w:val="24"/>
              </w:rPr>
              <w:t>I</w:t>
            </w:r>
            <w:r>
              <w:rPr>
                <w:kern w:val="0"/>
                <w:szCs w:val="24"/>
              </w:rPr>
              <w:t xml:space="preserve"> - none or ACE inhibitor/ARB</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trPr>
        <w:tc>
          <w:tcPr>
            <w:tcW w:w="2547" w:type="dxa"/>
          </w:tcPr>
          <w:p>
            <w:pPr>
              <w:pStyle w:val="77"/>
              <w:jc w:val="left"/>
              <w:rPr>
                <w:kern w:val="0"/>
              </w:rPr>
            </w:pPr>
            <w:r>
              <w:rPr>
                <w:kern w:val="0"/>
              </w:rPr>
              <w:t>Inactive</w:t>
            </w:r>
          </w:p>
        </w:tc>
        <w:tc>
          <w:tcPr>
            <w:tcW w:w="1417" w:type="dxa"/>
          </w:tcPr>
          <w:p>
            <w:pPr>
              <w:pStyle w:val="77"/>
              <w:jc w:val="left"/>
              <w:rPr>
                <w:kern w:val="0"/>
              </w:rPr>
            </w:pPr>
            <w:r>
              <w:rPr>
                <w:kern w:val="0"/>
              </w:rPr>
              <w:t>152</w:t>
            </w:r>
          </w:p>
        </w:tc>
        <w:tc>
          <w:tcPr>
            <w:tcW w:w="1418" w:type="dxa"/>
          </w:tcPr>
          <w:p>
            <w:pPr>
              <w:pStyle w:val="77"/>
              <w:jc w:val="left"/>
              <w:rPr>
                <w:kern w:val="0"/>
              </w:rPr>
            </w:pPr>
            <w:r>
              <w:rPr>
                <w:kern w:val="0"/>
              </w:rPr>
              <w:t>32</w:t>
            </w:r>
          </w:p>
        </w:tc>
        <w:tc>
          <w:tcPr>
            <w:tcW w:w="1276" w:type="dxa"/>
          </w:tcPr>
          <w:p>
            <w:pPr>
              <w:pStyle w:val="77"/>
              <w:jc w:val="left"/>
              <w:rPr>
                <w:kern w:val="0"/>
              </w:rPr>
            </w:pPr>
            <w:r>
              <w:rPr>
                <w:rFonts w:hint="eastAsia"/>
                <w:kern w:val="0"/>
              </w:rPr>
              <w:t>7.2</w:t>
            </w:r>
          </w:p>
        </w:tc>
        <w:tc>
          <w:tcPr>
            <w:tcW w:w="2268" w:type="dxa"/>
            <w:vAlign w:val="center"/>
          </w:tcPr>
          <w:p>
            <w:pPr>
              <w:pStyle w:val="77"/>
              <w:jc w:val="left"/>
              <w:rPr>
                <w:kern w:val="0"/>
              </w:rPr>
            </w:pPr>
            <w:r>
              <w:rPr>
                <w:rFonts w:eastAsia="Malgun Gothic"/>
                <w:kern w:val="0"/>
              </w:rPr>
              <w:t>Reference</w:t>
            </w:r>
          </w:p>
        </w:tc>
        <w:tc>
          <w:tcPr>
            <w:tcW w:w="1275" w:type="dxa"/>
            <w:vAlign w:val="center"/>
          </w:tcPr>
          <w:p>
            <w:pPr>
              <w:pStyle w:val="77"/>
              <w:jc w:val="left"/>
              <w:rPr>
                <w:kern w:val="0"/>
              </w:rPr>
            </w:pPr>
          </w:p>
        </w:tc>
        <w:tc>
          <w:tcPr>
            <w:tcW w:w="2268" w:type="dxa"/>
            <w:vAlign w:val="center"/>
          </w:tcPr>
          <w:p>
            <w:pPr>
              <w:pStyle w:val="77"/>
              <w:jc w:val="left"/>
              <w:rPr>
                <w:kern w:val="0"/>
              </w:rPr>
            </w:pPr>
            <w:r>
              <w:rPr>
                <w:rFonts w:eastAsia="Malgun Gothic"/>
                <w:kern w:val="0"/>
              </w:rPr>
              <w:t>Reference</w:t>
            </w:r>
          </w:p>
        </w:tc>
        <w:tc>
          <w:tcPr>
            <w:tcW w:w="1218" w:type="dxa"/>
            <w:vAlign w:val="center"/>
          </w:tcPr>
          <w:p>
            <w:pPr>
              <w:pStyle w:val="77"/>
              <w:jc w:val="left"/>
              <w:rPr>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3" w:hRule="atLeast"/>
        </w:trPr>
        <w:tc>
          <w:tcPr>
            <w:tcW w:w="2547" w:type="dxa"/>
          </w:tcPr>
          <w:p>
            <w:pPr>
              <w:pStyle w:val="77"/>
              <w:jc w:val="left"/>
              <w:rPr>
                <w:kern w:val="0"/>
              </w:rPr>
            </w:pPr>
            <w:r>
              <w:rPr>
                <w:kern w:val="0"/>
              </w:rPr>
              <w:t>Insufficiently active</w:t>
            </w:r>
          </w:p>
        </w:tc>
        <w:tc>
          <w:tcPr>
            <w:tcW w:w="1417" w:type="dxa"/>
          </w:tcPr>
          <w:p>
            <w:pPr>
              <w:pStyle w:val="77"/>
              <w:jc w:val="left"/>
              <w:rPr>
                <w:kern w:val="0"/>
              </w:rPr>
            </w:pPr>
            <w:r>
              <w:rPr>
                <w:kern w:val="0"/>
              </w:rPr>
              <w:t>82</w:t>
            </w:r>
          </w:p>
        </w:tc>
        <w:tc>
          <w:tcPr>
            <w:tcW w:w="1418" w:type="dxa"/>
          </w:tcPr>
          <w:p>
            <w:pPr>
              <w:pStyle w:val="77"/>
              <w:jc w:val="left"/>
              <w:rPr>
                <w:kern w:val="0"/>
              </w:rPr>
            </w:pPr>
            <w:r>
              <w:rPr>
                <w:kern w:val="0"/>
              </w:rPr>
              <w:t>11</w:t>
            </w:r>
          </w:p>
        </w:tc>
        <w:tc>
          <w:tcPr>
            <w:tcW w:w="1276" w:type="dxa"/>
          </w:tcPr>
          <w:p>
            <w:pPr>
              <w:pStyle w:val="77"/>
              <w:jc w:val="left"/>
              <w:rPr>
                <w:kern w:val="0"/>
              </w:rPr>
            </w:pPr>
            <w:r>
              <w:rPr>
                <w:rFonts w:hint="eastAsia"/>
                <w:kern w:val="0"/>
              </w:rPr>
              <w:t>4.6</w:t>
            </w:r>
          </w:p>
        </w:tc>
        <w:tc>
          <w:tcPr>
            <w:tcW w:w="2268" w:type="dxa"/>
          </w:tcPr>
          <w:p>
            <w:pPr>
              <w:pStyle w:val="77"/>
              <w:jc w:val="left"/>
              <w:rPr>
                <w:kern w:val="0"/>
              </w:rPr>
            </w:pPr>
            <w:r>
              <w:rPr>
                <w:kern w:val="0"/>
              </w:rPr>
              <w:t>0.65 (0.33–1.28)</w:t>
            </w:r>
          </w:p>
        </w:tc>
        <w:tc>
          <w:tcPr>
            <w:tcW w:w="1275" w:type="dxa"/>
          </w:tcPr>
          <w:p>
            <w:pPr>
              <w:pStyle w:val="77"/>
              <w:jc w:val="left"/>
              <w:rPr>
                <w:kern w:val="0"/>
              </w:rPr>
            </w:pPr>
            <w:r>
              <w:rPr>
                <w:kern w:val="0"/>
              </w:rPr>
              <w:t>0.211</w:t>
            </w:r>
          </w:p>
        </w:tc>
        <w:tc>
          <w:tcPr>
            <w:tcW w:w="2268" w:type="dxa"/>
          </w:tcPr>
          <w:p>
            <w:pPr>
              <w:pStyle w:val="77"/>
              <w:jc w:val="left"/>
              <w:rPr>
                <w:kern w:val="0"/>
              </w:rPr>
            </w:pPr>
            <w:r>
              <w:rPr>
                <w:kern w:val="0"/>
              </w:rPr>
              <w:t>1.26 (0.53–3</w:t>
            </w:r>
            <w:r>
              <w:rPr>
                <w:rFonts w:hint="eastAsia"/>
                <w:kern w:val="0"/>
              </w:rPr>
              <w:t>.00</w:t>
            </w:r>
            <w:r>
              <w:rPr>
                <w:kern w:val="0"/>
              </w:rPr>
              <w:t>)</w:t>
            </w:r>
          </w:p>
        </w:tc>
        <w:tc>
          <w:tcPr>
            <w:tcW w:w="1218" w:type="dxa"/>
          </w:tcPr>
          <w:p>
            <w:pPr>
              <w:pStyle w:val="77"/>
              <w:jc w:val="left"/>
              <w:rPr>
                <w:kern w:val="0"/>
              </w:rPr>
            </w:pPr>
            <w:r>
              <w:rPr>
                <w:kern w:val="0"/>
              </w:rPr>
              <w:t>0.6</w:t>
            </w:r>
            <w:r>
              <w:rPr>
                <w:rFonts w:hint="eastAsia"/>
                <w:kern w:val="0"/>
              </w:rPr>
              <w:t>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trPr>
        <w:tc>
          <w:tcPr>
            <w:tcW w:w="2547" w:type="dxa"/>
          </w:tcPr>
          <w:p>
            <w:pPr>
              <w:pStyle w:val="77"/>
              <w:jc w:val="left"/>
              <w:rPr>
                <w:kern w:val="0"/>
              </w:rPr>
            </w:pPr>
            <w:r>
              <w:rPr>
                <w:kern w:val="0"/>
              </w:rPr>
              <w:t>Active</w:t>
            </w:r>
          </w:p>
        </w:tc>
        <w:tc>
          <w:tcPr>
            <w:tcW w:w="1417" w:type="dxa"/>
          </w:tcPr>
          <w:p>
            <w:pPr>
              <w:pStyle w:val="77"/>
              <w:jc w:val="left"/>
              <w:rPr>
                <w:kern w:val="0"/>
              </w:rPr>
            </w:pPr>
            <w:r>
              <w:rPr>
                <w:kern w:val="0"/>
              </w:rPr>
              <w:t>73</w:t>
            </w:r>
          </w:p>
        </w:tc>
        <w:tc>
          <w:tcPr>
            <w:tcW w:w="1418" w:type="dxa"/>
          </w:tcPr>
          <w:p>
            <w:pPr>
              <w:pStyle w:val="77"/>
              <w:jc w:val="left"/>
              <w:rPr>
                <w:kern w:val="0"/>
              </w:rPr>
            </w:pPr>
            <w:r>
              <w:rPr>
                <w:kern w:val="0"/>
              </w:rPr>
              <w:t>1</w:t>
            </w:r>
          </w:p>
        </w:tc>
        <w:tc>
          <w:tcPr>
            <w:tcW w:w="1276" w:type="dxa"/>
          </w:tcPr>
          <w:p>
            <w:pPr>
              <w:pStyle w:val="77"/>
              <w:jc w:val="left"/>
              <w:rPr>
                <w:kern w:val="0"/>
              </w:rPr>
            </w:pPr>
            <w:r>
              <w:rPr>
                <w:rFonts w:hint="eastAsia"/>
                <w:kern w:val="0"/>
              </w:rPr>
              <w:t>4.2</w:t>
            </w:r>
          </w:p>
        </w:tc>
        <w:tc>
          <w:tcPr>
            <w:tcW w:w="2268" w:type="dxa"/>
          </w:tcPr>
          <w:p>
            <w:pPr>
              <w:pStyle w:val="77"/>
              <w:jc w:val="left"/>
              <w:rPr>
                <w:kern w:val="0"/>
              </w:rPr>
            </w:pPr>
            <w:r>
              <w:rPr>
                <w:kern w:val="0"/>
              </w:rPr>
              <w:t>0.06 (0.01–0.44)</w:t>
            </w:r>
          </w:p>
        </w:tc>
        <w:tc>
          <w:tcPr>
            <w:tcW w:w="1275" w:type="dxa"/>
          </w:tcPr>
          <w:p>
            <w:pPr>
              <w:pStyle w:val="77"/>
              <w:jc w:val="left"/>
              <w:rPr>
                <w:kern w:val="0"/>
              </w:rPr>
            </w:pPr>
            <w:r>
              <w:rPr>
                <w:kern w:val="0"/>
              </w:rPr>
              <w:t>0.006</w:t>
            </w:r>
          </w:p>
        </w:tc>
        <w:tc>
          <w:tcPr>
            <w:tcW w:w="2268" w:type="dxa"/>
          </w:tcPr>
          <w:p>
            <w:pPr>
              <w:pStyle w:val="77"/>
              <w:jc w:val="left"/>
              <w:rPr>
                <w:kern w:val="0"/>
              </w:rPr>
            </w:pPr>
            <w:r>
              <w:rPr>
                <w:kern w:val="0"/>
              </w:rPr>
              <w:t>0.15 (0.02–1.19)</w:t>
            </w:r>
          </w:p>
        </w:tc>
        <w:tc>
          <w:tcPr>
            <w:tcW w:w="1218" w:type="dxa"/>
          </w:tcPr>
          <w:p>
            <w:pPr>
              <w:pStyle w:val="77"/>
              <w:jc w:val="left"/>
              <w:rPr>
                <w:kern w:val="0"/>
              </w:rPr>
            </w:pPr>
            <w:r>
              <w:rPr>
                <w:kern w:val="0"/>
              </w:rPr>
              <w:t>0.07</w:t>
            </w:r>
            <w:r>
              <w:rPr>
                <w:rFonts w:hint="eastAsia"/>
                <w:kern w:val="0"/>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trPr>
        <w:tc>
          <w:tcPr>
            <w:tcW w:w="2547" w:type="dxa"/>
          </w:tcPr>
          <w:p>
            <w:pPr>
              <w:pStyle w:val="77"/>
              <w:jc w:val="left"/>
              <w:rPr>
                <w:kern w:val="0"/>
              </w:rPr>
            </w:pPr>
            <w:r>
              <w:rPr>
                <w:kern w:val="0"/>
              </w:rPr>
              <w:t>Highly active</w:t>
            </w:r>
          </w:p>
        </w:tc>
        <w:tc>
          <w:tcPr>
            <w:tcW w:w="1417" w:type="dxa"/>
          </w:tcPr>
          <w:p>
            <w:pPr>
              <w:pStyle w:val="77"/>
              <w:jc w:val="left"/>
              <w:rPr>
                <w:kern w:val="0"/>
              </w:rPr>
            </w:pPr>
            <w:r>
              <w:rPr>
                <w:kern w:val="0"/>
              </w:rPr>
              <w:t>43</w:t>
            </w:r>
          </w:p>
        </w:tc>
        <w:tc>
          <w:tcPr>
            <w:tcW w:w="1418" w:type="dxa"/>
          </w:tcPr>
          <w:p>
            <w:pPr>
              <w:pStyle w:val="77"/>
              <w:jc w:val="left"/>
              <w:rPr>
                <w:kern w:val="0"/>
              </w:rPr>
            </w:pPr>
            <w:r>
              <w:rPr>
                <w:kern w:val="0"/>
              </w:rPr>
              <w:t>2</w:t>
            </w:r>
          </w:p>
        </w:tc>
        <w:tc>
          <w:tcPr>
            <w:tcW w:w="1276" w:type="dxa"/>
          </w:tcPr>
          <w:p>
            <w:pPr>
              <w:pStyle w:val="77"/>
              <w:jc w:val="left"/>
              <w:rPr>
                <w:kern w:val="0"/>
              </w:rPr>
            </w:pPr>
            <w:r>
              <w:rPr>
                <w:rFonts w:hint="eastAsia"/>
                <w:kern w:val="0"/>
              </w:rPr>
              <w:t>1.4</w:t>
            </w:r>
          </w:p>
        </w:tc>
        <w:tc>
          <w:tcPr>
            <w:tcW w:w="2268" w:type="dxa"/>
          </w:tcPr>
          <w:p>
            <w:pPr>
              <w:pStyle w:val="77"/>
              <w:jc w:val="left"/>
              <w:rPr>
                <w:kern w:val="0"/>
              </w:rPr>
            </w:pPr>
            <w:r>
              <w:rPr>
                <w:kern w:val="0"/>
              </w:rPr>
              <w:t>0.20 (0.05–0.81)</w:t>
            </w:r>
          </w:p>
        </w:tc>
        <w:tc>
          <w:tcPr>
            <w:tcW w:w="1275" w:type="dxa"/>
          </w:tcPr>
          <w:p>
            <w:pPr>
              <w:pStyle w:val="77"/>
              <w:jc w:val="left"/>
              <w:rPr>
                <w:kern w:val="0"/>
              </w:rPr>
            </w:pPr>
            <w:r>
              <w:rPr>
                <w:kern w:val="0"/>
              </w:rPr>
              <w:t>0.025</w:t>
            </w:r>
          </w:p>
        </w:tc>
        <w:tc>
          <w:tcPr>
            <w:tcW w:w="2268" w:type="dxa"/>
          </w:tcPr>
          <w:p>
            <w:pPr>
              <w:pStyle w:val="77"/>
              <w:jc w:val="left"/>
              <w:rPr>
                <w:kern w:val="0"/>
              </w:rPr>
            </w:pPr>
            <w:r>
              <w:rPr>
                <w:kern w:val="0"/>
              </w:rPr>
              <w:t>0.29 (0.06–1.37)</w:t>
            </w:r>
          </w:p>
        </w:tc>
        <w:tc>
          <w:tcPr>
            <w:tcW w:w="1218" w:type="dxa"/>
          </w:tcPr>
          <w:p>
            <w:pPr>
              <w:pStyle w:val="77"/>
              <w:jc w:val="left"/>
              <w:rPr>
                <w:kern w:val="0"/>
              </w:rPr>
            </w:pPr>
            <w:r>
              <w:rPr>
                <w:kern w:val="0"/>
              </w:rPr>
              <w:t>0.12</w:t>
            </w:r>
            <w:r>
              <w:rPr>
                <w:rFonts w:hint="eastAsia"/>
                <w:kern w:val="0"/>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trPr>
        <w:tc>
          <w:tcPr>
            <w:tcW w:w="13687" w:type="dxa"/>
            <w:gridSpan w:val="8"/>
          </w:tcPr>
          <w:p>
            <w:pPr>
              <w:pStyle w:val="77"/>
              <w:jc w:val="left"/>
              <w:rPr>
                <w:bCs/>
                <w:kern w:val="0"/>
              </w:rPr>
            </w:pPr>
            <w:r>
              <w:rPr>
                <w:bCs/>
                <w:kern w:val="0"/>
              </w:rPr>
              <w:t>HF medication group II - beta blocker or diuretics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trPr>
        <w:tc>
          <w:tcPr>
            <w:tcW w:w="2547" w:type="dxa"/>
          </w:tcPr>
          <w:p>
            <w:pPr>
              <w:pStyle w:val="77"/>
              <w:jc w:val="left"/>
              <w:rPr>
                <w:kern w:val="0"/>
              </w:rPr>
            </w:pPr>
            <w:r>
              <w:rPr>
                <w:kern w:val="0"/>
              </w:rPr>
              <w:t>Inactive</w:t>
            </w:r>
          </w:p>
        </w:tc>
        <w:tc>
          <w:tcPr>
            <w:tcW w:w="1417" w:type="dxa"/>
          </w:tcPr>
          <w:p>
            <w:pPr>
              <w:pStyle w:val="77"/>
              <w:jc w:val="left"/>
              <w:rPr>
                <w:kern w:val="0"/>
              </w:rPr>
            </w:pPr>
            <w:r>
              <w:rPr>
                <w:kern w:val="0"/>
              </w:rPr>
              <w:t>1880</w:t>
            </w:r>
          </w:p>
        </w:tc>
        <w:tc>
          <w:tcPr>
            <w:tcW w:w="1418" w:type="dxa"/>
          </w:tcPr>
          <w:p>
            <w:pPr>
              <w:pStyle w:val="77"/>
              <w:jc w:val="left"/>
              <w:rPr>
                <w:kern w:val="0"/>
              </w:rPr>
            </w:pPr>
            <w:r>
              <w:rPr>
                <w:kern w:val="0"/>
              </w:rPr>
              <w:t>309</w:t>
            </w:r>
          </w:p>
        </w:tc>
        <w:tc>
          <w:tcPr>
            <w:tcW w:w="1276" w:type="dxa"/>
          </w:tcPr>
          <w:p>
            <w:pPr>
              <w:pStyle w:val="77"/>
              <w:jc w:val="left"/>
              <w:rPr>
                <w:kern w:val="0"/>
              </w:rPr>
            </w:pPr>
            <w:r>
              <w:rPr>
                <w:kern w:val="0"/>
              </w:rPr>
              <w:t>5.6</w:t>
            </w:r>
          </w:p>
        </w:tc>
        <w:tc>
          <w:tcPr>
            <w:tcW w:w="2268" w:type="dxa"/>
            <w:vAlign w:val="center"/>
          </w:tcPr>
          <w:p>
            <w:pPr>
              <w:pStyle w:val="77"/>
              <w:jc w:val="left"/>
              <w:rPr>
                <w:kern w:val="0"/>
              </w:rPr>
            </w:pPr>
            <w:r>
              <w:rPr>
                <w:rFonts w:eastAsia="Malgun Gothic"/>
                <w:kern w:val="0"/>
              </w:rPr>
              <w:t>Reference</w:t>
            </w:r>
          </w:p>
        </w:tc>
        <w:tc>
          <w:tcPr>
            <w:tcW w:w="1275" w:type="dxa"/>
            <w:vAlign w:val="center"/>
          </w:tcPr>
          <w:p>
            <w:pPr>
              <w:pStyle w:val="77"/>
              <w:jc w:val="left"/>
              <w:rPr>
                <w:kern w:val="0"/>
              </w:rPr>
            </w:pPr>
          </w:p>
        </w:tc>
        <w:tc>
          <w:tcPr>
            <w:tcW w:w="2268" w:type="dxa"/>
            <w:vAlign w:val="center"/>
          </w:tcPr>
          <w:p>
            <w:pPr>
              <w:pStyle w:val="77"/>
              <w:jc w:val="left"/>
              <w:rPr>
                <w:kern w:val="0"/>
              </w:rPr>
            </w:pPr>
            <w:r>
              <w:rPr>
                <w:rFonts w:eastAsia="Malgun Gothic"/>
                <w:kern w:val="0"/>
              </w:rPr>
              <w:t>Reference</w:t>
            </w:r>
          </w:p>
        </w:tc>
        <w:tc>
          <w:tcPr>
            <w:tcW w:w="1218" w:type="dxa"/>
            <w:vAlign w:val="center"/>
          </w:tcPr>
          <w:p>
            <w:pPr>
              <w:pStyle w:val="77"/>
              <w:jc w:val="left"/>
              <w:rPr>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3" w:hRule="atLeast"/>
        </w:trPr>
        <w:tc>
          <w:tcPr>
            <w:tcW w:w="2547" w:type="dxa"/>
          </w:tcPr>
          <w:p>
            <w:pPr>
              <w:pStyle w:val="77"/>
              <w:jc w:val="left"/>
              <w:rPr>
                <w:kern w:val="0"/>
              </w:rPr>
            </w:pPr>
            <w:r>
              <w:rPr>
                <w:kern w:val="0"/>
              </w:rPr>
              <w:t>Insufficiently active</w:t>
            </w:r>
          </w:p>
        </w:tc>
        <w:tc>
          <w:tcPr>
            <w:tcW w:w="1417" w:type="dxa"/>
          </w:tcPr>
          <w:p>
            <w:pPr>
              <w:pStyle w:val="77"/>
              <w:jc w:val="left"/>
              <w:rPr>
                <w:kern w:val="0"/>
              </w:rPr>
            </w:pPr>
            <w:r>
              <w:rPr>
                <w:kern w:val="0"/>
              </w:rPr>
              <w:t>1104</w:t>
            </w:r>
          </w:p>
        </w:tc>
        <w:tc>
          <w:tcPr>
            <w:tcW w:w="1418" w:type="dxa"/>
          </w:tcPr>
          <w:p>
            <w:pPr>
              <w:pStyle w:val="77"/>
              <w:jc w:val="left"/>
              <w:rPr>
                <w:kern w:val="0"/>
              </w:rPr>
            </w:pPr>
            <w:r>
              <w:rPr>
                <w:kern w:val="0"/>
              </w:rPr>
              <w:t>106</w:t>
            </w:r>
          </w:p>
        </w:tc>
        <w:tc>
          <w:tcPr>
            <w:tcW w:w="1276" w:type="dxa"/>
          </w:tcPr>
          <w:p>
            <w:pPr>
              <w:pStyle w:val="77"/>
              <w:jc w:val="left"/>
              <w:rPr>
                <w:kern w:val="0"/>
              </w:rPr>
            </w:pPr>
            <w:r>
              <w:rPr>
                <w:kern w:val="0"/>
              </w:rPr>
              <w:t>3.1</w:t>
            </w:r>
          </w:p>
        </w:tc>
        <w:tc>
          <w:tcPr>
            <w:tcW w:w="2268" w:type="dxa"/>
          </w:tcPr>
          <w:p>
            <w:pPr>
              <w:pStyle w:val="77"/>
              <w:jc w:val="left"/>
              <w:rPr>
                <w:kern w:val="0"/>
              </w:rPr>
            </w:pPr>
            <w:r>
              <w:rPr>
                <w:kern w:val="0"/>
              </w:rPr>
              <w:t>0.54 (0.44–0.68)</w:t>
            </w:r>
          </w:p>
        </w:tc>
        <w:tc>
          <w:tcPr>
            <w:tcW w:w="1275" w:type="dxa"/>
          </w:tcPr>
          <w:p>
            <w:pPr>
              <w:pStyle w:val="77"/>
              <w:jc w:val="left"/>
              <w:rPr>
                <w:kern w:val="0"/>
              </w:rPr>
            </w:pPr>
            <w:r>
              <w:rPr>
                <w:kern w:val="0"/>
              </w:rPr>
              <w:t>&lt;0.001</w:t>
            </w:r>
          </w:p>
        </w:tc>
        <w:tc>
          <w:tcPr>
            <w:tcW w:w="2268" w:type="dxa"/>
          </w:tcPr>
          <w:p>
            <w:pPr>
              <w:pStyle w:val="77"/>
              <w:jc w:val="left"/>
              <w:rPr>
                <w:kern w:val="0"/>
              </w:rPr>
            </w:pPr>
            <w:r>
              <w:rPr>
                <w:kern w:val="0"/>
              </w:rPr>
              <w:t>0.72 (0.57–0.91)</w:t>
            </w:r>
          </w:p>
        </w:tc>
        <w:tc>
          <w:tcPr>
            <w:tcW w:w="1218" w:type="dxa"/>
          </w:tcPr>
          <w:p>
            <w:pPr>
              <w:pStyle w:val="77"/>
              <w:jc w:val="left"/>
              <w:rPr>
                <w:kern w:val="0"/>
              </w:rPr>
            </w:pPr>
            <w:r>
              <w:rPr>
                <w:kern w:val="0"/>
              </w:rPr>
              <w:t>0.01</w:t>
            </w:r>
            <w:r>
              <w:rPr>
                <w:rFonts w:hint="eastAsia"/>
                <w:kern w:val="0"/>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trPr>
        <w:tc>
          <w:tcPr>
            <w:tcW w:w="2547" w:type="dxa"/>
          </w:tcPr>
          <w:p>
            <w:pPr>
              <w:pStyle w:val="77"/>
              <w:jc w:val="left"/>
              <w:rPr>
                <w:kern w:val="0"/>
              </w:rPr>
            </w:pPr>
            <w:r>
              <w:rPr>
                <w:kern w:val="0"/>
              </w:rPr>
              <w:t>Active</w:t>
            </w:r>
          </w:p>
        </w:tc>
        <w:tc>
          <w:tcPr>
            <w:tcW w:w="1417" w:type="dxa"/>
          </w:tcPr>
          <w:p>
            <w:pPr>
              <w:pStyle w:val="77"/>
              <w:jc w:val="left"/>
              <w:rPr>
                <w:kern w:val="0"/>
              </w:rPr>
            </w:pPr>
            <w:r>
              <w:rPr>
                <w:kern w:val="0"/>
              </w:rPr>
              <w:t>998</w:t>
            </w:r>
          </w:p>
        </w:tc>
        <w:tc>
          <w:tcPr>
            <w:tcW w:w="1418" w:type="dxa"/>
          </w:tcPr>
          <w:p>
            <w:pPr>
              <w:pStyle w:val="77"/>
              <w:jc w:val="left"/>
              <w:rPr>
                <w:kern w:val="0"/>
              </w:rPr>
            </w:pPr>
            <w:r>
              <w:rPr>
                <w:kern w:val="0"/>
              </w:rPr>
              <w:t>83</w:t>
            </w:r>
          </w:p>
        </w:tc>
        <w:tc>
          <w:tcPr>
            <w:tcW w:w="1276" w:type="dxa"/>
          </w:tcPr>
          <w:p>
            <w:pPr>
              <w:pStyle w:val="77"/>
              <w:jc w:val="left"/>
              <w:rPr>
                <w:kern w:val="0"/>
              </w:rPr>
            </w:pPr>
            <w:r>
              <w:rPr>
                <w:kern w:val="0"/>
              </w:rPr>
              <w:t>2.6</w:t>
            </w:r>
          </w:p>
        </w:tc>
        <w:tc>
          <w:tcPr>
            <w:tcW w:w="2268" w:type="dxa"/>
          </w:tcPr>
          <w:p>
            <w:pPr>
              <w:pStyle w:val="77"/>
              <w:jc w:val="left"/>
              <w:rPr>
                <w:kern w:val="0"/>
              </w:rPr>
            </w:pPr>
            <w:r>
              <w:rPr>
                <w:kern w:val="0"/>
              </w:rPr>
              <w:t>0.46 (0.36–0.59)</w:t>
            </w:r>
          </w:p>
        </w:tc>
        <w:tc>
          <w:tcPr>
            <w:tcW w:w="1275" w:type="dxa"/>
          </w:tcPr>
          <w:p>
            <w:pPr>
              <w:pStyle w:val="77"/>
              <w:jc w:val="left"/>
              <w:rPr>
                <w:kern w:val="0"/>
              </w:rPr>
            </w:pPr>
            <w:r>
              <w:rPr>
                <w:kern w:val="0"/>
              </w:rPr>
              <w:t>&lt;0.001</w:t>
            </w:r>
          </w:p>
        </w:tc>
        <w:tc>
          <w:tcPr>
            <w:tcW w:w="2268" w:type="dxa"/>
          </w:tcPr>
          <w:p>
            <w:pPr>
              <w:pStyle w:val="77"/>
              <w:jc w:val="left"/>
              <w:rPr>
                <w:kern w:val="0"/>
              </w:rPr>
            </w:pPr>
            <w:r>
              <w:rPr>
                <w:kern w:val="0"/>
              </w:rPr>
              <w:t>0.68 (0.53–0.87)</w:t>
            </w:r>
          </w:p>
        </w:tc>
        <w:tc>
          <w:tcPr>
            <w:tcW w:w="1218" w:type="dxa"/>
          </w:tcPr>
          <w:p>
            <w:pPr>
              <w:pStyle w:val="77"/>
              <w:jc w:val="left"/>
              <w:rPr>
                <w:kern w:val="0"/>
              </w:rPr>
            </w:pPr>
            <w:r>
              <w:rPr>
                <w:kern w:val="0"/>
              </w:rPr>
              <w:t>&lt;0.001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trPr>
        <w:tc>
          <w:tcPr>
            <w:tcW w:w="2547" w:type="dxa"/>
          </w:tcPr>
          <w:p>
            <w:pPr>
              <w:pStyle w:val="77"/>
              <w:jc w:val="left"/>
              <w:rPr>
                <w:kern w:val="0"/>
              </w:rPr>
            </w:pPr>
            <w:r>
              <w:rPr>
                <w:kern w:val="0"/>
              </w:rPr>
              <w:t>Highly active</w:t>
            </w:r>
          </w:p>
        </w:tc>
        <w:tc>
          <w:tcPr>
            <w:tcW w:w="1417" w:type="dxa"/>
          </w:tcPr>
          <w:p>
            <w:pPr>
              <w:pStyle w:val="77"/>
              <w:jc w:val="left"/>
              <w:rPr>
                <w:kern w:val="0"/>
              </w:rPr>
            </w:pPr>
            <w:r>
              <w:rPr>
                <w:kern w:val="0"/>
              </w:rPr>
              <w:t>617</w:t>
            </w:r>
          </w:p>
        </w:tc>
        <w:tc>
          <w:tcPr>
            <w:tcW w:w="1418" w:type="dxa"/>
          </w:tcPr>
          <w:p>
            <w:pPr>
              <w:pStyle w:val="77"/>
              <w:jc w:val="left"/>
              <w:rPr>
                <w:kern w:val="0"/>
              </w:rPr>
            </w:pPr>
            <w:r>
              <w:rPr>
                <w:kern w:val="0"/>
              </w:rPr>
              <w:t>35</w:t>
            </w:r>
          </w:p>
        </w:tc>
        <w:tc>
          <w:tcPr>
            <w:tcW w:w="1276" w:type="dxa"/>
          </w:tcPr>
          <w:p>
            <w:pPr>
              <w:pStyle w:val="77"/>
              <w:jc w:val="left"/>
              <w:rPr>
                <w:kern w:val="0"/>
              </w:rPr>
            </w:pPr>
            <w:r>
              <w:rPr>
                <w:kern w:val="0"/>
              </w:rPr>
              <w:t>1.7</w:t>
            </w:r>
          </w:p>
        </w:tc>
        <w:tc>
          <w:tcPr>
            <w:tcW w:w="2268" w:type="dxa"/>
          </w:tcPr>
          <w:p>
            <w:pPr>
              <w:pStyle w:val="77"/>
              <w:jc w:val="left"/>
              <w:rPr>
                <w:kern w:val="0"/>
              </w:rPr>
            </w:pPr>
            <w:r>
              <w:rPr>
                <w:kern w:val="0"/>
              </w:rPr>
              <w:t>0.31 (0.22–0.44)</w:t>
            </w:r>
          </w:p>
        </w:tc>
        <w:tc>
          <w:tcPr>
            <w:tcW w:w="1275" w:type="dxa"/>
          </w:tcPr>
          <w:p>
            <w:pPr>
              <w:pStyle w:val="77"/>
              <w:jc w:val="left"/>
              <w:rPr>
                <w:kern w:val="0"/>
              </w:rPr>
            </w:pPr>
            <w:r>
              <w:rPr>
                <w:kern w:val="0"/>
              </w:rPr>
              <w:t>&lt;0.001</w:t>
            </w:r>
          </w:p>
        </w:tc>
        <w:tc>
          <w:tcPr>
            <w:tcW w:w="2268" w:type="dxa"/>
          </w:tcPr>
          <w:p>
            <w:pPr>
              <w:pStyle w:val="77"/>
              <w:jc w:val="left"/>
              <w:rPr>
                <w:kern w:val="0"/>
              </w:rPr>
            </w:pPr>
            <w:r>
              <w:rPr>
                <w:kern w:val="0"/>
              </w:rPr>
              <w:t>0.45 (0.31–0.65)</w:t>
            </w:r>
          </w:p>
        </w:tc>
        <w:tc>
          <w:tcPr>
            <w:tcW w:w="1218" w:type="dxa"/>
          </w:tcPr>
          <w:p>
            <w:pPr>
              <w:pStyle w:val="77"/>
              <w:jc w:val="left"/>
              <w:rPr>
                <w:kern w:val="0"/>
              </w:rPr>
            </w:pPr>
            <w:r>
              <w:rPr>
                <w:kern w:val="0"/>
              </w:rPr>
              <w:t>&lt;0.001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trPr>
        <w:tc>
          <w:tcPr>
            <w:tcW w:w="13687" w:type="dxa"/>
            <w:gridSpan w:val="8"/>
          </w:tcPr>
          <w:p>
            <w:pPr>
              <w:pStyle w:val="77"/>
              <w:jc w:val="left"/>
              <w:rPr>
                <w:bCs/>
                <w:kern w:val="0"/>
              </w:rPr>
            </w:pPr>
            <w:r>
              <w:rPr>
                <w:bCs/>
                <w:kern w:val="0"/>
              </w:rPr>
              <w:t xml:space="preserve">HF medication group </w:t>
            </w:r>
            <w:r>
              <w:rPr>
                <w:rFonts w:hint="eastAsia"/>
                <w:bCs/>
                <w:kern w:val="0"/>
              </w:rPr>
              <w:t>III</w:t>
            </w:r>
            <w:r>
              <w:rPr>
                <w:bCs/>
                <w:kern w:val="0"/>
              </w:rPr>
              <w:t xml:space="preserve"> - spironolactone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trPr>
        <w:tc>
          <w:tcPr>
            <w:tcW w:w="2547" w:type="dxa"/>
          </w:tcPr>
          <w:p>
            <w:pPr>
              <w:pStyle w:val="77"/>
              <w:jc w:val="left"/>
              <w:rPr>
                <w:kern w:val="0"/>
              </w:rPr>
            </w:pPr>
            <w:r>
              <w:rPr>
                <w:kern w:val="0"/>
              </w:rPr>
              <w:t>Inactive</w:t>
            </w:r>
          </w:p>
        </w:tc>
        <w:tc>
          <w:tcPr>
            <w:tcW w:w="1417" w:type="dxa"/>
          </w:tcPr>
          <w:p>
            <w:pPr>
              <w:pStyle w:val="77"/>
              <w:jc w:val="left"/>
              <w:rPr>
                <w:kern w:val="0"/>
              </w:rPr>
            </w:pPr>
            <w:r>
              <w:rPr>
                <w:kern w:val="0"/>
              </w:rPr>
              <w:t>1904</w:t>
            </w:r>
          </w:p>
        </w:tc>
        <w:tc>
          <w:tcPr>
            <w:tcW w:w="1418" w:type="dxa"/>
          </w:tcPr>
          <w:p>
            <w:pPr>
              <w:pStyle w:val="77"/>
              <w:jc w:val="left"/>
              <w:rPr>
                <w:kern w:val="0"/>
              </w:rPr>
            </w:pPr>
            <w:r>
              <w:rPr>
                <w:kern w:val="0"/>
              </w:rPr>
              <w:t>435</w:t>
            </w:r>
          </w:p>
        </w:tc>
        <w:tc>
          <w:tcPr>
            <w:tcW w:w="1276" w:type="dxa"/>
          </w:tcPr>
          <w:p>
            <w:pPr>
              <w:pStyle w:val="77"/>
              <w:jc w:val="left"/>
              <w:rPr>
                <w:kern w:val="0"/>
              </w:rPr>
            </w:pPr>
            <w:r>
              <w:rPr>
                <w:kern w:val="0"/>
              </w:rPr>
              <w:t>7.8</w:t>
            </w:r>
          </w:p>
        </w:tc>
        <w:tc>
          <w:tcPr>
            <w:tcW w:w="2268" w:type="dxa"/>
            <w:vAlign w:val="center"/>
          </w:tcPr>
          <w:p>
            <w:pPr>
              <w:pStyle w:val="77"/>
              <w:jc w:val="left"/>
              <w:rPr>
                <w:kern w:val="0"/>
              </w:rPr>
            </w:pPr>
            <w:r>
              <w:rPr>
                <w:rFonts w:eastAsia="Malgun Gothic"/>
                <w:kern w:val="0"/>
              </w:rPr>
              <w:t>Reference</w:t>
            </w:r>
          </w:p>
        </w:tc>
        <w:tc>
          <w:tcPr>
            <w:tcW w:w="1275" w:type="dxa"/>
            <w:vAlign w:val="center"/>
          </w:tcPr>
          <w:p>
            <w:pPr>
              <w:pStyle w:val="77"/>
              <w:jc w:val="left"/>
              <w:rPr>
                <w:kern w:val="0"/>
              </w:rPr>
            </w:pPr>
          </w:p>
        </w:tc>
        <w:tc>
          <w:tcPr>
            <w:tcW w:w="2268" w:type="dxa"/>
            <w:vAlign w:val="center"/>
          </w:tcPr>
          <w:p>
            <w:pPr>
              <w:pStyle w:val="77"/>
              <w:jc w:val="left"/>
              <w:rPr>
                <w:kern w:val="0"/>
              </w:rPr>
            </w:pPr>
            <w:r>
              <w:rPr>
                <w:rFonts w:eastAsia="Malgun Gothic"/>
                <w:kern w:val="0"/>
              </w:rPr>
              <w:t>Reference</w:t>
            </w:r>
          </w:p>
        </w:tc>
        <w:tc>
          <w:tcPr>
            <w:tcW w:w="1218" w:type="dxa"/>
            <w:vAlign w:val="center"/>
          </w:tcPr>
          <w:p>
            <w:pPr>
              <w:pStyle w:val="77"/>
              <w:jc w:val="left"/>
              <w:rPr>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3" w:hRule="atLeast"/>
        </w:trPr>
        <w:tc>
          <w:tcPr>
            <w:tcW w:w="2547" w:type="dxa"/>
          </w:tcPr>
          <w:p>
            <w:pPr>
              <w:pStyle w:val="77"/>
              <w:jc w:val="left"/>
              <w:rPr>
                <w:kern w:val="0"/>
              </w:rPr>
            </w:pPr>
            <w:r>
              <w:rPr>
                <w:kern w:val="0"/>
              </w:rPr>
              <w:t>Insufficiently active</w:t>
            </w:r>
          </w:p>
        </w:tc>
        <w:tc>
          <w:tcPr>
            <w:tcW w:w="1417" w:type="dxa"/>
          </w:tcPr>
          <w:p>
            <w:pPr>
              <w:pStyle w:val="77"/>
              <w:jc w:val="left"/>
              <w:rPr>
                <w:kern w:val="0"/>
              </w:rPr>
            </w:pPr>
            <w:r>
              <w:rPr>
                <w:kern w:val="0"/>
              </w:rPr>
              <w:t>968</w:t>
            </w:r>
          </w:p>
        </w:tc>
        <w:tc>
          <w:tcPr>
            <w:tcW w:w="1418" w:type="dxa"/>
          </w:tcPr>
          <w:p>
            <w:pPr>
              <w:pStyle w:val="77"/>
              <w:jc w:val="left"/>
              <w:rPr>
                <w:kern w:val="0"/>
              </w:rPr>
            </w:pPr>
            <w:r>
              <w:rPr>
                <w:kern w:val="0"/>
              </w:rPr>
              <w:t>166</w:t>
            </w:r>
          </w:p>
        </w:tc>
        <w:tc>
          <w:tcPr>
            <w:tcW w:w="1276" w:type="dxa"/>
          </w:tcPr>
          <w:p>
            <w:pPr>
              <w:pStyle w:val="77"/>
              <w:jc w:val="left"/>
              <w:rPr>
                <w:kern w:val="0"/>
              </w:rPr>
            </w:pPr>
            <w:r>
              <w:rPr>
                <w:kern w:val="0"/>
              </w:rPr>
              <w:t>5.6</w:t>
            </w:r>
          </w:p>
        </w:tc>
        <w:tc>
          <w:tcPr>
            <w:tcW w:w="2268" w:type="dxa"/>
          </w:tcPr>
          <w:p>
            <w:pPr>
              <w:pStyle w:val="77"/>
              <w:jc w:val="left"/>
              <w:rPr>
                <w:kern w:val="0"/>
              </w:rPr>
            </w:pPr>
            <w:r>
              <w:rPr>
                <w:kern w:val="0"/>
              </w:rPr>
              <w:t>0.71 (0.60–0.85)</w:t>
            </w:r>
          </w:p>
        </w:tc>
        <w:tc>
          <w:tcPr>
            <w:tcW w:w="1275" w:type="dxa"/>
          </w:tcPr>
          <w:p>
            <w:pPr>
              <w:pStyle w:val="77"/>
              <w:jc w:val="left"/>
              <w:rPr>
                <w:kern w:val="0"/>
              </w:rPr>
            </w:pPr>
            <w:r>
              <w:rPr>
                <w:kern w:val="0"/>
              </w:rPr>
              <w:t>&lt;0.001</w:t>
            </w:r>
          </w:p>
        </w:tc>
        <w:tc>
          <w:tcPr>
            <w:tcW w:w="2268" w:type="dxa"/>
          </w:tcPr>
          <w:p>
            <w:pPr>
              <w:pStyle w:val="77"/>
              <w:jc w:val="left"/>
              <w:rPr>
                <w:kern w:val="0"/>
              </w:rPr>
            </w:pPr>
            <w:r>
              <w:rPr>
                <w:kern w:val="0"/>
              </w:rPr>
              <w:t>0.87 (0.72–1.05]</w:t>
            </w:r>
          </w:p>
        </w:tc>
        <w:tc>
          <w:tcPr>
            <w:tcW w:w="1218" w:type="dxa"/>
          </w:tcPr>
          <w:p>
            <w:pPr>
              <w:pStyle w:val="77"/>
              <w:jc w:val="left"/>
              <w:rPr>
                <w:kern w:val="0"/>
              </w:rPr>
            </w:pPr>
            <w:r>
              <w:rPr>
                <w:kern w:val="0"/>
              </w:rPr>
              <w:t>0.14</w:t>
            </w:r>
            <w:r>
              <w:rPr>
                <w:rFonts w:hint="eastAsia"/>
                <w:kern w:val="0"/>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trPr>
        <w:tc>
          <w:tcPr>
            <w:tcW w:w="2547" w:type="dxa"/>
          </w:tcPr>
          <w:p>
            <w:pPr>
              <w:pStyle w:val="77"/>
              <w:jc w:val="left"/>
              <w:rPr>
                <w:kern w:val="0"/>
              </w:rPr>
            </w:pPr>
            <w:r>
              <w:rPr>
                <w:kern w:val="0"/>
              </w:rPr>
              <w:t>Active</w:t>
            </w:r>
          </w:p>
        </w:tc>
        <w:tc>
          <w:tcPr>
            <w:tcW w:w="1417" w:type="dxa"/>
          </w:tcPr>
          <w:p>
            <w:pPr>
              <w:pStyle w:val="77"/>
              <w:jc w:val="left"/>
              <w:rPr>
                <w:kern w:val="0"/>
              </w:rPr>
            </w:pPr>
            <w:r>
              <w:rPr>
                <w:kern w:val="0"/>
              </w:rPr>
              <w:t>754</w:t>
            </w:r>
          </w:p>
        </w:tc>
        <w:tc>
          <w:tcPr>
            <w:tcW w:w="1418" w:type="dxa"/>
          </w:tcPr>
          <w:p>
            <w:pPr>
              <w:pStyle w:val="77"/>
              <w:jc w:val="left"/>
              <w:rPr>
                <w:kern w:val="0"/>
              </w:rPr>
            </w:pPr>
            <w:r>
              <w:rPr>
                <w:kern w:val="0"/>
              </w:rPr>
              <w:t>134</w:t>
            </w:r>
          </w:p>
        </w:tc>
        <w:tc>
          <w:tcPr>
            <w:tcW w:w="1276" w:type="dxa"/>
          </w:tcPr>
          <w:p>
            <w:pPr>
              <w:pStyle w:val="77"/>
              <w:jc w:val="left"/>
              <w:rPr>
                <w:kern w:val="0"/>
              </w:rPr>
            </w:pPr>
            <w:r>
              <w:rPr>
                <w:kern w:val="0"/>
              </w:rPr>
              <w:t>5.8</w:t>
            </w:r>
          </w:p>
        </w:tc>
        <w:tc>
          <w:tcPr>
            <w:tcW w:w="2268" w:type="dxa"/>
          </w:tcPr>
          <w:p>
            <w:pPr>
              <w:pStyle w:val="77"/>
              <w:jc w:val="left"/>
              <w:rPr>
                <w:kern w:val="0"/>
              </w:rPr>
            </w:pPr>
            <w:r>
              <w:rPr>
                <w:kern w:val="0"/>
              </w:rPr>
              <w:t>0.74 (0.61–0.90)</w:t>
            </w:r>
          </w:p>
        </w:tc>
        <w:tc>
          <w:tcPr>
            <w:tcW w:w="1275" w:type="dxa"/>
          </w:tcPr>
          <w:p>
            <w:pPr>
              <w:pStyle w:val="77"/>
              <w:jc w:val="left"/>
              <w:rPr>
                <w:kern w:val="0"/>
              </w:rPr>
            </w:pPr>
            <w:r>
              <w:rPr>
                <w:kern w:val="0"/>
              </w:rPr>
              <w:t>0.002</w:t>
            </w:r>
          </w:p>
        </w:tc>
        <w:tc>
          <w:tcPr>
            <w:tcW w:w="2268" w:type="dxa"/>
          </w:tcPr>
          <w:p>
            <w:pPr>
              <w:pStyle w:val="77"/>
              <w:jc w:val="left"/>
              <w:rPr>
                <w:kern w:val="0"/>
              </w:rPr>
            </w:pPr>
            <w:r>
              <w:rPr>
                <w:kern w:val="0"/>
              </w:rPr>
              <w:t>0.97 (0.8–1.19]</w:t>
            </w:r>
          </w:p>
        </w:tc>
        <w:tc>
          <w:tcPr>
            <w:tcW w:w="1218" w:type="dxa"/>
          </w:tcPr>
          <w:p>
            <w:pPr>
              <w:pStyle w:val="77"/>
              <w:jc w:val="left"/>
              <w:rPr>
                <w:kern w:val="0"/>
              </w:rPr>
            </w:pPr>
            <w:r>
              <w:rPr>
                <w:kern w:val="0"/>
              </w:rPr>
              <w:t>0.79</w:t>
            </w:r>
            <w:r>
              <w:rPr>
                <w:rFonts w:hint="eastAsia"/>
                <w:kern w:val="0"/>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trPr>
        <w:tc>
          <w:tcPr>
            <w:tcW w:w="2547" w:type="dxa"/>
          </w:tcPr>
          <w:p>
            <w:pPr>
              <w:pStyle w:val="77"/>
              <w:jc w:val="left"/>
              <w:rPr>
                <w:kern w:val="0"/>
              </w:rPr>
            </w:pPr>
            <w:r>
              <w:rPr>
                <w:kern w:val="0"/>
              </w:rPr>
              <w:t>Highly active</w:t>
            </w:r>
          </w:p>
        </w:tc>
        <w:tc>
          <w:tcPr>
            <w:tcW w:w="1417" w:type="dxa"/>
          </w:tcPr>
          <w:p>
            <w:pPr>
              <w:pStyle w:val="77"/>
              <w:jc w:val="left"/>
              <w:rPr>
                <w:kern w:val="0"/>
              </w:rPr>
            </w:pPr>
            <w:r>
              <w:rPr>
                <w:kern w:val="0"/>
              </w:rPr>
              <w:t>407</w:t>
            </w:r>
          </w:p>
        </w:tc>
        <w:tc>
          <w:tcPr>
            <w:tcW w:w="1418" w:type="dxa"/>
          </w:tcPr>
          <w:p>
            <w:pPr>
              <w:pStyle w:val="77"/>
              <w:jc w:val="left"/>
              <w:rPr>
                <w:kern w:val="0"/>
              </w:rPr>
            </w:pPr>
            <w:r>
              <w:rPr>
                <w:kern w:val="0"/>
              </w:rPr>
              <w:t>45</w:t>
            </w:r>
          </w:p>
        </w:tc>
        <w:tc>
          <w:tcPr>
            <w:tcW w:w="1276" w:type="dxa"/>
          </w:tcPr>
          <w:p>
            <w:pPr>
              <w:pStyle w:val="77"/>
              <w:jc w:val="left"/>
              <w:rPr>
                <w:kern w:val="0"/>
              </w:rPr>
            </w:pPr>
            <w:r>
              <w:rPr>
                <w:kern w:val="0"/>
              </w:rPr>
              <w:t>3.4</w:t>
            </w:r>
          </w:p>
        </w:tc>
        <w:tc>
          <w:tcPr>
            <w:tcW w:w="2268" w:type="dxa"/>
          </w:tcPr>
          <w:p>
            <w:pPr>
              <w:pStyle w:val="77"/>
              <w:jc w:val="left"/>
              <w:rPr>
                <w:kern w:val="0"/>
              </w:rPr>
            </w:pPr>
            <w:r>
              <w:rPr>
                <w:kern w:val="0"/>
              </w:rPr>
              <w:t>0.43 (0.32–0.59)</w:t>
            </w:r>
          </w:p>
        </w:tc>
        <w:tc>
          <w:tcPr>
            <w:tcW w:w="1275" w:type="dxa"/>
          </w:tcPr>
          <w:p>
            <w:pPr>
              <w:pStyle w:val="77"/>
              <w:jc w:val="left"/>
              <w:rPr>
                <w:kern w:val="0"/>
              </w:rPr>
            </w:pPr>
            <w:r>
              <w:rPr>
                <w:kern w:val="0"/>
              </w:rPr>
              <w:t>&lt;0.001</w:t>
            </w:r>
          </w:p>
        </w:tc>
        <w:tc>
          <w:tcPr>
            <w:tcW w:w="2268" w:type="dxa"/>
          </w:tcPr>
          <w:p>
            <w:pPr>
              <w:pStyle w:val="77"/>
              <w:jc w:val="left"/>
              <w:rPr>
                <w:kern w:val="0"/>
              </w:rPr>
            </w:pPr>
            <w:r>
              <w:rPr>
                <w:kern w:val="0"/>
              </w:rPr>
              <w:t>0.62 (0.45–0.86]</w:t>
            </w:r>
          </w:p>
        </w:tc>
        <w:tc>
          <w:tcPr>
            <w:tcW w:w="1218" w:type="dxa"/>
          </w:tcPr>
          <w:p>
            <w:pPr>
              <w:pStyle w:val="77"/>
              <w:jc w:val="left"/>
              <w:rPr>
                <w:kern w:val="0"/>
              </w:rPr>
            </w:pPr>
            <w:r>
              <w:rPr>
                <w:kern w:val="0"/>
              </w:rPr>
              <w:t>&lt;0.001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trPr>
        <w:tc>
          <w:tcPr>
            <w:tcW w:w="13687" w:type="dxa"/>
            <w:gridSpan w:val="8"/>
          </w:tcPr>
          <w:p>
            <w:pPr>
              <w:pStyle w:val="77"/>
              <w:jc w:val="left"/>
              <w:rPr>
                <w:bCs/>
                <w:kern w:val="0"/>
              </w:rPr>
            </w:pPr>
            <w:r>
              <w:rPr>
                <w:bCs/>
                <w:kern w:val="0"/>
              </w:rPr>
              <w:t>CVD mortality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trPr>
        <w:tc>
          <w:tcPr>
            <w:tcW w:w="13687" w:type="dxa"/>
            <w:gridSpan w:val="8"/>
          </w:tcPr>
          <w:p>
            <w:pPr>
              <w:pStyle w:val="77"/>
              <w:jc w:val="left"/>
              <w:rPr>
                <w:b/>
                <w:kern w:val="0"/>
              </w:rPr>
            </w:pPr>
            <w:r>
              <w:rPr>
                <w:bCs/>
                <w:kern w:val="0"/>
              </w:rPr>
              <w:t>HF medication group I - none or ACE inhibitor/ARB</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3" w:hRule="atLeast"/>
        </w:trPr>
        <w:tc>
          <w:tcPr>
            <w:tcW w:w="2547" w:type="dxa"/>
          </w:tcPr>
          <w:p>
            <w:pPr>
              <w:pStyle w:val="77"/>
              <w:jc w:val="left"/>
              <w:rPr>
                <w:kern w:val="0"/>
              </w:rPr>
            </w:pPr>
            <w:r>
              <w:rPr>
                <w:kern w:val="0"/>
              </w:rPr>
              <w:t>Inactive</w:t>
            </w:r>
          </w:p>
        </w:tc>
        <w:tc>
          <w:tcPr>
            <w:tcW w:w="1417" w:type="dxa"/>
          </w:tcPr>
          <w:p>
            <w:pPr>
              <w:pStyle w:val="77"/>
              <w:jc w:val="left"/>
              <w:rPr>
                <w:kern w:val="0"/>
              </w:rPr>
            </w:pPr>
            <w:r>
              <w:rPr>
                <w:kern w:val="0"/>
              </w:rPr>
              <w:t>152</w:t>
            </w:r>
          </w:p>
        </w:tc>
        <w:tc>
          <w:tcPr>
            <w:tcW w:w="1418" w:type="dxa"/>
          </w:tcPr>
          <w:p>
            <w:pPr>
              <w:pStyle w:val="77"/>
              <w:jc w:val="left"/>
              <w:rPr>
                <w:kern w:val="0"/>
              </w:rPr>
            </w:pPr>
            <w:r>
              <w:rPr>
                <w:kern w:val="0"/>
              </w:rPr>
              <w:t>6</w:t>
            </w:r>
          </w:p>
        </w:tc>
        <w:tc>
          <w:tcPr>
            <w:tcW w:w="1276" w:type="dxa"/>
          </w:tcPr>
          <w:p>
            <w:pPr>
              <w:pStyle w:val="77"/>
              <w:jc w:val="left"/>
              <w:rPr>
                <w:kern w:val="0"/>
              </w:rPr>
            </w:pPr>
            <w:r>
              <w:rPr>
                <w:kern w:val="0"/>
              </w:rPr>
              <w:t>40.4</w:t>
            </w:r>
          </w:p>
        </w:tc>
        <w:tc>
          <w:tcPr>
            <w:tcW w:w="2268" w:type="dxa"/>
            <w:vAlign w:val="center"/>
          </w:tcPr>
          <w:p>
            <w:pPr>
              <w:pStyle w:val="77"/>
              <w:jc w:val="left"/>
              <w:rPr>
                <w:kern w:val="0"/>
              </w:rPr>
            </w:pPr>
            <w:r>
              <w:rPr>
                <w:rFonts w:eastAsia="Malgun Gothic"/>
                <w:kern w:val="0"/>
              </w:rPr>
              <w:t>Reference</w:t>
            </w:r>
          </w:p>
        </w:tc>
        <w:tc>
          <w:tcPr>
            <w:tcW w:w="1275" w:type="dxa"/>
            <w:vAlign w:val="center"/>
          </w:tcPr>
          <w:p>
            <w:pPr>
              <w:pStyle w:val="77"/>
              <w:jc w:val="left"/>
              <w:rPr>
                <w:kern w:val="0"/>
              </w:rPr>
            </w:pPr>
          </w:p>
        </w:tc>
        <w:tc>
          <w:tcPr>
            <w:tcW w:w="2268" w:type="dxa"/>
            <w:vAlign w:val="center"/>
          </w:tcPr>
          <w:p>
            <w:pPr>
              <w:pStyle w:val="77"/>
              <w:jc w:val="left"/>
              <w:rPr>
                <w:kern w:val="0"/>
              </w:rPr>
            </w:pPr>
            <w:r>
              <w:rPr>
                <w:rFonts w:eastAsia="Malgun Gothic"/>
                <w:kern w:val="0"/>
              </w:rPr>
              <w:t>Reference</w:t>
            </w:r>
          </w:p>
        </w:tc>
        <w:tc>
          <w:tcPr>
            <w:tcW w:w="1218" w:type="dxa"/>
            <w:vAlign w:val="center"/>
          </w:tcPr>
          <w:p>
            <w:pPr>
              <w:pStyle w:val="77"/>
              <w:jc w:val="left"/>
              <w:rPr>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trPr>
        <w:tc>
          <w:tcPr>
            <w:tcW w:w="2547" w:type="dxa"/>
          </w:tcPr>
          <w:p>
            <w:pPr>
              <w:pStyle w:val="77"/>
              <w:jc w:val="left"/>
              <w:rPr>
                <w:kern w:val="0"/>
              </w:rPr>
            </w:pPr>
            <w:r>
              <w:rPr>
                <w:kern w:val="0"/>
              </w:rPr>
              <w:t>Insufficiently active</w:t>
            </w:r>
          </w:p>
        </w:tc>
        <w:tc>
          <w:tcPr>
            <w:tcW w:w="1417" w:type="dxa"/>
          </w:tcPr>
          <w:p>
            <w:pPr>
              <w:pStyle w:val="77"/>
              <w:jc w:val="left"/>
              <w:rPr>
                <w:kern w:val="0"/>
              </w:rPr>
            </w:pPr>
            <w:r>
              <w:rPr>
                <w:kern w:val="0"/>
              </w:rPr>
              <w:t>82</w:t>
            </w:r>
          </w:p>
        </w:tc>
        <w:tc>
          <w:tcPr>
            <w:tcW w:w="1418" w:type="dxa"/>
          </w:tcPr>
          <w:p>
            <w:pPr>
              <w:pStyle w:val="77"/>
              <w:jc w:val="left"/>
              <w:rPr>
                <w:kern w:val="0"/>
              </w:rPr>
            </w:pPr>
            <w:r>
              <w:rPr>
                <w:kern w:val="0"/>
              </w:rPr>
              <w:t>3</w:t>
            </w:r>
          </w:p>
        </w:tc>
        <w:tc>
          <w:tcPr>
            <w:tcW w:w="1276" w:type="dxa"/>
          </w:tcPr>
          <w:p>
            <w:pPr>
              <w:pStyle w:val="77"/>
              <w:jc w:val="left"/>
              <w:rPr>
                <w:kern w:val="0"/>
              </w:rPr>
            </w:pPr>
            <w:r>
              <w:rPr>
                <w:kern w:val="0"/>
              </w:rPr>
              <w:t>37.7</w:t>
            </w:r>
          </w:p>
        </w:tc>
        <w:tc>
          <w:tcPr>
            <w:tcW w:w="2268" w:type="dxa"/>
          </w:tcPr>
          <w:p>
            <w:pPr>
              <w:pStyle w:val="77"/>
              <w:jc w:val="left"/>
              <w:rPr>
                <w:kern w:val="0"/>
              </w:rPr>
            </w:pPr>
            <w:r>
              <w:rPr>
                <w:kern w:val="0"/>
              </w:rPr>
              <w:t>0.96 (0.24–3.82)</w:t>
            </w:r>
          </w:p>
        </w:tc>
        <w:tc>
          <w:tcPr>
            <w:tcW w:w="1275" w:type="dxa"/>
          </w:tcPr>
          <w:p>
            <w:pPr>
              <w:pStyle w:val="77"/>
              <w:jc w:val="left"/>
              <w:rPr>
                <w:kern w:val="0"/>
              </w:rPr>
            </w:pPr>
            <w:r>
              <w:rPr>
                <w:kern w:val="0"/>
              </w:rPr>
              <w:t>0.958</w:t>
            </w:r>
          </w:p>
        </w:tc>
        <w:tc>
          <w:tcPr>
            <w:tcW w:w="2268" w:type="dxa"/>
          </w:tcPr>
          <w:p>
            <w:pPr>
              <w:pStyle w:val="77"/>
              <w:jc w:val="left"/>
              <w:rPr>
                <w:kern w:val="0"/>
              </w:rPr>
            </w:pPr>
            <w:r>
              <w:rPr>
                <w:kern w:val="0"/>
              </w:rPr>
              <w:t>1.88(0.44–8.07)</w:t>
            </w:r>
          </w:p>
        </w:tc>
        <w:tc>
          <w:tcPr>
            <w:tcW w:w="1218" w:type="dxa"/>
          </w:tcPr>
          <w:p>
            <w:pPr>
              <w:pStyle w:val="77"/>
              <w:jc w:val="left"/>
              <w:rPr>
                <w:kern w:val="0"/>
              </w:rPr>
            </w:pPr>
            <w:r>
              <w:rPr>
                <w:kern w:val="0"/>
              </w:rPr>
              <w:t>0.4</w:t>
            </w:r>
            <w:r>
              <w:rPr>
                <w:rFonts w:hint="eastAsia"/>
                <w:kern w:val="0"/>
              </w:rPr>
              <w:t>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trPr>
        <w:tc>
          <w:tcPr>
            <w:tcW w:w="2547" w:type="dxa"/>
          </w:tcPr>
          <w:p>
            <w:pPr>
              <w:pStyle w:val="77"/>
              <w:jc w:val="left"/>
              <w:rPr>
                <w:kern w:val="0"/>
              </w:rPr>
            </w:pPr>
            <w:r>
              <w:rPr>
                <w:kern w:val="0"/>
              </w:rPr>
              <w:t>Active</w:t>
            </w:r>
          </w:p>
        </w:tc>
        <w:tc>
          <w:tcPr>
            <w:tcW w:w="1417" w:type="dxa"/>
          </w:tcPr>
          <w:p>
            <w:pPr>
              <w:pStyle w:val="77"/>
              <w:jc w:val="left"/>
              <w:rPr>
                <w:kern w:val="0"/>
              </w:rPr>
            </w:pPr>
            <w:r>
              <w:rPr>
                <w:kern w:val="0"/>
              </w:rPr>
              <w:t>73</w:t>
            </w:r>
          </w:p>
        </w:tc>
        <w:tc>
          <w:tcPr>
            <w:tcW w:w="1418" w:type="dxa"/>
          </w:tcPr>
          <w:p>
            <w:pPr>
              <w:pStyle w:val="77"/>
              <w:jc w:val="left"/>
              <w:rPr>
                <w:kern w:val="0"/>
              </w:rPr>
            </w:pPr>
            <w:r>
              <w:rPr>
                <w:kern w:val="0"/>
              </w:rPr>
              <w:t>0</w:t>
            </w:r>
          </w:p>
        </w:tc>
        <w:tc>
          <w:tcPr>
            <w:tcW w:w="1276" w:type="dxa"/>
          </w:tcPr>
          <w:p>
            <w:pPr>
              <w:pStyle w:val="77"/>
              <w:jc w:val="left"/>
              <w:rPr>
                <w:kern w:val="0"/>
              </w:rPr>
            </w:pPr>
            <w:r>
              <w:rPr>
                <w:kern w:val="0"/>
              </w:rPr>
              <w:t>0</w:t>
            </w:r>
          </w:p>
        </w:tc>
        <w:tc>
          <w:tcPr>
            <w:tcW w:w="2268" w:type="dxa"/>
          </w:tcPr>
          <w:p>
            <w:pPr>
              <w:pStyle w:val="77"/>
              <w:jc w:val="left"/>
              <w:rPr>
                <w:kern w:val="0"/>
              </w:rPr>
            </w:pPr>
            <w:r>
              <w:rPr>
                <w:kern w:val="0"/>
              </w:rPr>
              <w:t>0.00 (0.00–0.00)</w:t>
            </w:r>
          </w:p>
        </w:tc>
        <w:tc>
          <w:tcPr>
            <w:tcW w:w="1275" w:type="dxa"/>
          </w:tcPr>
          <w:p>
            <w:pPr>
              <w:pStyle w:val="77"/>
              <w:jc w:val="left"/>
              <w:rPr>
                <w:kern w:val="0"/>
              </w:rPr>
            </w:pPr>
            <w:r>
              <w:rPr>
                <w:kern w:val="0"/>
              </w:rPr>
              <w:t>&lt;0.001</w:t>
            </w:r>
          </w:p>
        </w:tc>
        <w:tc>
          <w:tcPr>
            <w:tcW w:w="2268" w:type="dxa"/>
          </w:tcPr>
          <w:p>
            <w:pPr>
              <w:pStyle w:val="77"/>
              <w:jc w:val="left"/>
              <w:rPr>
                <w:kern w:val="0"/>
              </w:rPr>
            </w:pPr>
            <w:r>
              <w:rPr>
                <w:kern w:val="0"/>
              </w:rPr>
              <w:t>0(0–0)</w:t>
            </w:r>
          </w:p>
        </w:tc>
        <w:tc>
          <w:tcPr>
            <w:tcW w:w="1218" w:type="dxa"/>
          </w:tcPr>
          <w:p>
            <w:pPr>
              <w:pStyle w:val="77"/>
              <w:jc w:val="left"/>
              <w:rPr>
                <w:kern w:val="0"/>
              </w:rPr>
            </w:pPr>
            <w:r>
              <w:rPr>
                <w:kern w:val="0"/>
              </w:rPr>
              <w:t>&lt;0.001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3" w:hRule="atLeast"/>
        </w:trPr>
        <w:tc>
          <w:tcPr>
            <w:tcW w:w="2547" w:type="dxa"/>
          </w:tcPr>
          <w:p>
            <w:pPr>
              <w:pStyle w:val="77"/>
              <w:jc w:val="left"/>
              <w:rPr>
                <w:kern w:val="0"/>
              </w:rPr>
            </w:pPr>
            <w:r>
              <w:rPr>
                <w:kern w:val="0"/>
              </w:rPr>
              <w:t>Highly active</w:t>
            </w:r>
          </w:p>
        </w:tc>
        <w:tc>
          <w:tcPr>
            <w:tcW w:w="1417" w:type="dxa"/>
          </w:tcPr>
          <w:p>
            <w:pPr>
              <w:pStyle w:val="77"/>
              <w:jc w:val="left"/>
              <w:rPr>
                <w:kern w:val="0"/>
              </w:rPr>
            </w:pPr>
            <w:r>
              <w:rPr>
                <w:kern w:val="0"/>
              </w:rPr>
              <w:t>43</w:t>
            </w:r>
          </w:p>
        </w:tc>
        <w:tc>
          <w:tcPr>
            <w:tcW w:w="1418" w:type="dxa"/>
          </w:tcPr>
          <w:p>
            <w:pPr>
              <w:pStyle w:val="77"/>
              <w:jc w:val="left"/>
              <w:rPr>
                <w:kern w:val="0"/>
              </w:rPr>
            </w:pPr>
            <w:r>
              <w:rPr>
                <w:kern w:val="0"/>
              </w:rPr>
              <w:t>1</w:t>
            </w:r>
          </w:p>
        </w:tc>
        <w:tc>
          <w:tcPr>
            <w:tcW w:w="1276" w:type="dxa"/>
          </w:tcPr>
          <w:p>
            <w:pPr>
              <w:pStyle w:val="77"/>
              <w:jc w:val="left"/>
              <w:rPr>
                <w:kern w:val="0"/>
              </w:rPr>
            </w:pPr>
            <w:r>
              <w:rPr>
                <w:kern w:val="0"/>
              </w:rPr>
              <w:t>20.8</w:t>
            </w:r>
          </w:p>
        </w:tc>
        <w:tc>
          <w:tcPr>
            <w:tcW w:w="2268" w:type="dxa"/>
          </w:tcPr>
          <w:p>
            <w:pPr>
              <w:pStyle w:val="77"/>
              <w:jc w:val="left"/>
              <w:rPr>
                <w:kern w:val="0"/>
              </w:rPr>
            </w:pPr>
            <w:r>
              <w:rPr>
                <w:kern w:val="0"/>
              </w:rPr>
              <w:t>0.54 (0.07–4.37)</w:t>
            </w:r>
          </w:p>
        </w:tc>
        <w:tc>
          <w:tcPr>
            <w:tcW w:w="1275" w:type="dxa"/>
          </w:tcPr>
          <w:p>
            <w:pPr>
              <w:pStyle w:val="77"/>
              <w:jc w:val="left"/>
              <w:rPr>
                <w:kern w:val="0"/>
              </w:rPr>
            </w:pPr>
            <w:r>
              <w:rPr>
                <w:kern w:val="0"/>
              </w:rPr>
              <w:t>0.564</w:t>
            </w:r>
          </w:p>
        </w:tc>
        <w:tc>
          <w:tcPr>
            <w:tcW w:w="2268" w:type="dxa"/>
          </w:tcPr>
          <w:p>
            <w:pPr>
              <w:pStyle w:val="77"/>
              <w:jc w:val="left"/>
              <w:rPr>
                <w:kern w:val="0"/>
              </w:rPr>
            </w:pPr>
            <w:r>
              <w:rPr>
                <w:kern w:val="0"/>
              </w:rPr>
              <w:t>1.71(0.19–15.39)</w:t>
            </w:r>
          </w:p>
        </w:tc>
        <w:tc>
          <w:tcPr>
            <w:tcW w:w="1218" w:type="dxa"/>
          </w:tcPr>
          <w:p>
            <w:pPr>
              <w:pStyle w:val="77"/>
              <w:jc w:val="left"/>
              <w:rPr>
                <w:kern w:val="0"/>
              </w:rPr>
            </w:pPr>
            <w:r>
              <w:rPr>
                <w:kern w:val="0"/>
              </w:rPr>
              <w:t>0.63</w:t>
            </w:r>
            <w:r>
              <w:rPr>
                <w:rFonts w:hint="eastAsia"/>
                <w:kern w:val="0"/>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trPr>
        <w:tc>
          <w:tcPr>
            <w:tcW w:w="13687" w:type="dxa"/>
            <w:gridSpan w:val="8"/>
          </w:tcPr>
          <w:p>
            <w:pPr>
              <w:pStyle w:val="77"/>
              <w:jc w:val="left"/>
              <w:rPr>
                <w:b/>
                <w:kern w:val="0"/>
              </w:rPr>
            </w:pPr>
            <w:r>
              <w:rPr>
                <w:bCs/>
                <w:kern w:val="0"/>
              </w:rPr>
              <w:t>HF medication group I</w:t>
            </w:r>
            <w:r>
              <w:rPr>
                <w:rFonts w:hint="eastAsia"/>
                <w:bCs/>
                <w:kern w:val="0"/>
              </w:rPr>
              <w:t>I</w:t>
            </w:r>
            <w:r>
              <w:rPr>
                <w:bCs/>
                <w:kern w:val="0"/>
              </w:rPr>
              <w:t xml:space="preserve"> - beta blocker or diuretics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3" w:hRule="atLeast"/>
        </w:trPr>
        <w:tc>
          <w:tcPr>
            <w:tcW w:w="2547" w:type="dxa"/>
          </w:tcPr>
          <w:p>
            <w:pPr>
              <w:pStyle w:val="77"/>
              <w:jc w:val="left"/>
              <w:rPr>
                <w:kern w:val="0"/>
              </w:rPr>
            </w:pPr>
            <w:r>
              <w:rPr>
                <w:kern w:val="0"/>
              </w:rPr>
              <w:t>Inactive</w:t>
            </w:r>
          </w:p>
        </w:tc>
        <w:tc>
          <w:tcPr>
            <w:tcW w:w="1417" w:type="dxa"/>
          </w:tcPr>
          <w:p>
            <w:pPr>
              <w:pStyle w:val="77"/>
              <w:jc w:val="left"/>
              <w:rPr>
                <w:kern w:val="0"/>
              </w:rPr>
            </w:pPr>
            <w:r>
              <w:rPr>
                <w:kern w:val="0"/>
              </w:rPr>
              <w:t>1880</w:t>
            </w:r>
          </w:p>
        </w:tc>
        <w:tc>
          <w:tcPr>
            <w:tcW w:w="1418" w:type="dxa"/>
          </w:tcPr>
          <w:p>
            <w:pPr>
              <w:pStyle w:val="77"/>
              <w:jc w:val="left"/>
              <w:rPr>
                <w:kern w:val="0"/>
              </w:rPr>
            </w:pPr>
            <w:r>
              <w:rPr>
                <w:kern w:val="0"/>
              </w:rPr>
              <w:t>102</w:t>
            </w:r>
          </w:p>
        </w:tc>
        <w:tc>
          <w:tcPr>
            <w:tcW w:w="1276" w:type="dxa"/>
          </w:tcPr>
          <w:p>
            <w:pPr>
              <w:pStyle w:val="77"/>
              <w:jc w:val="left"/>
              <w:rPr>
                <w:kern w:val="0"/>
              </w:rPr>
            </w:pPr>
            <w:r>
              <w:rPr>
                <w:kern w:val="0"/>
              </w:rPr>
              <w:t>55.5</w:t>
            </w:r>
          </w:p>
        </w:tc>
        <w:tc>
          <w:tcPr>
            <w:tcW w:w="2268" w:type="dxa"/>
            <w:vAlign w:val="center"/>
          </w:tcPr>
          <w:p>
            <w:pPr>
              <w:pStyle w:val="77"/>
              <w:jc w:val="left"/>
              <w:rPr>
                <w:kern w:val="0"/>
              </w:rPr>
            </w:pPr>
            <w:r>
              <w:rPr>
                <w:rFonts w:eastAsia="Malgun Gothic"/>
                <w:kern w:val="0"/>
              </w:rPr>
              <w:t>Reference</w:t>
            </w:r>
          </w:p>
        </w:tc>
        <w:tc>
          <w:tcPr>
            <w:tcW w:w="1275" w:type="dxa"/>
            <w:vAlign w:val="center"/>
          </w:tcPr>
          <w:p>
            <w:pPr>
              <w:pStyle w:val="77"/>
              <w:jc w:val="left"/>
              <w:rPr>
                <w:kern w:val="0"/>
              </w:rPr>
            </w:pPr>
          </w:p>
        </w:tc>
        <w:tc>
          <w:tcPr>
            <w:tcW w:w="2268" w:type="dxa"/>
            <w:vAlign w:val="center"/>
          </w:tcPr>
          <w:p>
            <w:pPr>
              <w:pStyle w:val="77"/>
              <w:jc w:val="left"/>
              <w:rPr>
                <w:kern w:val="0"/>
              </w:rPr>
            </w:pPr>
            <w:r>
              <w:rPr>
                <w:rFonts w:eastAsia="Malgun Gothic"/>
                <w:kern w:val="0"/>
              </w:rPr>
              <w:t>Reference</w:t>
            </w:r>
          </w:p>
        </w:tc>
        <w:tc>
          <w:tcPr>
            <w:tcW w:w="1218" w:type="dxa"/>
            <w:vAlign w:val="center"/>
          </w:tcPr>
          <w:p>
            <w:pPr>
              <w:pStyle w:val="77"/>
              <w:jc w:val="left"/>
              <w:rPr>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trPr>
        <w:tc>
          <w:tcPr>
            <w:tcW w:w="2547" w:type="dxa"/>
          </w:tcPr>
          <w:p>
            <w:pPr>
              <w:pStyle w:val="77"/>
              <w:jc w:val="left"/>
              <w:rPr>
                <w:kern w:val="0"/>
              </w:rPr>
            </w:pPr>
            <w:r>
              <w:rPr>
                <w:kern w:val="0"/>
              </w:rPr>
              <w:t>Insufficiently active</w:t>
            </w:r>
          </w:p>
        </w:tc>
        <w:tc>
          <w:tcPr>
            <w:tcW w:w="1417" w:type="dxa"/>
          </w:tcPr>
          <w:p>
            <w:pPr>
              <w:pStyle w:val="77"/>
              <w:jc w:val="left"/>
              <w:rPr>
                <w:kern w:val="0"/>
              </w:rPr>
            </w:pPr>
            <w:r>
              <w:rPr>
                <w:kern w:val="0"/>
              </w:rPr>
              <w:t>1104</w:t>
            </w:r>
          </w:p>
        </w:tc>
        <w:tc>
          <w:tcPr>
            <w:tcW w:w="1418" w:type="dxa"/>
          </w:tcPr>
          <w:p>
            <w:pPr>
              <w:pStyle w:val="77"/>
              <w:jc w:val="left"/>
              <w:rPr>
                <w:kern w:val="0"/>
              </w:rPr>
            </w:pPr>
            <w:r>
              <w:rPr>
                <w:kern w:val="0"/>
              </w:rPr>
              <w:t>31</w:t>
            </w:r>
          </w:p>
        </w:tc>
        <w:tc>
          <w:tcPr>
            <w:tcW w:w="1276" w:type="dxa"/>
          </w:tcPr>
          <w:p>
            <w:pPr>
              <w:pStyle w:val="77"/>
              <w:jc w:val="left"/>
              <w:rPr>
                <w:kern w:val="0"/>
              </w:rPr>
            </w:pPr>
            <w:r>
              <w:rPr>
                <w:kern w:val="0"/>
              </w:rPr>
              <w:t>26.8</w:t>
            </w:r>
          </w:p>
        </w:tc>
        <w:tc>
          <w:tcPr>
            <w:tcW w:w="2268" w:type="dxa"/>
          </w:tcPr>
          <w:p>
            <w:pPr>
              <w:pStyle w:val="77"/>
              <w:jc w:val="left"/>
              <w:rPr>
                <w:kern w:val="0"/>
              </w:rPr>
            </w:pPr>
            <w:r>
              <w:rPr>
                <w:kern w:val="0"/>
              </w:rPr>
              <w:t>0.48 (0.32–0.72)</w:t>
            </w:r>
          </w:p>
        </w:tc>
        <w:tc>
          <w:tcPr>
            <w:tcW w:w="1275" w:type="dxa"/>
          </w:tcPr>
          <w:p>
            <w:pPr>
              <w:pStyle w:val="77"/>
              <w:jc w:val="left"/>
              <w:rPr>
                <w:kern w:val="0"/>
              </w:rPr>
            </w:pPr>
            <w:r>
              <w:rPr>
                <w:kern w:val="0"/>
              </w:rPr>
              <w:t>&lt;0.001</w:t>
            </w:r>
          </w:p>
        </w:tc>
        <w:tc>
          <w:tcPr>
            <w:tcW w:w="2268" w:type="dxa"/>
          </w:tcPr>
          <w:p>
            <w:pPr>
              <w:pStyle w:val="77"/>
              <w:jc w:val="left"/>
              <w:rPr>
                <w:kern w:val="0"/>
              </w:rPr>
            </w:pPr>
            <w:r>
              <w:rPr>
                <w:kern w:val="0"/>
              </w:rPr>
              <w:t>0.73 (0.49–1.1)</w:t>
            </w:r>
          </w:p>
        </w:tc>
        <w:tc>
          <w:tcPr>
            <w:tcW w:w="1218" w:type="dxa"/>
          </w:tcPr>
          <w:p>
            <w:pPr>
              <w:pStyle w:val="77"/>
              <w:jc w:val="left"/>
              <w:rPr>
                <w:kern w:val="0"/>
              </w:rPr>
            </w:pPr>
            <w:r>
              <w:rPr>
                <w:kern w:val="0"/>
              </w:rPr>
              <w:t>0.14</w:t>
            </w:r>
            <w:r>
              <w:rPr>
                <w:rFonts w:hint="eastAsia"/>
                <w:kern w:val="0"/>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trPr>
        <w:tc>
          <w:tcPr>
            <w:tcW w:w="2547" w:type="dxa"/>
          </w:tcPr>
          <w:p>
            <w:pPr>
              <w:pStyle w:val="77"/>
              <w:jc w:val="left"/>
              <w:rPr>
                <w:kern w:val="0"/>
              </w:rPr>
            </w:pPr>
            <w:r>
              <w:rPr>
                <w:kern w:val="0"/>
              </w:rPr>
              <w:t>Active</w:t>
            </w:r>
          </w:p>
        </w:tc>
        <w:tc>
          <w:tcPr>
            <w:tcW w:w="1417" w:type="dxa"/>
          </w:tcPr>
          <w:p>
            <w:pPr>
              <w:pStyle w:val="77"/>
              <w:jc w:val="left"/>
              <w:rPr>
                <w:kern w:val="0"/>
              </w:rPr>
            </w:pPr>
            <w:r>
              <w:rPr>
                <w:kern w:val="0"/>
              </w:rPr>
              <w:t>998</w:t>
            </w:r>
          </w:p>
        </w:tc>
        <w:tc>
          <w:tcPr>
            <w:tcW w:w="1418" w:type="dxa"/>
          </w:tcPr>
          <w:p>
            <w:pPr>
              <w:pStyle w:val="77"/>
              <w:jc w:val="left"/>
              <w:rPr>
                <w:kern w:val="0"/>
              </w:rPr>
            </w:pPr>
            <w:r>
              <w:rPr>
                <w:kern w:val="0"/>
              </w:rPr>
              <w:t>24</w:t>
            </w:r>
          </w:p>
        </w:tc>
        <w:tc>
          <w:tcPr>
            <w:tcW w:w="1276" w:type="dxa"/>
          </w:tcPr>
          <w:p>
            <w:pPr>
              <w:pStyle w:val="77"/>
              <w:jc w:val="left"/>
              <w:rPr>
                <w:kern w:val="0"/>
              </w:rPr>
            </w:pPr>
            <w:r>
              <w:rPr>
                <w:kern w:val="0"/>
              </w:rPr>
              <w:t>22.5</w:t>
            </w:r>
          </w:p>
        </w:tc>
        <w:tc>
          <w:tcPr>
            <w:tcW w:w="2268" w:type="dxa"/>
          </w:tcPr>
          <w:p>
            <w:pPr>
              <w:pStyle w:val="77"/>
              <w:jc w:val="left"/>
              <w:rPr>
                <w:kern w:val="0"/>
              </w:rPr>
            </w:pPr>
            <w:r>
              <w:rPr>
                <w:kern w:val="0"/>
              </w:rPr>
              <w:t>0.40 (0.26–0.63)</w:t>
            </w:r>
          </w:p>
        </w:tc>
        <w:tc>
          <w:tcPr>
            <w:tcW w:w="1275" w:type="dxa"/>
          </w:tcPr>
          <w:p>
            <w:pPr>
              <w:pStyle w:val="77"/>
              <w:jc w:val="left"/>
              <w:rPr>
                <w:kern w:val="0"/>
              </w:rPr>
            </w:pPr>
            <w:r>
              <w:rPr>
                <w:kern w:val="0"/>
              </w:rPr>
              <w:t>&lt;0.001</w:t>
            </w:r>
          </w:p>
        </w:tc>
        <w:tc>
          <w:tcPr>
            <w:tcW w:w="2268" w:type="dxa"/>
          </w:tcPr>
          <w:p>
            <w:pPr>
              <w:pStyle w:val="77"/>
              <w:jc w:val="left"/>
              <w:rPr>
                <w:kern w:val="0"/>
              </w:rPr>
            </w:pPr>
            <w:r>
              <w:rPr>
                <w:kern w:val="0"/>
              </w:rPr>
              <w:t>0.72 (0.44–1.16)</w:t>
            </w:r>
          </w:p>
        </w:tc>
        <w:tc>
          <w:tcPr>
            <w:tcW w:w="1218" w:type="dxa"/>
          </w:tcPr>
          <w:p>
            <w:pPr>
              <w:pStyle w:val="77"/>
              <w:jc w:val="left"/>
              <w:rPr>
                <w:kern w:val="0"/>
              </w:rPr>
            </w:pPr>
            <w:r>
              <w:rPr>
                <w:kern w:val="0"/>
              </w:rPr>
              <w:t>0.18</w:t>
            </w:r>
            <w:r>
              <w:rPr>
                <w:rFonts w:hint="eastAsia"/>
                <w:kern w:val="0"/>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3" w:hRule="atLeast"/>
        </w:trPr>
        <w:tc>
          <w:tcPr>
            <w:tcW w:w="2547" w:type="dxa"/>
          </w:tcPr>
          <w:p>
            <w:pPr>
              <w:pStyle w:val="77"/>
              <w:jc w:val="left"/>
              <w:rPr>
                <w:kern w:val="0"/>
              </w:rPr>
            </w:pPr>
            <w:r>
              <w:rPr>
                <w:kern w:val="0"/>
              </w:rPr>
              <w:t>Highly active</w:t>
            </w:r>
          </w:p>
        </w:tc>
        <w:tc>
          <w:tcPr>
            <w:tcW w:w="1417" w:type="dxa"/>
          </w:tcPr>
          <w:p>
            <w:pPr>
              <w:pStyle w:val="77"/>
              <w:jc w:val="left"/>
              <w:rPr>
                <w:kern w:val="0"/>
              </w:rPr>
            </w:pPr>
            <w:r>
              <w:rPr>
                <w:kern w:val="0"/>
              </w:rPr>
              <w:t>617</w:t>
            </w:r>
          </w:p>
        </w:tc>
        <w:tc>
          <w:tcPr>
            <w:tcW w:w="1418" w:type="dxa"/>
          </w:tcPr>
          <w:p>
            <w:pPr>
              <w:pStyle w:val="77"/>
              <w:jc w:val="left"/>
              <w:rPr>
                <w:kern w:val="0"/>
              </w:rPr>
            </w:pPr>
            <w:r>
              <w:rPr>
                <w:kern w:val="0"/>
              </w:rPr>
              <w:t>11</w:t>
            </w:r>
          </w:p>
        </w:tc>
        <w:tc>
          <w:tcPr>
            <w:tcW w:w="1276" w:type="dxa"/>
          </w:tcPr>
          <w:p>
            <w:pPr>
              <w:pStyle w:val="77"/>
              <w:jc w:val="left"/>
              <w:rPr>
                <w:kern w:val="0"/>
              </w:rPr>
            </w:pPr>
            <w:r>
              <w:rPr>
                <w:kern w:val="0"/>
              </w:rPr>
              <w:t>16.5</w:t>
            </w:r>
          </w:p>
        </w:tc>
        <w:tc>
          <w:tcPr>
            <w:tcW w:w="2268" w:type="dxa"/>
          </w:tcPr>
          <w:p>
            <w:pPr>
              <w:pStyle w:val="77"/>
              <w:jc w:val="left"/>
              <w:rPr>
                <w:kern w:val="0"/>
              </w:rPr>
            </w:pPr>
            <w:r>
              <w:rPr>
                <w:kern w:val="0"/>
              </w:rPr>
              <w:t>0.30 (0.16–0.55)</w:t>
            </w:r>
          </w:p>
        </w:tc>
        <w:tc>
          <w:tcPr>
            <w:tcW w:w="1275" w:type="dxa"/>
          </w:tcPr>
          <w:p>
            <w:pPr>
              <w:pStyle w:val="77"/>
              <w:jc w:val="left"/>
              <w:rPr>
                <w:kern w:val="0"/>
              </w:rPr>
            </w:pPr>
            <w:r>
              <w:rPr>
                <w:kern w:val="0"/>
              </w:rPr>
              <w:t>&lt;0.001</w:t>
            </w:r>
          </w:p>
        </w:tc>
        <w:tc>
          <w:tcPr>
            <w:tcW w:w="2268" w:type="dxa"/>
          </w:tcPr>
          <w:p>
            <w:pPr>
              <w:pStyle w:val="77"/>
              <w:jc w:val="left"/>
              <w:rPr>
                <w:kern w:val="0"/>
              </w:rPr>
            </w:pPr>
            <w:r>
              <w:rPr>
                <w:kern w:val="0"/>
              </w:rPr>
              <w:t>0.54 (0.28–1.03)</w:t>
            </w:r>
          </w:p>
        </w:tc>
        <w:tc>
          <w:tcPr>
            <w:tcW w:w="1218" w:type="dxa"/>
          </w:tcPr>
          <w:p>
            <w:pPr>
              <w:pStyle w:val="77"/>
              <w:jc w:val="left"/>
              <w:rPr>
                <w:kern w:val="0"/>
              </w:rPr>
            </w:pPr>
            <w:r>
              <w:rPr>
                <w:kern w:val="0"/>
              </w:rPr>
              <w:t>0.06</w:t>
            </w:r>
            <w:r>
              <w:rPr>
                <w:rFonts w:hint="eastAsia"/>
                <w:kern w:val="0"/>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trPr>
        <w:tc>
          <w:tcPr>
            <w:tcW w:w="13687" w:type="dxa"/>
            <w:gridSpan w:val="8"/>
          </w:tcPr>
          <w:p>
            <w:pPr>
              <w:pStyle w:val="77"/>
              <w:jc w:val="left"/>
              <w:rPr>
                <w:bCs/>
                <w:kern w:val="0"/>
              </w:rPr>
            </w:pPr>
            <w:r>
              <w:rPr>
                <w:bCs/>
                <w:kern w:val="0"/>
                <w:szCs w:val="24"/>
              </w:rPr>
              <w:t xml:space="preserve">HF </w:t>
            </w:r>
            <w:r>
              <w:rPr>
                <w:bCs/>
                <w:kern w:val="0"/>
              </w:rPr>
              <w:t>medication group</w:t>
            </w:r>
            <w:r>
              <w:rPr>
                <w:bCs/>
                <w:kern w:val="0"/>
                <w:szCs w:val="24"/>
              </w:rPr>
              <w:t xml:space="preserve"> </w:t>
            </w:r>
            <w:r>
              <w:rPr>
                <w:rFonts w:hint="eastAsia"/>
                <w:bCs/>
                <w:kern w:val="0"/>
                <w:szCs w:val="24"/>
              </w:rPr>
              <w:t>III</w:t>
            </w:r>
            <w:r>
              <w:rPr>
                <w:bCs/>
                <w:kern w:val="0"/>
                <w:szCs w:val="24"/>
              </w:rPr>
              <w:t xml:space="preserve"> - spironolactone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trPr>
        <w:tc>
          <w:tcPr>
            <w:tcW w:w="2547" w:type="dxa"/>
          </w:tcPr>
          <w:p>
            <w:pPr>
              <w:pStyle w:val="77"/>
              <w:jc w:val="left"/>
              <w:rPr>
                <w:kern w:val="0"/>
              </w:rPr>
            </w:pPr>
            <w:r>
              <w:rPr>
                <w:kern w:val="0"/>
              </w:rPr>
              <w:t>Inactive</w:t>
            </w:r>
          </w:p>
        </w:tc>
        <w:tc>
          <w:tcPr>
            <w:tcW w:w="1417" w:type="dxa"/>
          </w:tcPr>
          <w:p>
            <w:pPr>
              <w:pStyle w:val="77"/>
              <w:jc w:val="left"/>
              <w:rPr>
                <w:kern w:val="0"/>
              </w:rPr>
            </w:pPr>
            <w:r>
              <w:rPr>
                <w:kern w:val="0"/>
              </w:rPr>
              <w:t>1904</w:t>
            </w:r>
          </w:p>
        </w:tc>
        <w:tc>
          <w:tcPr>
            <w:tcW w:w="1418" w:type="dxa"/>
          </w:tcPr>
          <w:p>
            <w:pPr>
              <w:pStyle w:val="77"/>
              <w:jc w:val="left"/>
              <w:rPr>
                <w:kern w:val="0"/>
              </w:rPr>
            </w:pPr>
            <w:r>
              <w:rPr>
                <w:kern w:val="0"/>
              </w:rPr>
              <w:t>153</w:t>
            </w:r>
          </w:p>
        </w:tc>
        <w:tc>
          <w:tcPr>
            <w:tcW w:w="1276" w:type="dxa"/>
          </w:tcPr>
          <w:p>
            <w:pPr>
              <w:pStyle w:val="77"/>
              <w:jc w:val="left"/>
              <w:rPr>
                <w:kern w:val="0"/>
              </w:rPr>
            </w:pPr>
            <w:r>
              <w:rPr>
                <w:kern w:val="0"/>
              </w:rPr>
              <w:t>82.4</w:t>
            </w:r>
          </w:p>
        </w:tc>
        <w:tc>
          <w:tcPr>
            <w:tcW w:w="2268" w:type="dxa"/>
            <w:vAlign w:val="center"/>
          </w:tcPr>
          <w:p>
            <w:pPr>
              <w:pStyle w:val="77"/>
              <w:jc w:val="left"/>
              <w:rPr>
                <w:kern w:val="0"/>
              </w:rPr>
            </w:pPr>
            <w:r>
              <w:rPr>
                <w:rFonts w:eastAsia="Malgun Gothic"/>
                <w:kern w:val="0"/>
              </w:rPr>
              <w:t>Reference</w:t>
            </w:r>
          </w:p>
        </w:tc>
        <w:tc>
          <w:tcPr>
            <w:tcW w:w="1275" w:type="dxa"/>
            <w:vAlign w:val="center"/>
          </w:tcPr>
          <w:p>
            <w:pPr>
              <w:pStyle w:val="77"/>
              <w:jc w:val="left"/>
              <w:rPr>
                <w:kern w:val="0"/>
              </w:rPr>
            </w:pPr>
          </w:p>
        </w:tc>
        <w:tc>
          <w:tcPr>
            <w:tcW w:w="2268" w:type="dxa"/>
            <w:vAlign w:val="center"/>
          </w:tcPr>
          <w:p>
            <w:pPr>
              <w:pStyle w:val="77"/>
              <w:jc w:val="left"/>
              <w:rPr>
                <w:kern w:val="0"/>
              </w:rPr>
            </w:pPr>
            <w:r>
              <w:rPr>
                <w:rFonts w:eastAsia="Malgun Gothic"/>
                <w:kern w:val="0"/>
              </w:rPr>
              <w:t>Reference</w:t>
            </w:r>
          </w:p>
        </w:tc>
        <w:tc>
          <w:tcPr>
            <w:tcW w:w="1218" w:type="dxa"/>
            <w:vAlign w:val="center"/>
          </w:tcPr>
          <w:p>
            <w:pPr>
              <w:pStyle w:val="77"/>
              <w:jc w:val="left"/>
              <w:rPr>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3" w:hRule="atLeast"/>
        </w:trPr>
        <w:tc>
          <w:tcPr>
            <w:tcW w:w="2547" w:type="dxa"/>
          </w:tcPr>
          <w:p>
            <w:pPr>
              <w:pStyle w:val="77"/>
              <w:jc w:val="left"/>
              <w:rPr>
                <w:kern w:val="0"/>
              </w:rPr>
            </w:pPr>
            <w:r>
              <w:rPr>
                <w:kern w:val="0"/>
              </w:rPr>
              <w:t>Insufficiently active</w:t>
            </w:r>
          </w:p>
        </w:tc>
        <w:tc>
          <w:tcPr>
            <w:tcW w:w="1417" w:type="dxa"/>
          </w:tcPr>
          <w:p>
            <w:pPr>
              <w:pStyle w:val="77"/>
              <w:jc w:val="left"/>
              <w:rPr>
                <w:kern w:val="0"/>
              </w:rPr>
            </w:pPr>
            <w:r>
              <w:rPr>
                <w:kern w:val="0"/>
              </w:rPr>
              <w:t>968</w:t>
            </w:r>
          </w:p>
        </w:tc>
        <w:tc>
          <w:tcPr>
            <w:tcW w:w="1418" w:type="dxa"/>
          </w:tcPr>
          <w:p>
            <w:pPr>
              <w:pStyle w:val="77"/>
              <w:jc w:val="left"/>
              <w:rPr>
                <w:kern w:val="0"/>
              </w:rPr>
            </w:pPr>
            <w:r>
              <w:rPr>
                <w:kern w:val="0"/>
              </w:rPr>
              <w:t>61</w:t>
            </w:r>
          </w:p>
        </w:tc>
        <w:tc>
          <w:tcPr>
            <w:tcW w:w="1276" w:type="dxa"/>
          </w:tcPr>
          <w:p>
            <w:pPr>
              <w:pStyle w:val="77"/>
              <w:jc w:val="left"/>
              <w:rPr>
                <w:kern w:val="0"/>
              </w:rPr>
            </w:pPr>
            <w:r>
              <w:rPr>
                <w:kern w:val="0"/>
              </w:rPr>
              <w:t>61.6</w:t>
            </w:r>
          </w:p>
        </w:tc>
        <w:tc>
          <w:tcPr>
            <w:tcW w:w="2268" w:type="dxa"/>
          </w:tcPr>
          <w:p>
            <w:pPr>
              <w:pStyle w:val="77"/>
              <w:jc w:val="left"/>
              <w:rPr>
                <w:kern w:val="0"/>
              </w:rPr>
            </w:pPr>
            <w:r>
              <w:rPr>
                <w:kern w:val="0"/>
              </w:rPr>
              <w:t>0.74 (0.55–1.00)</w:t>
            </w:r>
          </w:p>
        </w:tc>
        <w:tc>
          <w:tcPr>
            <w:tcW w:w="1275" w:type="dxa"/>
          </w:tcPr>
          <w:p>
            <w:pPr>
              <w:pStyle w:val="77"/>
              <w:jc w:val="left"/>
              <w:rPr>
                <w:kern w:val="0"/>
              </w:rPr>
            </w:pPr>
            <w:r>
              <w:rPr>
                <w:kern w:val="0"/>
              </w:rPr>
              <w:t>0.05</w:t>
            </w:r>
            <w:r>
              <w:rPr>
                <w:rFonts w:hint="eastAsia"/>
                <w:kern w:val="0"/>
              </w:rPr>
              <w:t>0</w:t>
            </w:r>
          </w:p>
        </w:tc>
        <w:tc>
          <w:tcPr>
            <w:tcW w:w="2268" w:type="dxa"/>
          </w:tcPr>
          <w:p>
            <w:pPr>
              <w:pStyle w:val="77"/>
              <w:jc w:val="left"/>
              <w:rPr>
                <w:kern w:val="0"/>
              </w:rPr>
            </w:pPr>
            <w:r>
              <w:rPr>
                <w:kern w:val="0"/>
              </w:rPr>
              <w:t>0.98 (0.72–1.33)</w:t>
            </w:r>
          </w:p>
        </w:tc>
        <w:tc>
          <w:tcPr>
            <w:tcW w:w="1218" w:type="dxa"/>
          </w:tcPr>
          <w:p>
            <w:pPr>
              <w:pStyle w:val="77"/>
              <w:jc w:val="left"/>
              <w:rPr>
                <w:kern w:val="0"/>
              </w:rPr>
            </w:pPr>
            <w:r>
              <w:rPr>
                <w:kern w:val="0"/>
              </w:rPr>
              <w:t>0.9</w:t>
            </w:r>
            <w:r>
              <w:rPr>
                <w:rFonts w:hint="eastAsia"/>
                <w:kern w:val="0"/>
              </w:rPr>
              <w:t>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trPr>
        <w:tc>
          <w:tcPr>
            <w:tcW w:w="2547" w:type="dxa"/>
          </w:tcPr>
          <w:p>
            <w:pPr>
              <w:pStyle w:val="77"/>
              <w:jc w:val="left"/>
              <w:rPr>
                <w:kern w:val="0"/>
              </w:rPr>
            </w:pPr>
            <w:r>
              <w:rPr>
                <w:kern w:val="0"/>
              </w:rPr>
              <w:t>Active</w:t>
            </w:r>
          </w:p>
        </w:tc>
        <w:tc>
          <w:tcPr>
            <w:tcW w:w="1417" w:type="dxa"/>
          </w:tcPr>
          <w:p>
            <w:pPr>
              <w:pStyle w:val="77"/>
              <w:jc w:val="left"/>
              <w:rPr>
                <w:kern w:val="0"/>
              </w:rPr>
            </w:pPr>
            <w:r>
              <w:rPr>
                <w:kern w:val="0"/>
              </w:rPr>
              <w:t>754</w:t>
            </w:r>
          </w:p>
        </w:tc>
        <w:tc>
          <w:tcPr>
            <w:tcW w:w="1418" w:type="dxa"/>
          </w:tcPr>
          <w:p>
            <w:pPr>
              <w:pStyle w:val="77"/>
              <w:jc w:val="left"/>
              <w:rPr>
                <w:kern w:val="0"/>
              </w:rPr>
            </w:pPr>
            <w:r>
              <w:rPr>
                <w:kern w:val="0"/>
              </w:rPr>
              <w:t>53</w:t>
            </w:r>
          </w:p>
        </w:tc>
        <w:tc>
          <w:tcPr>
            <w:tcW w:w="1276" w:type="dxa"/>
          </w:tcPr>
          <w:p>
            <w:pPr>
              <w:pStyle w:val="77"/>
              <w:jc w:val="left"/>
              <w:rPr>
                <w:kern w:val="0"/>
              </w:rPr>
            </w:pPr>
            <w:r>
              <w:rPr>
                <w:kern w:val="0"/>
              </w:rPr>
              <w:t>69</w:t>
            </w:r>
          </w:p>
        </w:tc>
        <w:tc>
          <w:tcPr>
            <w:tcW w:w="2268" w:type="dxa"/>
          </w:tcPr>
          <w:p>
            <w:pPr>
              <w:pStyle w:val="77"/>
              <w:jc w:val="left"/>
              <w:rPr>
                <w:kern w:val="0"/>
              </w:rPr>
            </w:pPr>
            <w:r>
              <w:rPr>
                <w:kern w:val="0"/>
              </w:rPr>
              <w:t>0.83 (0.61–1.14)</w:t>
            </w:r>
          </w:p>
        </w:tc>
        <w:tc>
          <w:tcPr>
            <w:tcW w:w="1275" w:type="dxa"/>
          </w:tcPr>
          <w:p>
            <w:pPr>
              <w:pStyle w:val="77"/>
              <w:jc w:val="left"/>
              <w:rPr>
                <w:kern w:val="0"/>
              </w:rPr>
            </w:pPr>
            <w:r>
              <w:rPr>
                <w:kern w:val="0"/>
              </w:rPr>
              <w:t>0.253</w:t>
            </w:r>
          </w:p>
        </w:tc>
        <w:tc>
          <w:tcPr>
            <w:tcW w:w="2268" w:type="dxa"/>
          </w:tcPr>
          <w:p>
            <w:pPr>
              <w:pStyle w:val="77"/>
              <w:jc w:val="left"/>
              <w:rPr>
                <w:kern w:val="0"/>
              </w:rPr>
            </w:pPr>
            <w:r>
              <w:rPr>
                <w:kern w:val="0"/>
              </w:rPr>
              <w:t>1.14 (0.82–1.58)</w:t>
            </w:r>
          </w:p>
        </w:tc>
        <w:tc>
          <w:tcPr>
            <w:tcW w:w="1218" w:type="dxa"/>
          </w:tcPr>
          <w:p>
            <w:pPr>
              <w:pStyle w:val="77"/>
              <w:jc w:val="left"/>
              <w:rPr>
                <w:kern w:val="0"/>
              </w:rPr>
            </w:pPr>
            <w:r>
              <w:rPr>
                <w:kern w:val="0"/>
              </w:rPr>
              <w:t>0.45</w:t>
            </w:r>
            <w:r>
              <w:rPr>
                <w:rFonts w:hint="eastAsia"/>
                <w:kern w:val="0"/>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trPr>
        <w:tc>
          <w:tcPr>
            <w:tcW w:w="2547" w:type="dxa"/>
          </w:tcPr>
          <w:p>
            <w:pPr>
              <w:pStyle w:val="77"/>
              <w:jc w:val="left"/>
              <w:rPr>
                <w:kern w:val="0"/>
              </w:rPr>
            </w:pPr>
            <w:r>
              <w:rPr>
                <w:kern w:val="0"/>
              </w:rPr>
              <w:t>Highly active</w:t>
            </w:r>
          </w:p>
        </w:tc>
        <w:tc>
          <w:tcPr>
            <w:tcW w:w="1417" w:type="dxa"/>
          </w:tcPr>
          <w:p>
            <w:pPr>
              <w:pStyle w:val="77"/>
              <w:jc w:val="left"/>
              <w:rPr>
                <w:kern w:val="0"/>
              </w:rPr>
            </w:pPr>
            <w:r>
              <w:rPr>
                <w:kern w:val="0"/>
              </w:rPr>
              <w:t>407</w:t>
            </w:r>
          </w:p>
        </w:tc>
        <w:tc>
          <w:tcPr>
            <w:tcW w:w="1418" w:type="dxa"/>
          </w:tcPr>
          <w:p>
            <w:pPr>
              <w:pStyle w:val="77"/>
              <w:jc w:val="left"/>
              <w:rPr>
                <w:kern w:val="0"/>
              </w:rPr>
            </w:pPr>
            <w:r>
              <w:rPr>
                <w:kern w:val="0"/>
              </w:rPr>
              <w:t>18</w:t>
            </w:r>
          </w:p>
        </w:tc>
        <w:tc>
          <w:tcPr>
            <w:tcW w:w="1276" w:type="dxa"/>
          </w:tcPr>
          <w:p>
            <w:pPr>
              <w:pStyle w:val="77"/>
              <w:jc w:val="left"/>
              <w:rPr>
                <w:kern w:val="0"/>
              </w:rPr>
            </w:pPr>
            <w:r>
              <w:rPr>
                <w:kern w:val="0"/>
              </w:rPr>
              <w:t>41.2</w:t>
            </w:r>
          </w:p>
        </w:tc>
        <w:tc>
          <w:tcPr>
            <w:tcW w:w="2268" w:type="dxa"/>
          </w:tcPr>
          <w:p>
            <w:pPr>
              <w:pStyle w:val="77"/>
              <w:jc w:val="left"/>
              <w:rPr>
                <w:kern w:val="0"/>
              </w:rPr>
            </w:pPr>
            <w:r>
              <w:rPr>
                <w:kern w:val="0"/>
              </w:rPr>
              <w:t>0.50 (0.30–0.81)</w:t>
            </w:r>
          </w:p>
        </w:tc>
        <w:tc>
          <w:tcPr>
            <w:tcW w:w="1275" w:type="dxa"/>
          </w:tcPr>
          <w:p>
            <w:pPr>
              <w:pStyle w:val="77"/>
              <w:jc w:val="left"/>
              <w:rPr>
                <w:kern w:val="0"/>
              </w:rPr>
            </w:pPr>
            <w:r>
              <w:rPr>
                <w:kern w:val="0"/>
              </w:rPr>
              <w:t>0.005</w:t>
            </w:r>
          </w:p>
        </w:tc>
        <w:tc>
          <w:tcPr>
            <w:tcW w:w="2268" w:type="dxa"/>
          </w:tcPr>
          <w:p>
            <w:pPr>
              <w:pStyle w:val="77"/>
              <w:jc w:val="left"/>
              <w:rPr>
                <w:kern w:val="0"/>
              </w:rPr>
            </w:pPr>
            <w:r>
              <w:rPr>
                <w:kern w:val="0"/>
              </w:rPr>
              <w:t>0.79 (0.47–1.34)</w:t>
            </w:r>
          </w:p>
        </w:tc>
        <w:tc>
          <w:tcPr>
            <w:tcW w:w="1218" w:type="dxa"/>
          </w:tcPr>
          <w:p>
            <w:pPr>
              <w:pStyle w:val="77"/>
              <w:jc w:val="left"/>
              <w:rPr>
                <w:kern w:val="0"/>
              </w:rPr>
            </w:pPr>
            <w:r>
              <w:rPr>
                <w:kern w:val="0"/>
              </w:rPr>
              <w:t>0.38</w:t>
            </w:r>
            <w:r>
              <w:rPr>
                <w:rFonts w:hint="eastAsia"/>
                <w:kern w:val="0"/>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trPr>
        <w:tc>
          <w:tcPr>
            <w:tcW w:w="13687" w:type="dxa"/>
            <w:gridSpan w:val="8"/>
          </w:tcPr>
          <w:p>
            <w:pPr>
              <w:pStyle w:val="77"/>
              <w:jc w:val="left"/>
              <w:rPr>
                <w:kern w:val="0"/>
              </w:rPr>
            </w:pPr>
            <w:r>
              <w:rPr>
                <w:kern w:val="0"/>
              </w:rPr>
              <w:t>Non-CVD-related mortality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trPr>
        <w:tc>
          <w:tcPr>
            <w:tcW w:w="13687" w:type="dxa"/>
            <w:gridSpan w:val="8"/>
          </w:tcPr>
          <w:p>
            <w:pPr>
              <w:pStyle w:val="77"/>
              <w:jc w:val="left"/>
              <w:rPr>
                <w:b/>
                <w:bCs/>
                <w:kern w:val="0"/>
              </w:rPr>
            </w:pPr>
            <w:r>
              <w:rPr>
                <w:bCs/>
                <w:kern w:val="0"/>
              </w:rPr>
              <w:t>HF medication group I - none or ACE inhibitor/ARB</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trPr>
        <w:tc>
          <w:tcPr>
            <w:tcW w:w="2547" w:type="dxa"/>
          </w:tcPr>
          <w:p>
            <w:pPr>
              <w:pStyle w:val="77"/>
              <w:jc w:val="left"/>
              <w:rPr>
                <w:kern w:val="0"/>
              </w:rPr>
            </w:pPr>
            <w:r>
              <w:rPr>
                <w:kern w:val="0"/>
              </w:rPr>
              <w:t>Inactive</w:t>
            </w:r>
          </w:p>
        </w:tc>
        <w:tc>
          <w:tcPr>
            <w:tcW w:w="1417" w:type="dxa"/>
          </w:tcPr>
          <w:p>
            <w:pPr>
              <w:pStyle w:val="77"/>
              <w:jc w:val="left"/>
              <w:rPr>
                <w:kern w:val="0"/>
              </w:rPr>
            </w:pPr>
            <w:r>
              <w:rPr>
                <w:kern w:val="0"/>
              </w:rPr>
              <w:t>152</w:t>
            </w:r>
          </w:p>
        </w:tc>
        <w:tc>
          <w:tcPr>
            <w:tcW w:w="1418" w:type="dxa"/>
          </w:tcPr>
          <w:p>
            <w:pPr>
              <w:pStyle w:val="77"/>
              <w:jc w:val="left"/>
              <w:rPr>
                <w:kern w:val="0"/>
              </w:rPr>
            </w:pPr>
            <w:r>
              <w:rPr>
                <w:kern w:val="0"/>
              </w:rPr>
              <w:t>26</w:t>
            </w:r>
          </w:p>
        </w:tc>
        <w:tc>
          <w:tcPr>
            <w:tcW w:w="1276" w:type="dxa"/>
          </w:tcPr>
          <w:p>
            <w:pPr>
              <w:pStyle w:val="77"/>
              <w:jc w:val="left"/>
              <w:rPr>
                <w:kern w:val="0"/>
              </w:rPr>
            </w:pPr>
            <w:r>
              <w:rPr>
                <w:kern w:val="0"/>
              </w:rPr>
              <w:t>5.8</w:t>
            </w:r>
          </w:p>
        </w:tc>
        <w:tc>
          <w:tcPr>
            <w:tcW w:w="2268" w:type="dxa"/>
            <w:vAlign w:val="center"/>
          </w:tcPr>
          <w:p>
            <w:pPr>
              <w:pStyle w:val="77"/>
              <w:jc w:val="left"/>
              <w:rPr>
                <w:kern w:val="0"/>
              </w:rPr>
            </w:pPr>
            <w:r>
              <w:rPr>
                <w:rFonts w:eastAsia="Malgun Gothic"/>
                <w:kern w:val="0"/>
              </w:rPr>
              <w:t>Reference</w:t>
            </w:r>
          </w:p>
        </w:tc>
        <w:tc>
          <w:tcPr>
            <w:tcW w:w="1275" w:type="dxa"/>
            <w:vAlign w:val="center"/>
          </w:tcPr>
          <w:p>
            <w:pPr>
              <w:pStyle w:val="77"/>
              <w:jc w:val="left"/>
              <w:rPr>
                <w:kern w:val="0"/>
              </w:rPr>
            </w:pPr>
          </w:p>
        </w:tc>
        <w:tc>
          <w:tcPr>
            <w:tcW w:w="2268" w:type="dxa"/>
            <w:vAlign w:val="center"/>
          </w:tcPr>
          <w:p>
            <w:pPr>
              <w:pStyle w:val="77"/>
              <w:jc w:val="left"/>
              <w:rPr>
                <w:kern w:val="0"/>
              </w:rPr>
            </w:pPr>
            <w:r>
              <w:rPr>
                <w:rFonts w:eastAsia="Malgun Gothic"/>
                <w:kern w:val="0"/>
              </w:rPr>
              <w:t>Reference</w:t>
            </w:r>
          </w:p>
        </w:tc>
        <w:tc>
          <w:tcPr>
            <w:tcW w:w="1218" w:type="dxa"/>
            <w:vAlign w:val="center"/>
          </w:tcPr>
          <w:p>
            <w:pPr>
              <w:pStyle w:val="77"/>
              <w:jc w:val="left"/>
              <w:rPr>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trPr>
        <w:tc>
          <w:tcPr>
            <w:tcW w:w="2547" w:type="dxa"/>
          </w:tcPr>
          <w:p>
            <w:pPr>
              <w:pStyle w:val="77"/>
              <w:jc w:val="left"/>
              <w:rPr>
                <w:kern w:val="0"/>
              </w:rPr>
            </w:pPr>
            <w:r>
              <w:rPr>
                <w:kern w:val="0"/>
              </w:rPr>
              <w:t>Insufficiently active</w:t>
            </w:r>
          </w:p>
        </w:tc>
        <w:tc>
          <w:tcPr>
            <w:tcW w:w="1417" w:type="dxa"/>
          </w:tcPr>
          <w:p>
            <w:pPr>
              <w:pStyle w:val="77"/>
              <w:jc w:val="left"/>
              <w:rPr>
                <w:kern w:val="0"/>
              </w:rPr>
            </w:pPr>
            <w:r>
              <w:rPr>
                <w:kern w:val="0"/>
              </w:rPr>
              <w:t>82</w:t>
            </w:r>
          </w:p>
        </w:tc>
        <w:tc>
          <w:tcPr>
            <w:tcW w:w="1418" w:type="dxa"/>
          </w:tcPr>
          <w:p>
            <w:pPr>
              <w:pStyle w:val="77"/>
              <w:jc w:val="left"/>
              <w:rPr>
                <w:kern w:val="0"/>
              </w:rPr>
            </w:pPr>
            <w:r>
              <w:rPr>
                <w:kern w:val="0"/>
              </w:rPr>
              <w:t>8</w:t>
            </w:r>
          </w:p>
        </w:tc>
        <w:tc>
          <w:tcPr>
            <w:tcW w:w="1276" w:type="dxa"/>
          </w:tcPr>
          <w:p>
            <w:pPr>
              <w:pStyle w:val="77"/>
              <w:jc w:val="left"/>
              <w:rPr>
                <w:kern w:val="0"/>
              </w:rPr>
            </w:pPr>
            <w:r>
              <w:rPr>
                <w:kern w:val="0"/>
              </w:rPr>
              <w:t>3.4</w:t>
            </w:r>
          </w:p>
        </w:tc>
        <w:tc>
          <w:tcPr>
            <w:tcW w:w="2268" w:type="dxa"/>
          </w:tcPr>
          <w:p>
            <w:pPr>
              <w:pStyle w:val="77"/>
              <w:jc w:val="left"/>
              <w:rPr>
                <w:kern w:val="0"/>
              </w:rPr>
            </w:pPr>
            <w:r>
              <w:rPr>
                <w:kern w:val="0"/>
              </w:rPr>
              <w:t>0.58 (0.26–1.27)</w:t>
            </w:r>
          </w:p>
        </w:tc>
        <w:tc>
          <w:tcPr>
            <w:tcW w:w="1275" w:type="dxa"/>
          </w:tcPr>
          <w:p>
            <w:pPr>
              <w:pStyle w:val="77"/>
              <w:jc w:val="left"/>
              <w:rPr>
                <w:kern w:val="0"/>
              </w:rPr>
            </w:pPr>
            <w:r>
              <w:rPr>
                <w:kern w:val="0"/>
              </w:rPr>
              <w:t>0.173</w:t>
            </w:r>
          </w:p>
        </w:tc>
        <w:tc>
          <w:tcPr>
            <w:tcW w:w="2268" w:type="dxa"/>
          </w:tcPr>
          <w:p>
            <w:pPr>
              <w:pStyle w:val="77"/>
              <w:jc w:val="left"/>
              <w:rPr>
                <w:kern w:val="0"/>
              </w:rPr>
            </w:pPr>
            <w:r>
              <w:rPr>
                <w:kern w:val="0"/>
              </w:rPr>
              <w:t>0.99 (0.34–2.85)</w:t>
            </w:r>
          </w:p>
        </w:tc>
        <w:tc>
          <w:tcPr>
            <w:tcW w:w="1218" w:type="dxa"/>
          </w:tcPr>
          <w:p>
            <w:pPr>
              <w:pStyle w:val="77"/>
              <w:jc w:val="left"/>
              <w:rPr>
                <w:kern w:val="0"/>
              </w:rPr>
            </w:pPr>
            <w:r>
              <w:rPr>
                <w:kern w:val="0"/>
              </w:rPr>
              <w:t>0.98</w:t>
            </w:r>
            <w:r>
              <w:rPr>
                <w:rFonts w:hint="eastAsia"/>
                <w:kern w:val="0"/>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3" w:hRule="atLeast"/>
        </w:trPr>
        <w:tc>
          <w:tcPr>
            <w:tcW w:w="2547" w:type="dxa"/>
          </w:tcPr>
          <w:p>
            <w:pPr>
              <w:pStyle w:val="77"/>
              <w:jc w:val="left"/>
              <w:rPr>
                <w:kern w:val="0"/>
              </w:rPr>
            </w:pPr>
            <w:r>
              <w:rPr>
                <w:kern w:val="0"/>
              </w:rPr>
              <w:t>Active</w:t>
            </w:r>
          </w:p>
        </w:tc>
        <w:tc>
          <w:tcPr>
            <w:tcW w:w="1417" w:type="dxa"/>
          </w:tcPr>
          <w:p>
            <w:pPr>
              <w:pStyle w:val="77"/>
              <w:jc w:val="left"/>
              <w:rPr>
                <w:kern w:val="0"/>
              </w:rPr>
            </w:pPr>
            <w:r>
              <w:rPr>
                <w:kern w:val="0"/>
              </w:rPr>
              <w:t>73</w:t>
            </w:r>
          </w:p>
        </w:tc>
        <w:tc>
          <w:tcPr>
            <w:tcW w:w="1418" w:type="dxa"/>
          </w:tcPr>
          <w:p>
            <w:pPr>
              <w:pStyle w:val="77"/>
              <w:jc w:val="left"/>
              <w:rPr>
                <w:kern w:val="0"/>
              </w:rPr>
            </w:pPr>
            <w:r>
              <w:rPr>
                <w:kern w:val="0"/>
              </w:rPr>
              <w:t>1</w:t>
            </w:r>
          </w:p>
        </w:tc>
        <w:tc>
          <w:tcPr>
            <w:tcW w:w="1276" w:type="dxa"/>
          </w:tcPr>
          <w:p>
            <w:pPr>
              <w:pStyle w:val="77"/>
              <w:jc w:val="left"/>
              <w:rPr>
                <w:kern w:val="0"/>
              </w:rPr>
            </w:pPr>
            <w:r>
              <w:rPr>
                <w:kern w:val="0"/>
              </w:rPr>
              <w:t>4.2</w:t>
            </w:r>
          </w:p>
        </w:tc>
        <w:tc>
          <w:tcPr>
            <w:tcW w:w="2268" w:type="dxa"/>
          </w:tcPr>
          <w:p>
            <w:pPr>
              <w:pStyle w:val="77"/>
              <w:jc w:val="left"/>
              <w:rPr>
                <w:kern w:val="0"/>
              </w:rPr>
            </w:pPr>
            <w:r>
              <w:rPr>
                <w:kern w:val="0"/>
              </w:rPr>
              <w:t>0.07 (0.01–0.55)</w:t>
            </w:r>
          </w:p>
        </w:tc>
        <w:tc>
          <w:tcPr>
            <w:tcW w:w="1275" w:type="dxa"/>
          </w:tcPr>
          <w:p>
            <w:pPr>
              <w:pStyle w:val="77"/>
              <w:jc w:val="left"/>
              <w:rPr>
                <w:kern w:val="0"/>
              </w:rPr>
            </w:pPr>
            <w:r>
              <w:rPr>
                <w:kern w:val="0"/>
              </w:rPr>
              <w:t>0.011</w:t>
            </w:r>
          </w:p>
        </w:tc>
        <w:tc>
          <w:tcPr>
            <w:tcW w:w="2268" w:type="dxa"/>
          </w:tcPr>
          <w:p>
            <w:pPr>
              <w:pStyle w:val="77"/>
              <w:jc w:val="left"/>
              <w:rPr>
                <w:kern w:val="0"/>
              </w:rPr>
            </w:pPr>
            <w:r>
              <w:rPr>
                <w:kern w:val="0"/>
              </w:rPr>
              <w:t>0.16 (0.02–1.71)</w:t>
            </w:r>
          </w:p>
        </w:tc>
        <w:tc>
          <w:tcPr>
            <w:tcW w:w="1218" w:type="dxa"/>
          </w:tcPr>
          <w:p>
            <w:pPr>
              <w:pStyle w:val="77"/>
              <w:jc w:val="left"/>
              <w:rPr>
                <w:kern w:val="0"/>
              </w:rPr>
            </w:pPr>
            <w:r>
              <w:rPr>
                <w:kern w:val="0"/>
              </w:rPr>
              <w:t>0.13</w:t>
            </w:r>
            <w:r>
              <w:rPr>
                <w:rFonts w:hint="eastAsia"/>
                <w:kern w:val="0"/>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trPr>
        <w:tc>
          <w:tcPr>
            <w:tcW w:w="2547" w:type="dxa"/>
          </w:tcPr>
          <w:p>
            <w:pPr>
              <w:pStyle w:val="77"/>
              <w:jc w:val="left"/>
              <w:rPr>
                <w:kern w:val="0"/>
              </w:rPr>
            </w:pPr>
            <w:r>
              <w:rPr>
                <w:kern w:val="0"/>
              </w:rPr>
              <w:t>Highly active</w:t>
            </w:r>
          </w:p>
        </w:tc>
        <w:tc>
          <w:tcPr>
            <w:tcW w:w="1417" w:type="dxa"/>
          </w:tcPr>
          <w:p>
            <w:pPr>
              <w:pStyle w:val="77"/>
              <w:jc w:val="left"/>
              <w:rPr>
                <w:kern w:val="0"/>
              </w:rPr>
            </w:pPr>
            <w:r>
              <w:rPr>
                <w:kern w:val="0"/>
              </w:rPr>
              <w:t>43</w:t>
            </w:r>
          </w:p>
        </w:tc>
        <w:tc>
          <w:tcPr>
            <w:tcW w:w="1418" w:type="dxa"/>
          </w:tcPr>
          <w:p>
            <w:pPr>
              <w:pStyle w:val="77"/>
              <w:jc w:val="left"/>
              <w:rPr>
                <w:kern w:val="0"/>
              </w:rPr>
            </w:pPr>
            <w:r>
              <w:rPr>
                <w:kern w:val="0"/>
              </w:rPr>
              <w:t>1</w:t>
            </w:r>
          </w:p>
        </w:tc>
        <w:tc>
          <w:tcPr>
            <w:tcW w:w="1276" w:type="dxa"/>
          </w:tcPr>
          <w:p>
            <w:pPr>
              <w:pStyle w:val="77"/>
              <w:jc w:val="left"/>
              <w:rPr>
                <w:kern w:val="0"/>
              </w:rPr>
            </w:pPr>
            <w:r>
              <w:rPr>
                <w:kern w:val="0"/>
              </w:rPr>
              <w:t>6.9</w:t>
            </w:r>
          </w:p>
        </w:tc>
        <w:tc>
          <w:tcPr>
            <w:tcW w:w="2268" w:type="dxa"/>
          </w:tcPr>
          <w:p>
            <w:pPr>
              <w:pStyle w:val="77"/>
              <w:jc w:val="left"/>
              <w:rPr>
                <w:kern w:val="0"/>
              </w:rPr>
            </w:pPr>
            <w:r>
              <w:rPr>
                <w:kern w:val="0"/>
              </w:rPr>
              <w:t>0.12 (0.02–0.90)</w:t>
            </w:r>
          </w:p>
        </w:tc>
        <w:tc>
          <w:tcPr>
            <w:tcW w:w="1275" w:type="dxa"/>
          </w:tcPr>
          <w:p>
            <w:pPr>
              <w:pStyle w:val="77"/>
              <w:jc w:val="left"/>
              <w:rPr>
                <w:kern w:val="0"/>
              </w:rPr>
            </w:pPr>
            <w:r>
              <w:rPr>
                <w:kern w:val="0"/>
              </w:rPr>
              <w:t>0.039</w:t>
            </w:r>
          </w:p>
        </w:tc>
        <w:tc>
          <w:tcPr>
            <w:tcW w:w="2268" w:type="dxa"/>
          </w:tcPr>
          <w:p>
            <w:pPr>
              <w:pStyle w:val="77"/>
              <w:jc w:val="left"/>
              <w:rPr>
                <w:kern w:val="0"/>
              </w:rPr>
            </w:pPr>
            <w:r>
              <w:rPr>
                <w:kern w:val="0"/>
              </w:rPr>
              <w:t>0.19 (0.02–1.42)</w:t>
            </w:r>
          </w:p>
        </w:tc>
        <w:tc>
          <w:tcPr>
            <w:tcW w:w="1218" w:type="dxa"/>
          </w:tcPr>
          <w:p>
            <w:pPr>
              <w:pStyle w:val="77"/>
              <w:jc w:val="left"/>
              <w:rPr>
                <w:kern w:val="0"/>
              </w:rPr>
            </w:pPr>
            <w:r>
              <w:rPr>
                <w:kern w:val="0"/>
              </w:rPr>
              <w:t>0.11</w:t>
            </w:r>
            <w:r>
              <w:rPr>
                <w:rFonts w:hint="eastAsia"/>
                <w:kern w:val="0"/>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trPr>
        <w:tc>
          <w:tcPr>
            <w:tcW w:w="13687" w:type="dxa"/>
            <w:gridSpan w:val="8"/>
          </w:tcPr>
          <w:p>
            <w:pPr>
              <w:pStyle w:val="77"/>
              <w:jc w:val="left"/>
              <w:rPr>
                <w:b/>
                <w:bCs/>
                <w:kern w:val="0"/>
              </w:rPr>
            </w:pPr>
            <w:r>
              <w:rPr>
                <w:bCs/>
                <w:kern w:val="0"/>
              </w:rPr>
              <w:t>HF medication group II - beta blocker or diuretics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trPr>
        <w:tc>
          <w:tcPr>
            <w:tcW w:w="2547" w:type="dxa"/>
          </w:tcPr>
          <w:p>
            <w:pPr>
              <w:pStyle w:val="77"/>
              <w:jc w:val="left"/>
              <w:rPr>
                <w:kern w:val="0"/>
              </w:rPr>
            </w:pPr>
            <w:r>
              <w:rPr>
                <w:kern w:val="0"/>
              </w:rPr>
              <w:t>Inactive</w:t>
            </w:r>
          </w:p>
        </w:tc>
        <w:tc>
          <w:tcPr>
            <w:tcW w:w="1417" w:type="dxa"/>
          </w:tcPr>
          <w:p>
            <w:pPr>
              <w:pStyle w:val="77"/>
              <w:jc w:val="left"/>
              <w:rPr>
                <w:kern w:val="0"/>
              </w:rPr>
            </w:pPr>
            <w:r>
              <w:rPr>
                <w:kern w:val="0"/>
              </w:rPr>
              <w:t>1880</w:t>
            </w:r>
          </w:p>
        </w:tc>
        <w:tc>
          <w:tcPr>
            <w:tcW w:w="1418" w:type="dxa"/>
          </w:tcPr>
          <w:p>
            <w:pPr>
              <w:pStyle w:val="77"/>
              <w:jc w:val="left"/>
              <w:rPr>
                <w:kern w:val="0"/>
              </w:rPr>
            </w:pPr>
            <w:r>
              <w:rPr>
                <w:kern w:val="0"/>
              </w:rPr>
              <w:t>207</w:t>
            </w:r>
          </w:p>
        </w:tc>
        <w:tc>
          <w:tcPr>
            <w:tcW w:w="1276" w:type="dxa"/>
          </w:tcPr>
          <w:p>
            <w:pPr>
              <w:pStyle w:val="77"/>
              <w:jc w:val="left"/>
              <w:rPr>
                <w:kern w:val="0"/>
              </w:rPr>
            </w:pPr>
            <w:r>
              <w:rPr>
                <w:kern w:val="0"/>
              </w:rPr>
              <w:t>3.8</w:t>
            </w:r>
          </w:p>
        </w:tc>
        <w:tc>
          <w:tcPr>
            <w:tcW w:w="2268" w:type="dxa"/>
            <w:vAlign w:val="center"/>
          </w:tcPr>
          <w:p>
            <w:pPr>
              <w:pStyle w:val="77"/>
              <w:jc w:val="left"/>
              <w:rPr>
                <w:kern w:val="0"/>
              </w:rPr>
            </w:pPr>
            <w:r>
              <w:rPr>
                <w:rFonts w:eastAsia="Malgun Gothic"/>
                <w:kern w:val="0"/>
              </w:rPr>
              <w:t>Reference</w:t>
            </w:r>
          </w:p>
        </w:tc>
        <w:tc>
          <w:tcPr>
            <w:tcW w:w="1275" w:type="dxa"/>
            <w:vAlign w:val="center"/>
          </w:tcPr>
          <w:p>
            <w:pPr>
              <w:pStyle w:val="77"/>
              <w:jc w:val="left"/>
              <w:rPr>
                <w:kern w:val="0"/>
              </w:rPr>
            </w:pPr>
          </w:p>
        </w:tc>
        <w:tc>
          <w:tcPr>
            <w:tcW w:w="2268" w:type="dxa"/>
            <w:vAlign w:val="center"/>
          </w:tcPr>
          <w:p>
            <w:pPr>
              <w:pStyle w:val="77"/>
              <w:jc w:val="left"/>
              <w:rPr>
                <w:kern w:val="0"/>
              </w:rPr>
            </w:pPr>
            <w:r>
              <w:rPr>
                <w:rFonts w:eastAsia="Malgun Gothic"/>
                <w:kern w:val="0"/>
              </w:rPr>
              <w:t>Reference</w:t>
            </w:r>
          </w:p>
        </w:tc>
        <w:tc>
          <w:tcPr>
            <w:tcW w:w="1218" w:type="dxa"/>
            <w:vAlign w:val="center"/>
          </w:tcPr>
          <w:p>
            <w:pPr>
              <w:pStyle w:val="77"/>
              <w:jc w:val="left"/>
              <w:rPr>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trPr>
        <w:tc>
          <w:tcPr>
            <w:tcW w:w="2547" w:type="dxa"/>
          </w:tcPr>
          <w:p>
            <w:pPr>
              <w:pStyle w:val="77"/>
              <w:jc w:val="left"/>
              <w:rPr>
                <w:kern w:val="0"/>
              </w:rPr>
            </w:pPr>
            <w:r>
              <w:rPr>
                <w:kern w:val="0"/>
              </w:rPr>
              <w:t>Insufficiently active</w:t>
            </w:r>
          </w:p>
        </w:tc>
        <w:tc>
          <w:tcPr>
            <w:tcW w:w="1417" w:type="dxa"/>
          </w:tcPr>
          <w:p>
            <w:pPr>
              <w:pStyle w:val="77"/>
              <w:jc w:val="left"/>
              <w:rPr>
                <w:kern w:val="0"/>
              </w:rPr>
            </w:pPr>
            <w:r>
              <w:rPr>
                <w:kern w:val="0"/>
              </w:rPr>
              <w:t>1104</w:t>
            </w:r>
          </w:p>
        </w:tc>
        <w:tc>
          <w:tcPr>
            <w:tcW w:w="1418" w:type="dxa"/>
          </w:tcPr>
          <w:p>
            <w:pPr>
              <w:pStyle w:val="77"/>
              <w:jc w:val="left"/>
              <w:rPr>
                <w:kern w:val="0"/>
              </w:rPr>
            </w:pPr>
            <w:r>
              <w:rPr>
                <w:kern w:val="0"/>
              </w:rPr>
              <w:t>75</w:t>
            </w:r>
          </w:p>
        </w:tc>
        <w:tc>
          <w:tcPr>
            <w:tcW w:w="1276" w:type="dxa"/>
          </w:tcPr>
          <w:p>
            <w:pPr>
              <w:pStyle w:val="77"/>
              <w:jc w:val="left"/>
              <w:rPr>
                <w:kern w:val="0"/>
              </w:rPr>
            </w:pPr>
            <w:r>
              <w:rPr>
                <w:kern w:val="0"/>
              </w:rPr>
              <w:t>2.2</w:t>
            </w:r>
          </w:p>
        </w:tc>
        <w:tc>
          <w:tcPr>
            <w:tcW w:w="2268" w:type="dxa"/>
          </w:tcPr>
          <w:p>
            <w:pPr>
              <w:pStyle w:val="77"/>
              <w:jc w:val="left"/>
              <w:rPr>
                <w:kern w:val="0"/>
              </w:rPr>
            </w:pPr>
            <w:r>
              <w:rPr>
                <w:kern w:val="0"/>
              </w:rPr>
              <w:t>0.57 (0.44–0.75)</w:t>
            </w:r>
          </w:p>
        </w:tc>
        <w:tc>
          <w:tcPr>
            <w:tcW w:w="1275" w:type="dxa"/>
          </w:tcPr>
          <w:p>
            <w:pPr>
              <w:pStyle w:val="77"/>
              <w:jc w:val="left"/>
              <w:rPr>
                <w:kern w:val="0"/>
              </w:rPr>
            </w:pPr>
            <w:r>
              <w:rPr>
                <w:kern w:val="0"/>
              </w:rPr>
              <w:t>&lt;0.001</w:t>
            </w:r>
          </w:p>
        </w:tc>
        <w:tc>
          <w:tcPr>
            <w:tcW w:w="2268" w:type="dxa"/>
          </w:tcPr>
          <w:p>
            <w:pPr>
              <w:pStyle w:val="77"/>
              <w:jc w:val="left"/>
              <w:rPr>
                <w:kern w:val="0"/>
              </w:rPr>
            </w:pPr>
            <w:r>
              <w:rPr>
                <w:kern w:val="0"/>
              </w:rPr>
              <w:t>0.71 (0.54–0.94)</w:t>
            </w:r>
          </w:p>
        </w:tc>
        <w:tc>
          <w:tcPr>
            <w:tcW w:w="1218" w:type="dxa"/>
          </w:tcPr>
          <w:p>
            <w:pPr>
              <w:pStyle w:val="77"/>
              <w:jc w:val="left"/>
              <w:rPr>
                <w:kern w:val="0"/>
              </w:rPr>
            </w:pPr>
            <w:r>
              <w:rPr>
                <w:kern w:val="0"/>
              </w:rPr>
              <w:t>0.02</w:t>
            </w:r>
            <w:r>
              <w:rPr>
                <w:rFonts w:hint="eastAsia"/>
                <w:kern w:val="0"/>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3" w:hRule="atLeast"/>
        </w:trPr>
        <w:tc>
          <w:tcPr>
            <w:tcW w:w="2547" w:type="dxa"/>
          </w:tcPr>
          <w:p>
            <w:pPr>
              <w:pStyle w:val="77"/>
              <w:jc w:val="left"/>
              <w:rPr>
                <w:kern w:val="0"/>
              </w:rPr>
            </w:pPr>
            <w:r>
              <w:rPr>
                <w:kern w:val="0"/>
              </w:rPr>
              <w:t>Active</w:t>
            </w:r>
          </w:p>
        </w:tc>
        <w:tc>
          <w:tcPr>
            <w:tcW w:w="1417" w:type="dxa"/>
          </w:tcPr>
          <w:p>
            <w:pPr>
              <w:pStyle w:val="77"/>
              <w:jc w:val="left"/>
              <w:rPr>
                <w:kern w:val="0"/>
              </w:rPr>
            </w:pPr>
            <w:r>
              <w:rPr>
                <w:kern w:val="0"/>
              </w:rPr>
              <w:t>998</w:t>
            </w:r>
          </w:p>
        </w:tc>
        <w:tc>
          <w:tcPr>
            <w:tcW w:w="1418" w:type="dxa"/>
          </w:tcPr>
          <w:p>
            <w:pPr>
              <w:pStyle w:val="77"/>
              <w:jc w:val="left"/>
              <w:rPr>
                <w:kern w:val="0"/>
              </w:rPr>
            </w:pPr>
            <w:r>
              <w:rPr>
                <w:kern w:val="0"/>
              </w:rPr>
              <w:t>59</w:t>
            </w:r>
          </w:p>
        </w:tc>
        <w:tc>
          <w:tcPr>
            <w:tcW w:w="1276" w:type="dxa"/>
          </w:tcPr>
          <w:p>
            <w:pPr>
              <w:pStyle w:val="77"/>
              <w:jc w:val="left"/>
              <w:rPr>
                <w:kern w:val="0"/>
              </w:rPr>
            </w:pPr>
            <w:r>
              <w:rPr>
                <w:kern w:val="0"/>
              </w:rPr>
              <w:t>1.8</w:t>
            </w:r>
          </w:p>
        </w:tc>
        <w:tc>
          <w:tcPr>
            <w:tcW w:w="2268" w:type="dxa"/>
          </w:tcPr>
          <w:p>
            <w:pPr>
              <w:pStyle w:val="77"/>
              <w:jc w:val="left"/>
              <w:rPr>
                <w:kern w:val="0"/>
              </w:rPr>
            </w:pPr>
            <w:r>
              <w:rPr>
                <w:kern w:val="0"/>
              </w:rPr>
              <w:t>0.49 (0.37–0.65)</w:t>
            </w:r>
          </w:p>
        </w:tc>
        <w:tc>
          <w:tcPr>
            <w:tcW w:w="1275" w:type="dxa"/>
          </w:tcPr>
          <w:p>
            <w:pPr>
              <w:pStyle w:val="77"/>
              <w:jc w:val="left"/>
              <w:rPr>
                <w:kern w:val="0"/>
              </w:rPr>
            </w:pPr>
            <w:r>
              <w:rPr>
                <w:kern w:val="0"/>
              </w:rPr>
              <w:t>&lt;0.001</w:t>
            </w:r>
          </w:p>
        </w:tc>
        <w:tc>
          <w:tcPr>
            <w:tcW w:w="2268" w:type="dxa"/>
          </w:tcPr>
          <w:p>
            <w:pPr>
              <w:pStyle w:val="77"/>
              <w:jc w:val="left"/>
              <w:rPr>
                <w:kern w:val="0"/>
              </w:rPr>
            </w:pPr>
            <w:r>
              <w:rPr>
                <w:kern w:val="0"/>
              </w:rPr>
              <w:t>0.66 (0.49–0.9)</w:t>
            </w:r>
          </w:p>
        </w:tc>
        <w:tc>
          <w:tcPr>
            <w:tcW w:w="1218" w:type="dxa"/>
          </w:tcPr>
          <w:p>
            <w:pPr>
              <w:pStyle w:val="77"/>
              <w:jc w:val="left"/>
              <w:rPr>
                <w:kern w:val="0"/>
              </w:rPr>
            </w:pPr>
            <w:r>
              <w:rPr>
                <w:kern w:val="0"/>
              </w:rPr>
              <w:t>0.01</w:t>
            </w:r>
            <w:r>
              <w:rPr>
                <w:rFonts w:hint="eastAsia"/>
                <w:kern w:val="0"/>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trPr>
        <w:tc>
          <w:tcPr>
            <w:tcW w:w="2547" w:type="dxa"/>
          </w:tcPr>
          <w:p>
            <w:pPr>
              <w:pStyle w:val="77"/>
              <w:jc w:val="left"/>
              <w:rPr>
                <w:kern w:val="0"/>
              </w:rPr>
            </w:pPr>
            <w:r>
              <w:rPr>
                <w:kern w:val="0"/>
              </w:rPr>
              <w:t>Highly active</w:t>
            </w:r>
          </w:p>
        </w:tc>
        <w:tc>
          <w:tcPr>
            <w:tcW w:w="1417" w:type="dxa"/>
          </w:tcPr>
          <w:p>
            <w:pPr>
              <w:pStyle w:val="77"/>
              <w:jc w:val="left"/>
              <w:rPr>
                <w:kern w:val="0"/>
              </w:rPr>
            </w:pPr>
            <w:r>
              <w:rPr>
                <w:kern w:val="0"/>
              </w:rPr>
              <w:t>617</w:t>
            </w:r>
          </w:p>
        </w:tc>
        <w:tc>
          <w:tcPr>
            <w:tcW w:w="1418" w:type="dxa"/>
          </w:tcPr>
          <w:p>
            <w:pPr>
              <w:pStyle w:val="77"/>
              <w:jc w:val="left"/>
              <w:rPr>
                <w:kern w:val="0"/>
              </w:rPr>
            </w:pPr>
            <w:r>
              <w:rPr>
                <w:kern w:val="0"/>
              </w:rPr>
              <w:t>24</w:t>
            </w:r>
          </w:p>
        </w:tc>
        <w:tc>
          <w:tcPr>
            <w:tcW w:w="1276" w:type="dxa"/>
          </w:tcPr>
          <w:p>
            <w:pPr>
              <w:pStyle w:val="77"/>
              <w:jc w:val="left"/>
              <w:rPr>
                <w:kern w:val="0"/>
              </w:rPr>
            </w:pPr>
            <w:r>
              <w:rPr>
                <w:kern w:val="0"/>
              </w:rPr>
              <w:t>1.2</w:t>
            </w:r>
          </w:p>
        </w:tc>
        <w:tc>
          <w:tcPr>
            <w:tcW w:w="2268" w:type="dxa"/>
          </w:tcPr>
          <w:p>
            <w:pPr>
              <w:pStyle w:val="77"/>
              <w:jc w:val="left"/>
              <w:rPr>
                <w:kern w:val="0"/>
              </w:rPr>
            </w:pPr>
            <w:r>
              <w:rPr>
                <w:kern w:val="0"/>
              </w:rPr>
              <w:t>0.32 (0.21–0.48)</w:t>
            </w:r>
          </w:p>
        </w:tc>
        <w:tc>
          <w:tcPr>
            <w:tcW w:w="1275" w:type="dxa"/>
          </w:tcPr>
          <w:p>
            <w:pPr>
              <w:pStyle w:val="77"/>
              <w:jc w:val="left"/>
              <w:rPr>
                <w:kern w:val="0"/>
              </w:rPr>
            </w:pPr>
            <w:r>
              <w:rPr>
                <w:kern w:val="0"/>
              </w:rPr>
              <w:t>&lt;0.001</w:t>
            </w:r>
          </w:p>
        </w:tc>
        <w:tc>
          <w:tcPr>
            <w:tcW w:w="2268" w:type="dxa"/>
          </w:tcPr>
          <w:p>
            <w:pPr>
              <w:pStyle w:val="77"/>
              <w:jc w:val="left"/>
              <w:rPr>
                <w:kern w:val="0"/>
              </w:rPr>
            </w:pPr>
            <w:r>
              <w:rPr>
                <w:kern w:val="0"/>
              </w:rPr>
              <w:t>0.42 (0.27–0.65)</w:t>
            </w:r>
          </w:p>
        </w:tc>
        <w:tc>
          <w:tcPr>
            <w:tcW w:w="1218" w:type="dxa"/>
          </w:tcPr>
          <w:p>
            <w:pPr>
              <w:pStyle w:val="77"/>
              <w:jc w:val="left"/>
              <w:rPr>
                <w:kern w:val="0"/>
              </w:rPr>
            </w:pPr>
            <w:r>
              <w:rPr>
                <w:kern w:val="0"/>
              </w:rPr>
              <w:t>&lt;0.001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trPr>
        <w:tc>
          <w:tcPr>
            <w:tcW w:w="13687" w:type="dxa"/>
            <w:gridSpan w:val="8"/>
          </w:tcPr>
          <w:p>
            <w:pPr>
              <w:pStyle w:val="77"/>
              <w:jc w:val="left"/>
              <w:rPr>
                <w:bCs/>
                <w:kern w:val="0"/>
              </w:rPr>
            </w:pPr>
            <w:r>
              <w:rPr>
                <w:bCs/>
                <w:kern w:val="0"/>
                <w:szCs w:val="24"/>
              </w:rPr>
              <w:t xml:space="preserve">HF </w:t>
            </w:r>
            <w:r>
              <w:rPr>
                <w:bCs/>
                <w:kern w:val="0"/>
              </w:rPr>
              <w:t>medication group</w:t>
            </w:r>
            <w:r>
              <w:rPr>
                <w:bCs/>
                <w:kern w:val="0"/>
                <w:szCs w:val="24"/>
              </w:rPr>
              <w:t xml:space="preserve"> </w:t>
            </w:r>
            <w:r>
              <w:rPr>
                <w:rFonts w:hint="eastAsia"/>
                <w:bCs/>
                <w:kern w:val="0"/>
                <w:szCs w:val="24"/>
              </w:rPr>
              <w:t>III</w:t>
            </w:r>
            <w:r>
              <w:rPr>
                <w:bCs/>
                <w:kern w:val="0"/>
                <w:szCs w:val="24"/>
              </w:rPr>
              <w:t xml:space="preserve"> - spironolactone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trPr>
        <w:tc>
          <w:tcPr>
            <w:tcW w:w="2547" w:type="dxa"/>
          </w:tcPr>
          <w:p>
            <w:pPr>
              <w:pStyle w:val="77"/>
              <w:jc w:val="left"/>
              <w:rPr>
                <w:kern w:val="0"/>
              </w:rPr>
            </w:pPr>
            <w:r>
              <w:rPr>
                <w:kern w:val="0"/>
              </w:rPr>
              <w:t>Inactive</w:t>
            </w:r>
          </w:p>
        </w:tc>
        <w:tc>
          <w:tcPr>
            <w:tcW w:w="1417" w:type="dxa"/>
          </w:tcPr>
          <w:p>
            <w:pPr>
              <w:pStyle w:val="77"/>
              <w:jc w:val="left"/>
              <w:rPr>
                <w:kern w:val="0"/>
              </w:rPr>
            </w:pPr>
            <w:r>
              <w:rPr>
                <w:kern w:val="0"/>
              </w:rPr>
              <w:t>1904</w:t>
            </w:r>
          </w:p>
        </w:tc>
        <w:tc>
          <w:tcPr>
            <w:tcW w:w="1418" w:type="dxa"/>
          </w:tcPr>
          <w:p>
            <w:pPr>
              <w:pStyle w:val="77"/>
              <w:jc w:val="left"/>
              <w:rPr>
                <w:kern w:val="0"/>
              </w:rPr>
            </w:pPr>
            <w:r>
              <w:rPr>
                <w:kern w:val="0"/>
              </w:rPr>
              <w:t>282</w:t>
            </w:r>
          </w:p>
        </w:tc>
        <w:tc>
          <w:tcPr>
            <w:tcW w:w="1276" w:type="dxa"/>
          </w:tcPr>
          <w:p>
            <w:pPr>
              <w:pStyle w:val="77"/>
              <w:jc w:val="left"/>
              <w:rPr>
                <w:kern w:val="0"/>
              </w:rPr>
            </w:pPr>
            <w:r>
              <w:rPr>
                <w:kern w:val="0"/>
              </w:rPr>
              <w:t>5.6</w:t>
            </w:r>
          </w:p>
        </w:tc>
        <w:tc>
          <w:tcPr>
            <w:tcW w:w="2268" w:type="dxa"/>
            <w:vAlign w:val="center"/>
          </w:tcPr>
          <w:p>
            <w:pPr>
              <w:pStyle w:val="77"/>
              <w:jc w:val="left"/>
              <w:rPr>
                <w:kern w:val="0"/>
              </w:rPr>
            </w:pPr>
            <w:r>
              <w:rPr>
                <w:rFonts w:eastAsia="Malgun Gothic"/>
                <w:kern w:val="0"/>
              </w:rPr>
              <w:t>Reference</w:t>
            </w:r>
          </w:p>
        </w:tc>
        <w:tc>
          <w:tcPr>
            <w:tcW w:w="1275" w:type="dxa"/>
            <w:vAlign w:val="center"/>
          </w:tcPr>
          <w:p>
            <w:pPr>
              <w:pStyle w:val="77"/>
              <w:jc w:val="left"/>
              <w:rPr>
                <w:kern w:val="0"/>
              </w:rPr>
            </w:pPr>
          </w:p>
        </w:tc>
        <w:tc>
          <w:tcPr>
            <w:tcW w:w="2268" w:type="dxa"/>
            <w:vAlign w:val="center"/>
          </w:tcPr>
          <w:p>
            <w:pPr>
              <w:pStyle w:val="77"/>
              <w:jc w:val="left"/>
              <w:rPr>
                <w:kern w:val="0"/>
              </w:rPr>
            </w:pPr>
            <w:r>
              <w:rPr>
                <w:rFonts w:eastAsia="Malgun Gothic"/>
                <w:kern w:val="0"/>
              </w:rPr>
              <w:t>Reference</w:t>
            </w:r>
          </w:p>
        </w:tc>
        <w:tc>
          <w:tcPr>
            <w:tcW w:w="1218" w:type="dxa"/>
            <w:vAlign w:val="center"/>
          </w:tcPr>
          <w:p>
            <w:pPr>
              <w:pStyle w:val="77"/>
              <w:jc w:val="left"/>
              <w:rPr>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3" w:hRule="atLeast"/>
        </w:trPr>
        <w:tc>
          <w:tcPr>
            <w:tcW w:w="2547" w:type="dxa"/>
          </w:tcPr>
          <w:p>
            <w:pPr>
              <w:pStyle w:val="77"/>
              <w:jc w:val="left"/>
              <w:rPr>
                <w:kern w:val="0"/>
              </w:rPr>
            </w:pPr>
            <w:r>
              <w:rPr>
                <w:kern w:val="0"/>
              </w:rPr>
              <w:t>Insufficiently active</w:t>
            </w:r>
          </w:p>
        </w:tc>
        <w:tc>
          <w:tcPr>
            <w:tcW w:w="1417" w:type="dxa"/>
          </w:tcPr>
          <w:p>
            <w:pPr>
              <w:pStyle w:val="77"/>
              <w:jc w:val="left"/>
              <w:rPr>
                <w:kern w:val="0"/>
              </w:rPr>
            </w:pPr>
            <w:r>
              <w:rPr>
                <w:kern w:val="0"/>
              </w:rPr>
              <w:t>968</w:t>
            </w:r>
          </w:p>
        </w:tc>
        <w:tc>
          <w:tcPr>
            <w:tcW w:w="1418" w:type="dxa"/>
          </w:tcPr>
          <w:p>
            <w:pPr>
              <w:pStyle w:val="77"/>
              <w:jc w:val="left"/>
              <w:rPr>
                <w:kern w:val="0"/>
              </w:rPr>
            </w:pPr>
            <w:r>
              <w:rPr>
                <w:kern w:val="0"/>
              </w:rPr>
              <w:t>105</w:t>
            </w:r>
          </w:p>
        </w:tc>
        <w:tc>
          <w:tcPr>
            <w:tcW w:w="1276" w:type="dxa"/>
          </w:tcPr>
          <w:p>
            <w:pPr>
              <w:pStyle w:val="77"/>
              <w:jc w:val="left"/>
              <w:rPr>
                <w:kern w:val="0"/>
              </w:rPr>
            </w:pPr>
            <w:r>
              <w:rPr>
                <w:kern w:val="0"/>
              </w:rPr>
              <w:t>3.5</w:t>
            </w:r>
          </w:p>
        </w:tc>
        <w:tc>
          <w:tcPr>
            <w:tcW w:w="2268" w:type="dxa"/>
          </w:tcPr>
          <w:p>
            <w:pPr>
              <w:pStyle w:val="77"/>
              <w:jc w:val="left"/>
              <w:rPr>
                <w:kern w:val="0"/>
              </w:rPr>
            </w:pPr>
            <w:r>
              <w:rPr>
                <w:kern w:val="0"/>
              </w:rPr>
              <w:t>0.70 (0.56–0.87)</w:t>
            </w:r>
          </w:p>
        </w:tc>
        <w:tc>
          <w:tcPr>
            <w:tcW w:w="1275" w:type="dxa"/>
          </w:tcPr>
          <w:p>
            <w:pPr>
              <w:pStyle w:val="77"/>
              <w:jc w:val="left"/>
              <w:rPr>
                <w:kern w:val="0"/>
              </w:rPr>
            </w:pPr>
            <w:r>
              <w:rPr>
                <w:kern w:val="0"/>
              </w:rPr>
              <w:t>0.002</w:t>
            </w:r>
          </w:p>
        </w:tc>
        <w:tc>
          <w:tcPr>
            <w:tcW w:w="2268" w:type="dxa"/>
          </w:tcPr>
          <w:p>
            <w:pPr>
              <w:pStyle w:val="77"/>
              <w:jc w:val="left"/>
              <w:rPr>
                <w:kern w:val="0"/>
              </w:rPr>
            </w:pPr>
            <w:r>
              <w:rPr>
                <w:kern w:val="0"/>
              </w:rPr>
              <w:t>0.81 (0.64–1.02)</w:t>
            </w:r>
          </w:p>
        </w:tc>
        <w:tc>
          <w:tcPr>
            <w:tcW w:w="1218" w:type="dxa"/>
          </w:tcPr>
          <w:p>
            <w:pPr>
              <w:pStyle w:val="77"/>
              <w:jc w:val="left"/>
              <w:rPr>
                <w:kern w:val="0"/>
              </w:rPr>
            </w:pPr>
            <w:r>
              <w:rPr>
                <w:kern w:val="0"/>
              </w:rPr>
              <w:t>0.08</w:t>
            </w:r>
            <w:r>
              <w:rPr>
                <w:rFonts w:hint="eastAsia"/>
                <w:kern w:val="0"/>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trPr>
        <w:tc>
          <w:tcPr>
            <w:tcW w:w="2547" w:type="dxa"/>
          </w:tcPr>
          <w:p>
            <w:pPr>
              <w:pStyle w:val="77"/>
              <w:jc w:val="left"/>
              <w:rPr>
                <w:kern w:val="0"/>
              </w:rPr>
            </w:pPr>
            <w:r>
              <w:rPr>
                <w:kern w:val="0"/>
              </w:rPr>
              <w:t>Active</w:t>
            </w:r>
          </w:p>
        </w:tc>
        <w:tc>
          <w:tcPr>
            <w:tcW w:w="1417" w:type="dxa"/>
          </w:tcPr>
          <w:p>
            <w:pPr>
              <w:pStyle w:val="77"/>
              <w:jc w:val="left"/>
              <w:rPr>
                <w:kern w:val="0"/>
              </w:rPr>
            </w:pPr>
            <w:r>
              <w:rPr>
                <w:kern w:val="0"/>
              </w:rPr>
              <w:t>754</w:t>
            </w:r>
          </w:p>
        </w:tc>
        <w:tc>
          <w:tcPr>
            <w:tcW w:w="1418" w:type="dxa"/>
          </w:tcPr>
          <w:p>
            <w:pPr>
              <w:pStyle w:val="77"/>
              <w:jc w:val="left"/>
              <w:rPr>
                <w:kern w:val="0"/>
              </w:rPr>
            </w:pPr>
            <w:r>
              <w:rPr>
                <w:kern w:val="0"/>
              </w:rPr>
              <w:t>81</w:t>
            </w:r>
          </w:p>
        </w:tc>
        <w:tc>
          <w:tcPr>
            <w:tcW w:w="1276" w:type="dxa"/>
          </w:tcPr>
          <w:p>
            <w:pPr>
              <w:pStyle w:val="77"/>
              <w:jc w:val="left"/>
              <w:rPr>
                <w:kern w:val="0"/>
              </w:rPr>
            </w:pPr>
            <w:r>
              <w:rPr>
                <w:kern w:val="0"/>
              </w:rPr>
              <w:t>3.5</w:t>
            </w:r>
          </w:p>
        </w:tc>
        <w:tc>
          <w:tcPr>
            <w:tcW w:w="2268" w:type="dxa"/>
          </w:tcPr>
          <w:p>
            <w:pPr>
              <w:pStyle w:val="77"/>
              <w:jc w:val="left"/>
              <w:rPr>
                <w:kern w:val="0"/>
              </w:rPr>
            </w:pPr>
            <w:r>
              <w:rPr>
                <w:kern w:val="0"/>
              </w:rPr>
              <w:t>0.69 (0.54–0.88)</w:t>
            </w:r>
          </w:p>
        </w:tc>
        <w:tc>
          <w:tcPr>
            <w:tcW w:w="1275" w:type="dxa"/>
          </w:tcPr>
          <w:p>
            <w:pPr>
              <w:pStyle w:val="77"/>
              <w:jc w:val="left"/>
              <w:rPr>
                <w:kern w:val="0"/>
              </w:rPr>
            </w:pPr>
            <w:r>
              <w:rPr>
                <w:kern w:val="0"/>
              </w:rPr>
              <w:t>0.003</w:t>
            </w:r>
          </w:p>
        </w:tc>
        <w:tc>
          <w:tcPr>
            <w:tcW w:w="2268" w:type="dxa"/>
          </w:tcPr>
          <w:p>
            <w:pPr>
              <w:pStyle w:val="77"/>
              <w:jc w:val="left"/>
              <w:rPr>
                <w:kern w:val="0"/>
              </w:rPr>
            </w:pPr>
            <w:r>
              <w:rPr>
                <w:kern w:val="0"/>
              </w:rPr>
              <w:t>0.89 (0.69–1.15)</w:t>
            </w:r>
          </w:p>
        </w:tc>
        <w:tc>
          <w:tcPr>
            <w:tcW w:w="1218" w:type="dxa"/>
          </w:tcPr>
          <w:p>
            <w:pPr>
              <w:pStyle w:val="77"/>
              <w:jc w:val="left"/>
              <w:rPr>
                <w:kern w:val="0"/>
              </w:rPr>
            </w:pPr>
            <w:r>
              <w:rPr>
                <w:kern w:val="0"/>
              </w:rPr>
              <w:t>0.36</w:t>
            </w:r>
            <w:r>
              <w:rPr>
                <w:rFonts w:hint="eastAsia"/>
                <w:kern w:val="0"/>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trPr>
        <w:tc>
          <w:tcPr>
            <w:tcW w:w="2547" w:type="dxa"/>
          </w:tcPr>
          <w:p>
            <w:pPr>
              <w:pStyle w:val="77"/>
              <w:jc w:val="left"/>
              <w:rPr>
                <w:kern w:val="0"/>
              </w:rPr>
            </w:pPr>
            <w:r>
              <w:rPr>
                <w:kern w:val="0"/>
              </w:rPr>
              <w:t>Highly active</w:t>
            </w:r>
          </w:p>
        </w:tc>
        <w:tc>
          <w:tcPr>
            <w:tcW w:w="1417" w:type="dxa"/>
          </w:tcPr>
          <w:p>
            <w:pPr>
              <w:pStyle w:val="77"/>
              <w:jc w:val="left"/>
              <w:rPr>
                <w:kern w:val="0"/>
              </w:rPr>
            </w:pPr>
            <w:r>
              <w:rPr>
                <w:kern w:val="0"/>
              </w:rPr>
              <w:t>407</w:t>
            </w:r>
          </w:p>
        </w:tc>
        <w:tc>
          <w:tcPr>
            <w:tcW w:w="1418" w:type="dxa"/>
          </w:tcPr>
          <w:p>
            <w:pPr>
              <w:pStyle w:val="77"/>
              <w:jc w:val="left"/>
              <w:rPr>
                <w:kern w:val="0"/>
              </w:rPr>
            </w:pPr>
            <w:r>
              <w:rPr>
                <w:kern w:val="0"/>
              </w:rPr>
              <w:t>27</w:t>
            </w:r>
          </w:p>
        </w:tc>
        <w:tc>
          <w:tcPr>
            <w:tcW w:w="1276" w:type="dxa"/>
          </w:tcPr>
          <w:p>
            <w:pPr>
              <w:pStyle w:val="77"/>
              <w:jc w:val="left"/>
              <w:rPr>
                <w:kern w:val="0"/>
              </w:rPr>
            </w:pPr>
            <w:r>
              <w:rPr>
                <w:kern w:val="0"/>
              </w:rPr>
              <w:t>2.1</w:t>
            </w:r>
          </w:p>
        </w:tc>
        <w:tc>
          <w:tcPr>
            <w:tcW w:w="2268" w:type="dxa"/>
          </w:tcPr>
          <w:p>
            <w:pPr>
              <w:pStyle w:val="77"/>
              <w:jc w:val="left"/>
              <w:rPr>
                <w:kern w:val="0"/>
              </w:rPr>
            </w:pPr>
            <w:r>
              <w:rPr>
                <w:kern w:val="0"/>
              </w:rPr>
              <w:t>0.40 (0.27–0.60)</w:t>
            </w:r>
          </w:p>
        </w:tc>
        <w:tc>
          <w:tcPr>
            <w:tcW w:w="1275" w:type="dxa"/>
          </w:tcPr>
          <w:p>
            <w:pPr>
              <w:pStyle w:val="77"/>
              <w:jc w:val="left"/>
              <w:rPr>
                <w:kern w:val="0"/>
              </w:rPr>
            </w:pPr>
            <w:r>
              <w:rPr>
                <w:kern w:val="0"/>
              </w:rPr>
              <w:t>&lt;0.001</w:t>
            </w:r>
          </w:p>
        </w:tc>
        <w:tc>
          <w:tcPr>
            <w:tcW w:w="2268" w:type="dxa"/>
          </w:tcPr>
          <w:p>
            <w:pPr>
              <w:pStyle w:val="77"/>
              <w:jc w:val="left"/>
              <w:rPr>
                <w:kern w:val="0"/>
              </w:rPr>
            </w:pPr>
            <w:r>
              <w:rPr>
                <w:kern w:val="0"/>
              </w:rPr>
              <w:t>0.54 (0.36–0.82)</w:t>
            </w:r>
          </w:p>
        </w:tc>
        <w:tc>
          <w:tcPr>
            <w:tcW w:w="1218" w:type="dxa"/>
          </w:tcPr>
          <w:p>
            <w:pPr>
              <w:pStyle w:val="77"/>
              <w:jc w:val="left"/>
              <w:rPr>
                <w:kern w:val="0"/>
              </w:rPr>
            </w:pPr>
            <w:r>
              <w:rPr>
                <w:kern w:val="0"/>
              </w:rPr>
              <w:t>&lt;0.001</w:t>
            </w:r>
          </w:p>
        </w:tc>
      </w:tr>
    </w:tbl>
    <w:p>
      <w:pPr>
        <w:pStyle w:val="57"/>
      </w:pPr>
      <w:r>
        <w:t xml:space="preserve">HR, </w:t>
      </w:r>
      <w:r>
        <w:fldChar w:fldCharType="begin"/>
      </w:r>
      <w:r>
        <w:instrText xml:space="preserve"> HYPERLINK "https://en.wikipedia.org/wiki/Hazard_ratio" \t "_blank" </w:instrText>
      </w:r>
      <w:r>
        <w:fldChar w:fldCharType="separate"/>
      </w:r>
      <w:r>
        <w:rPr>
          <w:rStyle w:val="22"/>
          <w:rFonts w:eastAsia="Malgun Gothic"/>
          <w:b w:val="0"/>
          <w:bCs w:val="0"/>
        </w:rPr>
        <w:t>hazard ratio</w:t>
      </w:r>
      <w:r>
        <w:rPr>
          <w:rStyle w:val="22"/>
          <w:rFonts w:eastAsia="Malgun Gothic"/>
          <w:b w:val="0"/>
          <w:bCs w:val="0"/>
        </w:rPr>
        <w:fldChar w:fldCharType="end"/>
      </w:r>
      <w:r>
        <w:rPr>
          <w:rFonts w:eastAsia="Malgun Gothic"/>
        </w:rPr>
        <w:t>; CI,</w:t>
      </w:r>
      <w:r>
        <w:rPr>
          <w:rStyle w:val="26"/>
          <w:rFonts w:eastAsia="Malgun Gothic"/>
        </w:rPr>
        <w:t xml:space="preserve"> </w:t>
      </w:r>
      <w:r>
        <w:rPr>
          <w:rStyle w:val="32"/>
          <w:rFonts w:eastAsia="Malgun Gothic"/>
        </w:rPr>
        <w:t>confidence interval;</w:t>
      </w:r>
      <w:r>
        <w:rPr>
          <w:rFonts w:eastAsia="Malgun Gothic"/>
        </w:rPr>
        <w:t xml:space="preserve"> </w:t>
      </w:r>
      <w:r>
        <w:t xml:space="preserve">CVD, cardiovascular disease; PYR, </w:t>
      </w:r>
      <w:r>
        <w:rPr>
          <w:rStyle w:val="23"/>
          <w:b w:val="0"/>
          <w:bCs w:val="0"/>
        </w:rPr>
        <w:t>person-years</w:t>
      </w:r>
      <w:r>
        <w:t xml:space="preserve"> at risk; HF, heart failure.</w:t>
      </w:r>
      <w:r>
        <w:rPr>
          <w:rFonts w:hint="eastAsia" w:eastAsia="等线"/>
        </w:rPr>
        <w:t xml:space="preserve"> </w:t>
      </w:r>
      <w:r>
        <w:t>The model was adjusted for age, sex, body mass index, hypertension, diabetes, dyslipidemia, chronic kidney disease, chronic obstructive pulmonary disease, malignancy, previous myocardial infarction, peripheral artery disease, vascular disease, prior stroke or transient ischemic attack, osteoporosis, Hospital Frailty Risk Score, Hospital Frailty Risk Score category, Charlson Comorbidity Index, smoking, and alcohol drinking.</w:t>
      </w:r>
    </w:p>
    <w:p>
      <w:pPr>
        <w:pStyle w:val="56"/>
      </w:pPr>
      <w:r>
        <w:br w:type="page"/>
      </w:r>
      <w:r>
        <w:rPr>
          <w:bCs/>
        </w:rPr>
        <w:t xml:space="preserve">Supplementary Table </w:t>
      </w:r>
      <w:r>
        <w:rPr>
          <w:rFonts w:hint="eastAsia"/>
        </w:rPr>
        <w:t>5</w:t>
      </w:r>
      <w:r>
        <w:t>. Risk of hospitalization due to all-cause and heart failure, cardiovascular disease and stroke according to physical activity among older adults with heart failure.</w:t>
      </w:r>
    </w:p>
    <w:tbl>
      <w:tblPr>
        <w:tblStyle w:val="2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547"/>
        <w:gridCol w:w="1417"/>
        <w:gridCol w:w="1418"/>
        <w:gridCol w:w="1276"/>
        <w:gridCol w:w="2268"/>
        <w:gridCol w:w="1275"/>
        <w:gridCol w:w="2268"/>
        <w:gridCol w:w="12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1" w:hRule="atLeast"/>
        </w:trPr>
        <w:tc>
          <w:tcPr>
            <w:tcW w:w="2547" w:type="dxa"/>
            <w:vAlign w:val="center"/>
          </w:tcPr>
          <w:p>
            <w:pPr>
              <w:pStyle w:val="77"/>
              <w:jc w:val="left"/>
              <w:rPr>
                <w:kern w:val="0"/>
              </w:rPr>
            </w:pPr>
          </w:p>
        </w:tc>
        <w:tc>
          <w:tcPr>
            <w:tcW w:w="1417" w:type="dxa"/>
            <w:vAlign w:val="center"/>
          </w:tcPr>
          <w:p>
            <w:pPr>
              <w:pStyle w:val="77"/>
              <w:jc w:val="left"/>
              <w:rPr>
                <w:kern w:val="0"/>
              </w:rPr>
            </w:pPr>
            <w:r>
              <w:rPr>
                <w:kern w:val="0"/>
              </w:rPr>
              <w:t>Patients (n)</w:t>
            </w:r>
          </w:p>
        </w:tc>
        <w:tc>
          <w:tcPr>
            <w:tcW w:w="1418" w:type="dxa"/>
            <w:vAlign w:val="center"/>
          </w:tcPr>
          <w:p>
            <w:pPr>
              <w:pStyle w:val="77"/>
              <w:jc w:val="left"/>
              <w:rPr>
                <w:kern w:val="0"/>
              </w:rPr>
            </w:pPr>
            <w:r>
              <w:rPr>
                <w:kern w:val="0"/>
              </w:rPr>
              <w:t>Events (n)</w:t>
            </w:r>
          </w:p>
        </w:tc>
        <w:tc>
          <w:tcPr>
            <w:tcW w:w="1276" w:type="dxa"/>
            <w:vAlign w:val="center"/>
          </w:tcPr>
          <w:p>
            <w:pPr>
              <w:pStyle w:val="77"/>
              <w:jc w:val="left"/>
              <w:rPr>
                <w:kern w:val="0"/>
              </w:rPr>
            </w:pPr>
            <w:r>
              <w:rPr>
                <w:kern w:val="0"/>
              </w:rPr>
              <w:t>Events, /100 PYR</w:t>
            </w:r>
          </w:p>
        </w:tc>
        <w:tc>
          <w:tcPr>
            <w:tcW w:w="2268" w:type="dxa"/>
            <w:vAlign w:val="center"/>
          </w:tcPr>
          <w:p>
            <w:pPr>
              <w:pStyle w:val="77"/>
              <w:jc w:val="left"/>
              <w:rPr>
                <w:kern w:val="0"/>
              </w:rPr>
            </w:pPr>
            <w:r>
              <w:rPr>
                <w:kern w:val="0"/>
              </w:rPr>
              <w:t>Unadjusted HR</w:t>
            </w:r>
            <w:r>
              <w:rPr>
                <w:rFonts w:hint="eastAsia" w:eastAsia="等线"/>
                <w:kern w:val="0"/>
              </w:rPr>
              <w:t xml:space="preserve"> </w:t>
            </w:r>
            <w:r>
              <w:rPr>
                <w:kern w:val="0"/>
              </w:rPr>
              <w:t>(95% CI)</w:t>
            </w:r>
          </w:p>
        </w:tc>
        <w:tc>
          <w:tcPr>
            <w:tcW w:w="1275" w:type="dxa"/>
            <w:vAlign w:val="center"/>
          </w:tcPr>
          <w:p>
            <w:pPr>
              <w:pStyle w:val="77"/>
              <w:jc w:val="left"/>
              <w:rPr>
                <w:kern w:val="0"/>
              </w:rPr>
            </w:pPr>
            <w:r>
              <w:rPr>
                <w:i/>
                <w:iCs/>
                <w:kern w:val="0"/>
              </w:rPr>
              <w:t>p</w:t>
            </w:r>
            <w:r>
              <w:rPr>
                <w:kern w:val="0"/>
              </w:rPr>
              <w:t xml:space="preserve"> value</w:t>
            </w:r>
          </w:p>
        </w:tc>
        <w:tc>
          <w:tcPr>
            <w:tcW w:w="2268" w:type="dxa"/>
            <w:vAlign w:val="center"/>
          </w:tcPr>
          <w:p>
            <w:pPr>
              <w:pStyle w:val="77"/>
              <w:jc w:val="left"/>
              <w:rPr>
                <w:kern w:val="0"/>
              </w:rPr>
            </w:pPr>
            <w:r>
              <w:rPr>
                <w:kern w:val="0"/>
              </w:rPr>
              <w:t>Adjusted HR</w:t>
            </w:r>
            <w:r>
              <w:rPr>
                <w:rFonts w:hint="eastAsia" w:eastAsia="等线"/>
                <w:kern w:val="0"/>
              </w:rPr>
              <w:t xml:space="preserve"> </w:t>
            </w:r>
            <w:r>
              <w:rPr>
                <w:kern w:val="0"/>
              </w:rPr>
              <w:t>(95% CI)</w:t>
            </w:r>
          </w:p>
        </w:tc>
        <w:tc>
          <w:tcPr>
            <w:tcW w:w="1218" w:type="dxa"/>
            <w:vAlign w:val="center"/>
          </w:tcPr>
          <w:p>
            <w:pPr>
              <w:pStyle w:val="77"/>
              <w:jc w:val="left"/>
              <w:rPr>
                <w:kern w:val="0"/>
              </w:rPr>
            </w:pPr>
            <w:r>
              <w:rPr>
                <w:i/>
                <w:iCs/>
                <w:kern w:val="0"/>
              </w:rPr>
              <w:t>p</w:t>
            </w:r>
            <w:r>
              <w:rPr>
                <w:kern w:val="0"/>
              </w:rPr>
              <w:t xml:space="preserve"> value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trPr>
        <w:tc>
          <w:tcPr>
            <w:tcW w:w="13687" w:type="dxa"/>
            <w:gridSpan w:val="8"/>
          </w:tcPr>
          <w:p>
            <w:pPr>
              <w:pStyle w:val="77"/>
              <w:jc w:val="left"/>
              <w:rPr>
                <w:kern w:val="0"/>
              </w:rPr>
            </w:pPr>
            <w:r>
              <w:rPr>
                <w:kern w:val="0"/>
              </w:rPr>
              <w:t>Hospitalization due to all-cause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trPr>
        <w:tc>
          <w:tcPr>
            <w:tcW w:w="13687" w:type="dxa"/>
            <w:gridSpan w:val="8"/>
          </w:tcPr>
          <w:p>
            <w:pPr>
              <w:pStyle w:val="77"/>
              <w:jc w:val="left"/>
              <w:rPr>
                <w:kern w:val="0"/>
              </w:rPr>
            </w:pPr>
            <w:r>
              <w:rPr>
                <w:kern w:val="0"/>
              </w:rPr>
              <w:t xml:space="preserve">HF medication group </w:t>
            </w:r>
            <w:r>
              <w:rPr>
                <w:rFonts w:hint="eastAsia"/>
                <w:kern w:val="0"/>
              </w:rPr>
              <w:t>I</w:t>
            </w:r>
            <w:r>
              <w:rPr>
                <w:kern w:val="0"/>
              </w:rPr>
              <w:t xml:space="preserve"> - none or ACE inhibitor/ARB</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trPr>
        <w:tc>
          <w:tcPr>
            <w:tcW w:w="2547" w:type="dxa"/>
          </w:tcPr>
          <w:p>
            <w:pPr>
              <w:pStyle w:val="77"/>
              <w:jc w:val="left"/>
              <w:rPr>
                <w:kern w:val="0"/>
              </w:rPr>
            </w:pPr>
            <w:r>
              <w:rPr>
                <w:kern w:val="0"/>
              </w:rPr>
              <w:t>Inactive</w:t>
            </w:r>
          </w:p>
        </w:tc>
        <w:tc>
          <w:tcPr>
            <w:tcW w:w="1417" w:type="dxa"/>
          </w:tcPr>
          <w:p>
            <w:pPr>
              <w:pStyle w:val="77"/>
              <w:jc w:val="left"/>
              <w:rPr>
                <w:kern w:val="0"/>
              </w:rPr>
            </w:pPr>
            <w:r>
              <w:rPr>
                <w:kern w:val="0"/>
              </w:rPr>
              <w:t>152</w:t>
            </w:r>
          </w:p>
        </w:tc>
        <w:tc>
          <w:tcPr>
            <w:tcW w:w="1418" w:type="dxa"/>
          </w:tcPr>
          <w:p>
            <w:pPr>
              <w:pStyle w:val="77"/>
              <w:jc w:val="left"/>
              <w:rPr>
                <w:kern w:val="0"/>
              </w:rPr>
            </w:pPr>
            <w:r>
              <w:rPr>
                <w:kern w:val="0"/>
              </w:rPr>
              <w:t>85</w:t>
            </w:r>
          </w:p>
        </w:tc>
        <w:tc>
          <w:tcPr>
            <w:tcW w:w="1276" w:type="dxa"/>
          </w:tcPr>
          <w:p>
            <w:pPr>
              <w:pStyle w:val="77"/>
              <w:jc w:val="left"/>
              <w:rPr>
                <w:kern w:val="0"/>
              </w:rPr>
            </w:pPr>
            <w:r>
              <w:rPr>
                <w:kern w:val="0"/>
              </w:rPr>
              <w:t>29.3</w:t>
            </w:r>
          </w:p>
        </w:tc>
        <w:tc>
          <w:tcPr>
            <w:tcW w:w="2268" w:type="dxa"/>
            <w:vAlign w:val="center"/>
          </w:tcPr>
          <w:p>
            <w:pPr>
              <w:pStyle w:val="77"/>
              <w:jc w:val="left"/>
              <w:rPr>
                <w:kern w:val="0"/>
              </w:rPr>
            </w:pPr>
            <w:r>
              <w:rPr>
                <w:rFonts w:eastAsia="Malgun Gothic"/>
                <w:kern w:val="0"/>
              </w:rPr>
              <w:t>Reference</w:t>
            </w:r>
          </w:p>
        </w:tc>
        <w:tc>
          <w:tcPr>
            <w:tcW w:w="1275" w:type="dxa"/>
            <w:vAlign w:val="center"/>
          </w:tcPr>
          <w:p>
            <w:pPr>
              <w:pStyle w:val="77"/>
              <w:jc w:val="left"/>
              <w:rPr>
                <w:kern w:val="0"/>
              </w:rPr>
            </w:pPr>
          </w:p>
        </w:tc>
        <w:tc>
          <w:tcPr>
            <w:tcW w:w="2268" w:type="dxa"/>
            <w:vAlign w:val="center"/>
          </w:tcPr>
          <w:p>
            <w:pPr>
              <w:pStyle w:val="77"/>
              <w:jc w:val="left"/>
              <w:rPr>
                <w:kern w:val="0"/>
              </w:rPr>
            </w:pPr>
            <w:r>
              <w:rPr>
                <w:rFonts w:eastAsia="Malgun Gothic"/>
                <w:kern w:val="0"/>
              </w:rPr>
              <w:t>Reference</w:t>
            </w:r>
          </w:p>
        </w:tc>
        <w:tc>
          <w:tcPr>
            <w:tcW w:w="1218" w:type="dxa"/>
            <w:vAlign w:val="center"/>
          </w:tcPr>
          <w:p>
            <w:pPr>
              <w:pStyle w:val="77"/>
              <w:jc w:val="left"/>
              <w:rPr>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3" w:hRule="atLeast"/>
        </w:trPr>
        <w:tc>
          <w:tcPr>
            <w:tcW w:w="2547" w:type="dxa"/>
          </w:tcPr>
          <w:p>
            <w:pPr>
              <w:pStyle w:val="77"/>
              <w:jc w:val="left"/>
              <w:rPr>
                <w:kern w:val="0"/>
              </w:rPr>
            </w:pPr>
            <w:r>
              <w:rPr>
                <w:kern w:val="0"/>
              </w:rPr>
              <w:t>Insufficiently active</w:t>
            </w:r>
          </w:p>
        </w:tc>
        <w:tc>
          <w:tcPr>
            <w:tcW w:w="1417" w:type="dxa"/>
          </w:tcPr>
          <w:p>
            <w:pPr>
              <w:pStyle w:val="77"/>
              <w:jc w:val="left"/>
              <w:rPr>
                <w:kern w:val="0"/>
              </w:rPr>
            </w:pPr>
            <w:r>
              <w:rPr>
                <w:kern w:val="0"/>
              </w:rPr>
              <w:t>82</w:t>
            </w:r>
          </w:p>
        </w:tc>
        <w:tc>
          <w:tcPr>
            <w:tcW w:w="1418" w:type="dxa"/>
          </w:tcPr>
          <w:p>
            <w:pPr>
              <w:pStyle w:val="77"/>
              <w:jc w:val="left"/>
              <w:rPr>
                <w:kern w:val="0"/>
              </w:rPr>
            </w:pPr>
            <w:r>
              <w:rPr>
                <w:kern w:val="0"/>
              </w:rPr>
              <w:t>43</w:t>
            </w:r>
          </w:p>
        </w:tc>
        <w:tc>
          <w:tcPr>
            <w:tcW w:w="1276" w:type="dxa"/>
          </w:tcPr>
          <w:p>
            <w:pPr>
              <w:pStyle w:val="77"/>
              <w:jc w:val="left"/>
              <w:rPr>
                <w:kern w:val="0"/>
              </w:rPr>
            </w:pPr>
            <w:r>
              <w:rPr>
                <w:kern w:val="0"/>
              </w:rPr>
              <w:t>27.3</w:t>
            </w:r>
          </w:p>
        </w:tc>
        <w:tc>
          <w:tcPr>
            <w:tcW w:w="2268" w:type="dxa"/>
          </w:tcPr>
          <w:p>
            <w:pPr>
              <w:pStyle w:val="77"/>
              <w:jc w:val="left"/>
              <w:rPr>
                <w:kern w:val="0"/>
              </w:rPr>
            </w:pPr>
            <w:r>
              <w:rPr>
                <w:kern w:val="0"/>
              </w:rPr>
              <w:t>0.90 (0.62–1.31)</w:t>
            </w:r>
          </w:p>
        </w:tc>
        <w:tc>
          <w:tcPr>
            <w:tcW w:w="1275" w:type="dxa"/>
          </w:tcPr>
          <w:p>
            <w:pPr>
              <w:pStyle w:val="77"/>
              <w:jc w:val="left"/>
              <w:rPr>
                <w:kern w:val="0"/>
              </w:rPr>
            </w:pPr>
            <w:r>
              <w:rPr>
                <w:kern w:val="0"/>
              </w:rPr>
              <w:t>0.592</w:t>
            </w:r>
          </w:p>
        </w:tc>
        <w:tc>
          <w:tcPr>
            <w:tcW w:w="2268" w:type="dxa"/>
          </w:tcPr>
          <w:p>
            <w:pPr>
              <w:pStyle w:val="77"/>
              <w:jc w:val="left"/>
              <w:rPr>
                <w:kern w:val="0"/>
              </w:rPr>
            </w:pPr>
            <w:r>
              <w:rPr>
                <w:kern w:val="0"/>
              </w:rPr>
              <w:t>1.03 (0.68–1.56)</w:t>
            </w:r>
          </w:p>
        </w:tc>
        <w:tc>
          <w:tcPr>
            <w:tcW w:w="1218" w:type="dxa"/>
          </w:tcPr>
          <w:p>
            <w:pPr>
              <w:pStyle w:val="77"/>
              <w:jc w:val="left"/>
              <w:rPr>
                <w:kern w:val="0"/>
              </w:rPr>
            </w:pPr>
            <w:r>
              <w:rPr>
                <w:kern w:val="0"/>
              </w:rPr>
              <w:t>0.89</w:t>
            </w:r>
            <w:r>
              <w:rPr>
                <w:rFonts w:hint="eastAsia"/>
                <w:kern w:val="0"/>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trPr>
        <w:tc>
          <w:tcPr>
            <w:tcW w:w="2547" w:type="dxa"/>
          </w:tcPr>
          <w:p>
            <w:pPr>
              <w:pStyle w:val="77"/>
              <w:jc w:val="left"/>
              <w:rPr>
                <w:kern w:val="0"/>
              </w:rPr>
            </w:pPr>
            <w:r>
              <w:rPr>
                <w:kern w:val="0"/>
              </w:rPr>
              <w:t>Active</w:t>
            </w:r>
          </w:p>
        </w:tc>
        <w:tc>
          <w:tcPr>
            <w:tcW w:w="1417" w:type="dxa"/>
          </w:tcPr>
          <w:p>
            <w:pPr>
              <w:pStyle w:val="77"/>
              <w:jc w:val="left"/>
              <w:rPr>
                <w:kern w:val="0"/>
              </w:rPr>
            </w:pPr>
            <w:r>
              <w:rPr>
                <w:kern w:val="0"/>
              </w:rPr>
              <w:t>73</w:t>
            </w:r>
          </w:p>
        </w:tc>
        <w:tc>
          <w:tcPr>
            <w:tcW w:w="1418" w:type="dxa"/>
          </w:tcPr>
          <w:p>
            <w:pPr>
              <w:pStyle w:val="77"/>
              <w:jc w:val="left"/>
              <w:rPr>
                <w:kern w:val="0"/>
              </w:rPr>
            </w:pPr>
            <w:r>
              <w:rPr>
                <w:kern w:val="0"/>
              </w:rPr>
              <w:t>34</w:t>
            </w:r>
          </w:p>
        </w:tc>
        <w:tc>
          <w:tcPr>
            <w:tcW w:w="1276" w:type="dxa"/>
          </w:tcPr>
          <w:p>
            <w:pPr>
              <w:pStyle w:val="77"/>
              <w:jc w:val="left"/>
              <w:rPr>
                <w:kern w:val="0"/>
              </w:rPr>
            </w:pPr>
            <w:r>
              <w:rPr>
                <w:kern w:val="0"/>
              </w:rPr>
              <w:t>19.6</w:t>
            </w:r>
          </w:p>
        </w:tc>
        <w:tc>
          <w:tcPr>
            <w:tcW w:w="2268" w:type="dxa"/>
          </w:tcPr>
          <w:p>
            <w:pPr>
              <w:pStyle w:val="77"/>
              <w:jc w:val="left"/>
              <w:rPr>
                <w:kern w:val="0"/>
              </w:rPr>
            </w:pPr>
            <w:r>
              <w:rPr>
                <w:kern w:val="0"/>
              </w:rPr>
              <w:t>0.67 (0.46–0.97)</w:t>
            </w:r>
          </w:p>
        </w:tc>
        <w:tc>
          <w:tcPr>
            <w:tcW w:w="1275" w:type="dxa"/>
          </w:tcPr>
          <w:p>
            <w:pPr>
              <w:pStyle w:val="77"/>
              <w:jc w:val="left"/>
              <w:rPr>
                <w:kern w:val="0"/>
              </w:rPr>
            </w:pPr>
            <w:r>
              <w:rPr>
                <w:kern w:val="0"/>
              </w:rPr>
              <w:t>0.032</w:t>
            </w:r>
          </w:p>
        </w:tc>
        <w:tc>
          <w:tcPr>
            <w:tcW w:w="2268" w:type="dxa"/>
          </w:tcPr>
          <w:p>
            <w:pPr>
              <w:pStyle w:val="77"/>
              <w:jc w:val="left"/>
              <w:rPr>
                <w:kern w:val="0"/>
              </w:rPr>
            </w:pPr>
            <w:r>
              <w:rPr>
                <w:kern w:val="0"/>
              </w:rPr>
              <w:t>0.78 (0.52–1.16)</w:t>
            </w:r>
          </w:p>
        </w:tc>
        <w:tc>
          <w:tcPr>
            <w:tcW w:w="1218" w:type="dxa"/>
          </w:tcPr>
          <w:p>
            <w:pPr>
              <w:pStyle w:val="77"/>
              <w:jc w:val="left"/>
              <w:rPr>
                <w:kern w:val="0"/>
              </w:rPr>
            </w:pPr>
            <w:r>
              <w:rPr>
                <w:kern w:val="0"/>
              </w:rPr>
              <w:t>0.22</w:t>
            </w:r>
            <w:r>
              <w:rPr>
                <w:rFonts w:hint="eastAsia"/>
                <w:kern w:val="0"/>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trPr>
        <w:tc>
          <w:tcPr>
            <w:tcW w:w="2547" w:type="dxa"/>
          </w:tcPr>
          <w:p>
            <w:pPr>
              <w:pStyle w:val="77"/>
              <w:jc w:val="left"/>
              <w:rPr>
                <w:kern w:val="0"/>
              </w:rPr>
            </w:pPr>
            <w:r>
              <w:rPr>
                <w:kern w:val="0"/>
              </w:rPr>
              <w:t>Highly active</w:t>
            </w:r>
          </w:p>
        </w:tc>
        <w:tc>
          <w:tcPr>
            <w:tcW w:w="1417" w:type="dxa"/>
          </w:tcPr>
          <w:p>
            <w:pPr>
              <w:pStyle w:val="77"/>
              <w:jc w:val="left"/>
              <w:rPr>
                <w:kern w:val="0"/>
              </w:rPr>
            </w:pPr>
            <w:r>
              <w:rPr>
                <w:kern w:val="0"/>
              </w:rPr>
              <w:t>43</w:t>
            </w:r>
          </w:p>
        </w:tc>
        <w:tc>
          <w:tcPr>
            <w:tcW w:w="1418" w:type="dxa"/>
          </w:tcPr>
          <w:p>
            <w:pPr>
              <w:pStyle w:val="77"/>
              <w:jc w:val="left"/>
              <w:rPr>
                <w:kern w:val="0"/>
              </w:rPr>
            </w:pPr>
            <w:r>
              <w:rPr>
                <w:kern w:val="0"/>
              </w:rPr>
              <w:t>15</w:t>
            </w:r>
          </w:p>
        </w:tc>
        <w:tc>
          <w:tcPr>
            <w:tcW w:w="1276" w:type="dxa"/>
          </w:tcPr>
          <w:p>
            <w:pPr>
              <w:pStyle w:val="77"/>
              <w:jc w:val="left"/>
              <w:rPr>
                <w:kern w:val="0"/>
              </w:rPr>
            </w:pPr>
            <w:r>
              <w:rPr>
                <w:kern w:val="0"/>
              </w:rPr>
              <w:t>13.8</w:t>
            </w:r>
          </w:p>
        </w:tc>
        <w:tc>
          <w:tcPr>
            <w:tcW w:w="2268" w:type="dxa"/>
          </w:tcPr>
          <w:p>
            <w:pPr>
              <w:pStyle w:val="77"/>
              <w:jc w:val="left"/>
              <w:rPr>
                <w:kern w:val="0"/>
              </w:rPr>
            </w:pPr>
            <w:r>
              <w:rPr>
                <w:kern w:val="0"/>
              </w:rPr>
              <w:t>0.50 (0.28–0.89)</w:t>
            </w:r>
          </w:p>
        </w:tc>
        <w:tc>
          <w:tcPr>
            <w:tcW w:w="1275" w:type="dxa"/>
          </w:tcPr>
          <w:p>
            <w:pPr>
              <w:pStyle w:val="77"/>
              <w:jc w:val="left"/>
              <w:rPr>
                <w:kern w:val="0"/>
              </w:rPr>
            </w:pPr>
            <w:r>
              <w:rPr>
                <w:kern w:val="0"/>
              </w:rPr>
              <w:t>0.018</w:t>
            </w:r>
          </w:p>
        </w:tc>
        <w:tc>
          <w:tcPr>
            <w:tcW w:w="2268" w:type="dxa"/>
          </w:tcPr>
          <w:p>
            <w:pPr>
              <w:pStyle w:val="77"/>
              <w:jc w:val="left"/>
              <w:rPr>
                <w:kern w:val="0"/>
              </w:rPr>
            </w:pPr>
            <w:r>
              <w:rPr>
                <w:kern w:val="0"/>
              </w:rPr>
              <w:t>0.52 (0.28–0.94)</w:t>
            </w:r>
          </w:p>
        </w:tc>
        <w:tc>
          <w:tcPr>
            <w:tcW w:w="1218" w:type="dxa"/>
          </w:tcPr>
          <w:p>
            <w:pPr>
              <w:pStyle w:val="77"/>
              <w:jc w:val="left"/>
              <w:rPr>
                <w:kern w:val="0"/>
              </w:rPr>
            </w:pPr>
            <w:r>
              <w:rPr>
                <w:kern w:val="0"/>
              </w:rPr>
              <w:t>0.03</w:t>
            </w:r>
            <w:r>
              <w:rPr>
                <w:rFonts w:hint="eastAsia"/>
                <w:kern w:val="0"/>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trPr>
        <w:tc>
          <w:tcPr>
            <w:tcW w:w="13687" w:type="dxa"/>
            <w:gridSpan w:val="8"/>
          </w:tcPr>
          <w:p>
            <w:pPr>
              <w:pStyle w:val="77"/>
              <w:jc w:val="left"/>
              <w:rPr>
                <w:kern w:val="0"/>
              </w:rPr>
            </w:pPr>
            <w:r>
              <w:rPr>
                <w:kern w:val="0"/>
              </w:rPr>
              <w:t xml:space="preserve">HF medication group </w:t>
            </w:r>
            <w:r>
              <w:rPr>
                <w:rFonts w:hint="eastAsia"/>
                <w:kern w:val="0"/>
              </w:rPr>
              <w:t>II</w:t>
            </w:r>
            <w:r>
              <w:rPr>
                <w:kern w:val="0"/>
              </w:rPr>
              <w:t xml:space="preserve"> - beta blocker or diuretics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trPr>
        <w:tc>
          <w:tcPr>
            <w:tcW w:w="2547" w:type="dxa"/>
          </w:tcPr>
          <w:p>
            <w:pPr>
              <w:pStyle w:val="77"/>
              <w:jc w:val="left"/>
              <w:rPr>
                <w:kern w:val="0"/>
              </w:rPr>
            </w:pPr>
            <w:r>
              <w:rPr>
                <w:kern w:val="0"/>
              </w:rPr>
              <w:t>Inactive</w:t>
            </w:r>
          </w:p>
        </w:tc>
        <w:tc>
          <w:tcPr>
            <w:tcW w:w="1417" w:type="dxa"/>
          </w:tcPr>
          <w:p>
            <w:pPr>
              <w:pStyle w:val="77"/>
              <w:jc w:val="left"/>
              <w:rPr>
                <w:kern w:val="0"/>
              </w:rPr>
            </w:pPr>
            <w:r>
              <w:rPr>
                <w:kern w:val="0"/>
              </w:rPr>
              <w:t>1880</w:t>
            </w:r>
          </w:p>
        </w:tc>
        <w:tc>
          <w:tcPr>
            <w:tcW w:w="1418" w:type="dxa"/>
          </w:tcPr>
          <w:p>
            <w:pPr>
              <w:pStyle w:val="77"/>
              <w:jc w:val="left"/>
              <w:rPr>
                <w:kern w:val="0"/>
              </w:rPr>
            </w:pPr>
            <w:r>
              <w:rPr>
                <w:kern w:val="0"/>
              </w:rPr>
              <w:t>1174</w:t>
            </w:r>
          </w:p>
        </w:tc>
        <w:tc>
          <w:tcPr>
            <w:tcW w:w="1276" w:type="dxa"/>
          </w:tcPr>
          <w:p>
            <w:pPr>
              <w:pStyle w:val="77"/>
              <w:jc w:val="left"/>
              <w:rPr>
                <w:kern w:val="0"/>
              </w:rPr>
            </w:pPr>
            <w:r>
              <w:rPr>
                <w:kern w:val="0"/>
              </w:rPr>
              <w:t>35.3</w:t>
            </w:r>
          </w:p>
        </w:tc>
        <w:tc>
          <w:tcPr>
            <w:tcW w:w="2268" w:type="dxa"/>
            <w:vAlign w:val="center"/>
          </w:tcPr>
          <w:p>
            <w:pPr>
              <w:pStyle w:val="77"/>
              <w:jc w:val="left"/>
              <w:rPr>
                <w:kern w:val="0"/>
              </w:rPr>
            </w:pPr>
            <w:r>
              <w:rPr>
                <w:rFonts w:eastAsia="Malgun Gothic"/>
                <w:kern w:val="0"/>
              </w:rPr>
              <w:t>Reference</w:t>
            </w:r>
          </w:p>
        </w:tc>
        <w:tc>
          <w:tcPr>
            <w:tcW w:w="1275" w:type="dxa"/>
            <w:vAlign w:val="center"/>
          </w:tcPr>
          <w:p>
            <w:pPr>
              <w:pStyle w:val="77"/>
              <w:jc w:val="left"/>
              <w:rPr>
                <w:kern w:val="0"/>
              </w:rPr>
            </w:pPr>
          </w:p>
        </w:tc>
        <w:tc>
          <w:tcPr>
            <w:tcW w:w="2268" w:type="dxa"/>
            <w:vAlign w:val="center"/>
          </w:tcPr>
          <w:p>
            <w:pPr>
              <w:pStyle w:val="77"/>
              <w:jc w:val="left"/>
              <w:rPr>
                <w:kern w:val="0"/>
              </w:rPr>
            </w:pPr>
            <w:r>
              <w:rPr>
                <w:rFonts w:eastAsia="Malgun Gothic"/>
                <w:kern w:val="0"/>
              </w:rPr>
              <w:t>Reference</w:t>
            </w:r>
          </w:p>
        </w:tc>
        <w:tc>
          <w:tcPr>
            <w:tcW w:w="1218" w:type="dxa"/>
            <w:vAlign w:val="center"/>
          </w:tcPr>
          <w:p>
            <w:pPr>
              <w:pStyle w:val="77"/>
              <w:jc w:val="left"/>
              <w:rPr>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3" w:hRule="atLeast"/>
        </w:trPr>
        <w:tc>
          <w:tcPr>
            <w:tcW w:w="2547" w:type="dxa"/>
          </w:tcPr>
          <w:p>
            <w:pPr>
              <w:pStyle w:val="77"/>
              <w:jc w:val="left"/>
              <w:rPr>
                <w:kern w:val="0"/>
              </w:rPr>
            </w:pPr>
            <w:r>
              <w:rPr>
                <w:kern w:val="0"/>
              </w:rPr>
              <w:t>Insufficiently active</w:t>
            </w:r>
          </w:p>
        </w:tc>
        <w:tc>
          <w:tcPr>
            <w:tcW w:w="1417" w:type="dxa"/>
          </w:tcPr>
          <w:p>
            <w:pPr>
              <w:pStyle w:val="77"/>
              <w:jc w:val="left"/>
              <w:rPr>
                <w:kern w:val="0"/>
              </w:rPr>
            </w:pPr>
            <w:r>
              <w:rPr>
                <w:kern w:val="0"/>
              </w:rPr>
              <w:t>1104</w:t>
            </w:r>
          </w:p>
        </w:tc>
        <w:tc>
          <w:tcPr>
            <w:tcW w:w="1418" w:type="dxa"/>
          </w:tcPr>
          <w:p>
            <w:pPr>
              <w:pStyle w:val="77"/>
              <w:jc w:val="left"/>
              <w:rPr>
                <w:kern w:val="0"/>
              </w:rPr>
            </w:pPr>
            <w:r>
              <w:rPr>
                <w:kern w:val="0"/>
              </w:rPr>
              <w:t>671</w:t>
            </w:r>
          </w:p>
        </w:tc>
        <w:tc>
          <w:tcPr>
            <w:tcW w:w="1276" w:type="dxa"/>
          </w:tcPr>
          <w:p>
            <w:pPr>
              <w:pStyle w:val="77"/>
              <w:jc w:val="left"/>
              <w:rPr>
                <w:kern w:val="0"/>
              </w:rPr>
            </w:pPr>
            <w:r>
              <w:rPr>
                <w:kern w:val="0"/>
              </w:rPr>
              <w:t>31.3</w:t>
            </w:r>
          </w:p>
        </w:tc>
        <w:tc>
          <w:tcPr>
            <w:tcW w:w="2268" w:type="dxa"/>
          </w:tcPr>
          <w:p>
            <w:pPr>
              <w:pStyle w:val="77"/>
              <w:jc w:val="left"/>
              <w:rPr>
                <w:kern w:val="0"/>
              </w:rPr>
            </w:pPr>
            <w:r>
              <w:rPr>
                <w:kern w:val="0"/>
              </w:rPr>
              <w:t>0.89 (0.81–0.98)</w:t>
            </w:r>
          </w:p>
        </w:tc>
        <w:tc>
          <w:tcPr>
            <w:tcW w:w="1275" w:type="dxa"/>
          </w:tcPr>
          <w:p>
            <w:pPr>
              <w:pStyle w:val="77"/>
              <w:jc w:val="left"/>
              <w:rPr>
                <w:kern w:val="0"/>
              </w:rPr>
            </w:pPr>
            <w:r>
              <w:rPr>
                <w:kern w:val="0"/>
              </w:rPr>
              <w:t>0.022</w:t>
            </w:r>
          </w:p>
        </w:tc>
        <w:tc>
          <w:tcPr>
            <w:tcW w:w="2268" w:type="dxa"/>
          </w:tcPr>
          <w:p>
            <w:pPr>
              <w:pStyle w:val="77"/>
              <w:jc w:val="left"/>
              <w:rPr>
                <w:kern w:val="0"/>
              </w:rPr>
            </w:pPr>
            <w:r>
              <w:rPr>
                <w:kern w:val="0"/>
              </w:rPr>
              <w:t>0.95 (0.86–1.05)</w:t>
            </w:r>
          </w:p>
        </w:tc>
        <w:tc>
          <w:tcPr>
            <w:tcW w:w="1218" w:type="dxa"/>
          </w:tcPr>
          <w:p>
            <w:pPr>
              <w:pStyle w:val="77"/>
              <w:jc w:val="left"/>
              <w:rPr>
                <w:kern w:val="0"/>
              </w:rPr>
            </w:pPr>
            <w:r>
              <w:rPr>
                <w:kern w:val="0"/>
              </w:rPr>
              <w:t>0.31</w:t>
            </w:r>
            <w:r>
              <w:rPr>
                <w:rFonts w:hint="eastAsia"/>
                <w:kern w:val="0"/>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trPr>
        <w:tc>
          <w:tcPr>
            <w:tcW w:w="2547" w:type="dxa"/>
          </w:tcPr>
          <w:p>
            <w:pPr>
              <w:pStyle w:val="77"/>
              <w:jc w:val="left"/>
              <w:rPr>
                <w:kern w:val="0"/>
              </w:rPr>
            </w:pPr>
            <w:r>
              <w:rPr>
                <w:kern w:val="0"/>
              </w:rPr>
              <w:t>Active</w:t>
            </w:r>
          </w:p>
        </w:tc>
        <w:tc>
          <w:tcPr>
            <w:tcW w:w="1417" w:type="dxa"/>
          </w:tcPr>
          <w:p>
            <w:pPr>
              <w:pStyle w:val="77"/>
              <w:jc w:val="left"/>
              <w:rPr>
                <w:kern w:val="0"/>
              </w:rPr>
            </w:pPr>
            <w:r>
              <w:rPr>
                <w:kern w:val="0"/>
              </w:rPr>
              <w:t>998</w:t>
            </w:r>
          </w:p>
        </w:tc>
        <w:tc>
          <w:tcPr>
            <w:tcW w:w="1418" w:type="dxa"/>
          </w:tcPr>
          <w:p>
            <w:pPr>
              <w:pStyle w:val="77"/>
              <w:jc w:val="left"/>
              <w:rPr>
                <w:kern w:val="0"/>
              </w:rPr>
            </w:pPr>
            <w:r>
              <w:rPr>
                <w:kern w:val="0"/>
              </w:rPr>
              <w:t>586</w:t>
            </w:r>
          </w:p>
        </w:tc>
        <w:tc>
          <w:tcPr>
            <w:tcW w:w="1276" w:type="dxa"/>
          </w:tcPr>
          <w:p>
            <w:pPr>
              <w:pStyle w:val="77"/>
              <w:jc w:val="left"/>
              <w:rPr>
                <w:kern w:val="0"/>
              </w:rPr>
            </w:pPr>
            <w:r>
              <w:rPr>
                <w:kern w:val="0"/>
              </w:rPr>
              <w:t>28.8</w:t>
            </w:r>
          </w:p>
        </w:tc>
        <w:tc>
          <w:tcPr>
            <w:tcW w:w="2268" w:type="dxa"/>
          </w:tcPr>
          <w:p>
            <w:pPr>
              <w:pStyle w:val="77"/>
              <w:jc w:val="left"/>
              <w:rPr>
                <w:kern w:val="0"/>
              </w:rPr>
            </w:pPr>
            <w:r>
              <w:rPr>
                <w:kern w:val="0"/>
              </w:rPr>
              <w:t>0.83 (0.75–0.92)</w:t>
            </w:r>
          </w:p>
        </w:tc>
        <w:tc>
          <w:tcPr>
            <w:tcW w:w="1275" w:type="dxa"/>
          </w:tcPr>
          <w:p>
            <w:pPr>
              <w:pStyle w:val="77"/>
              <w:jc w:val="left"/>
              <w:rPr>
                <w:kern w:val="0"/>
              </w:rPr>
            </w:pPr>
            <w:r>
              <w:rPr>
                <w:kern w:val="0"/>
              </w:rPr>
              <w:t>&lt;0.001</w:t>
            </w:r>
          </w:p>
        </w:tc>
        <w:tc>
          <w:tcPr>
            <w:tcW w:w="2268" w:type="dxa"/>
          </w:tcPr>
          <w:p>
            <w:pPr>
              <w:pStyle w:val="77"/>
              <w:jc w:val="left"/>
              <w:rPr>
                <w:kern w:val="0"/>
              </w:rPr>
            </w:pPr>
            <w:r>
              <w:rPr>
                <w:kern w:val="0"/>
              </w:rPr>
              <w:t>0.92 (0.83–1.02)</w:t>
            </w:r>
          </w:p>
        </w:tc>
        <w:tc>
          <w:tcPr>
            <w:tcW w:w="1218" w:type="dxa"/>
          </w:tcPr>
          <w:p>
            <w:pPr>
              <w:pStyle w:val="77"/>
              <w:jc w:val="left"/>
              <w:rPr>
                <w:kern w:val="0"/>
              </w:rPr>
            </w:pPr>
            <w:r>
              <w:rPr>
                <w:kern w:val="0"/>
              </w:rPr>
              <w:t>0.1</w:t>
            </w:r>
            <w:r>
              <w:rPr>
                <w:rFonts w:hint="eastAsia"/>
                <w:kern w:val="0"/>
              </w:rPr>
              <w:t>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trPr>
        <w:tc>
          <w:tcPr>
            <w:tcW w:w="2547" w:type="dxa"/>
          </w:tcPr>
          <w:p>
            <w:pPr>
              <w:pStyle w:val="77"/>
              <w:jc w:val="left"/>
              <w:rPr>
                <w:kern w:val="0"/>
              </w:rPr>
            </w:pPr>
            <w:r>
              <w:rPr>
                <w:kern w:val="0"/>
              </w:rPr>
              <w:t>Highly active</w:t>
            </w:r>
          </w:p>
        </w:tc>
        <w:tc>
          <w:tcPr>
            <w:tcW w:w="1417" w:type="dxa"/>
          </w:tcPr>
          <w:p>
            <w:pPr>
              <w:pStyle w:val="77"/>
              <w:jc w:val="left"/>
              <w:rPr>
                <w:kern w:val="0"/>
              </w:rPr>
            </w:pPr>
            <w:r>
              <w:rPr>
                <w:kern w:val="0"/>
              </w:rPr>
              <w:t>617</w:t>
            </w:r>
          </w:p>
        </w:tc>
        <w:tc>
          <w:tcPr>
            <w:tcW w:w="1418" w:type="dxa"/>
          </w:tcPr>
          <w:p>
            <w:pPr>
              <w:pStyle w:val="77"/>
              <w:jc w:val="left"/>
              <w:rPr>
                <w:kern w:val="0"/>
              </w:rPr>
            </w:pPr>
            <w:r>
              <w:rPr>
                <w:kern w:val="0"/>
              </w:rPr>
              <w:t>331</w:t>
            </w:r>
          </w:p>
        </w:tc>
        <w:tc>
          <w:tcPr>
            <w:tcW w:w="1276" w:type="dxa"/>
          </w:tcPr>
          <w:p>
            <w:pPr>
              <w:pStyle w:val="77"/>
              <w:jc w:val="left"/>
              <w:rPr>
                <w:kern w:val="0"/>
              </w:rPr>
            </w:pPr>
            <w:r>
              <w:rPr>
                <w:kern w:val="0"/>
              </w:rPr>
              <w:t>24.7</w:t>
            </w:r>
          </w:p>
        </w:tc>
        <w:tc>
          <w:tcPr>
            <w:tcW w:w="2268" w:type="dxa"/>
          </w:tcPr>
          <w:p>
            <w:pPr>
              <w:pStyle w:val="77"/>
              <w:jc w:val="left"/>
              <w:rPr>
                <w:kern w:val="0"/>
              </w:rPr>
            </w:pPr>
            <w:r>
              <w:rPr>
                <w:kern w:val="0"/>
              </w:rPr>
              <w:t>0.72 (0.63–0.81)</w:t>
            </w:r>
          </w:p>
        </w:tc>
        <w:tc>
          <w:tcPr>
            <w:tcW w:w="1275" w:type="dxa"/>
          </w:tcPr>
          <w:p>
            <w:pPr>
              <w:pStyle w:val="77"/>
              <w:jc w:val="left"/>
              <w:rPr>
                <w:kern w:val="0"/>
              </w:rPr>
            </w:pPr>
            <w:r>
              <w:rPr>
                <w:kern w:val="0"/>
              </w:rPr>
              <w:t>&lt;0.001</w:t>
            </w:r>
          </w:p>
        </w:tc>
        <w:tc>
          <w:tcPr>
            <w:tcW w:w="2268" w:type="dxa"/>
          </w:tcPr>
          <w:p>
            <w:pPr>
              <w:pStyle w:val="77"/>
              <w:jc w:val="left"/>
              <w:rPr>
                <w:kern w:val="0"/>
              </w:rPr>
            </w:pPr>
            <w:r>
              <w:rPr>
                <w:kern w:val="0"/>
              </w:rPr>
              <w:t>0.79 (0.7–0.9)</w:t>
            </w:r>
          </w:p>
        </w:tc>
        <w:tc>
          <w:tcPr>
            <w:tcW w:w="1218" w:type="dxa"/>
          </w:tcPr>
          <w:p>
            <w:pPr>
              <w:pStyle w:val="77"/>
              <w:jc w:val="left"/>
              <w:rPr>
                <w:kern w:val="0"/>
              </w:rPr>
            </w:pPr>
            <w:r>
              <w:rPr>
                <w:kern w:val="0"/>
              </w:rPr>
              <w:t>&lt;0.001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trPr>
        <w:tc>
          <w:tcPr>
            <w:tcW w:w="13687" w:type="dxa"/>
            <w:gridSpan w:val="8"/>
          </w:tcPr>
          <w:p>
            <w:pPr>
              <w:pStyle w:val="77"/>
              <w:jc w:val="left"/>
              <w:rPr>
                <w:kern w:val="0"/>
              </w:rPr>
            </w:pPr>
            <w:r>
              <w:rPr>
                <w:kern w:val="0"/>
              </w:rPr>
              <w:t xml:space="preserve">HF medication group </w:t>
            </w:r>
            <w:r>
              <w:rPr>
                <w:rFonts w:hint="eastAsia"/>
                <w:kern w:val="0"/>
              </w:rPr>
              <w:t>III</w:t>
            </w:r>
            <w:r>
              <w:rPr>
                <w:kern w:val="0"/>
              </w:rPr>
              <w:t xml:space="preserve"> - spironolactone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trPr>
        <w:tc>
          <w:tcPr>
            <w:tcW w:w="2547" w:type="dxa"/>
          </w:tcPr>
          <w:p>
            <w:pPr>
              <w:pStyle w:val="77"/>
              <w:jc w:val="left"/>
              <w:rPr>
                <w:kern w:val="0"/>
              </w:rPr>
            </w:pPr>
            <w:r>
              <w:rPr>
                <w:kern w:val="0"/>
              </w:rPr>
              <w:t>Inactive</w:t>
            </w:r>
          </w:p>
        </w:tc>
        <w:tc>
          <w:tcPr>
            <w:tcW w:w="1417" w:type="dxa"/>
          </w:tcPr>
          <w:p>
            <w:pPr>
              <w:pStyle w:val="77"/>
              <w:jc w:val="left"/>
              <w:rPr>
                <w:kern w:val="0"/>
              </w:rPr>
            </w:pPr>
            <w:r>
              <w:rPr>
                <w:kern w:val="0"/>
              </w:rPr>
              <w:t>1904</w:t>
            </w:r>
          </w:p>
        </w:tc>
        <w:tc>
          <w:tcPr>
            <w:tcW w:w="1418" w:type="dxa"/>
          </w:tcPr>
          <w:p>
            <w:pPr>
              <w:pStyle w:val="77"/>
              <w:jc w:val="left"/>
              <w:rPr>
                <w:kern w:val="0"/>
              </w:rPr>
            </w:pPr>
            <w:r>
              <w:rPr>
                <w:kern w:val="0"/>
              </w:rPr>
              <w:t>1354</w:t>
            </w:r>
          </w:p>
        </w:tc>
        <w:tc>
          <w:tcPr>
            <w:tcW w:w="1276" w:type="dxa"/>
          </w:tcPr>
          <w:p>
            <w:pPr>
              <w:pStyle w:val="77"/>
              <w:jc w:val="left"/>
              <w:rPr>
                <w:kern w:val="0"/>
              </w:rPr>
            </w:pPr>
            <w:r>
              <w:rPr>
                <w:kern w:val="0"/>
              </w:rPr>
              <w:t>45.9</w:t>
            </w:r>
          </w:p>
        </w:tc>
        <w:tc>
          <w:tcPr>
            <w:tcW w:w="2268" w:type="dxa"/>
            <w:vAlign w:val="center"/>
          </w:tcPr>
          <w:p>
            <w:pPr>
              <w:pStyle w:val="77"/>
              <w:jc w:val="left"/>
              <w:rPr>
                <w:kern w:val="0"/>
              </w:rPr>
            </w:pPr>
            <w:r>
              <w:rPr>
                <w:rFonts w:eastAsia="Malgun Gothic"/>
                <w:kern w:val="0"/>
              </w:rPr>
              <w:t>Reference</w:t>
            </w:r>
          </w:p>
        </w:tc>
        <w:tc>
          <w:tcPr>
            <w:tcW w:w="1275" w:type="dxa"/>
            <w:vAlign w:val="center"/>
          </w:tcPr>
          <w:p>
            <w:pPr>
              <w:pStyle w:val="77"/>
              <w:jc w:val="left"/>
              <w:rPr>
                <w:kern w:val="0"/>
              </w:rPr>
            </w:pPr>
          </w:p>
        </w:tc>
        <w:tc>
          <w:tcPr>
            <w:tcW w:w="2268" w:type="dxa"/>
            <w:vAlign w:val="center"/>
          </w:tcPr>
          <w:p>
            <w:pPr>
              <w:pStyle w:val="77"/>
              <w:jc w:val="left"/>
              <w:rPr>
                <w:kern w:val="0"/>
              </w:rPr>
            </w:pPr>
            <w:r>
              <w:rPr>
                <w:rFonts w:eastAsia="Malgun Gothic"/>
                <w:kern w:val="0"/>
              </w:rPr>
              <w:t>Reference</w:t>
            </w:r>
          </w:p>
        </w:tc>
        <w:tc>
          <w:tcPr>
            <w:tcW w:w="1218" w:type="dxa"/>
            <w:vAlign w:val="center"/>
          </w:tcPr>
          <w:p>
            <w:pPr>
              <w:pStyle w:val="77"/>
              <w:jc w:val="left"/>
              <w:rPr>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3" w:hRule="atLeast"/>
        </w:trPr>
        <w:tc>
          <w:tcPr>
            <w:tcW w:w="2547" w:type="dxa"/>
          </w:tcPr>
          <w:p>
            <w:pPr>
              <w:pStyle w:val="77"/>
              <w:jc w:val="left"/>
              <w:rPr>
                <w:kern w:val="0"/>
              </w:rPr>
            </w:pPr>
            <w:r>
              <w:rPr>
                <w:kern w:val="0"/>
              </w:rPr>
              <w:t>Insufficiently active</w:t>
            </w:r>
          </w:p>
        </w:tc>
        <w:tc>
          <w:tcPr>
            <w:tcW w:w="1417" w:type="dxa"/>
          </w:tcPr>
          <w:p>
            <w:pPr>
              <w:pStyle w:val="77"/>
              <w:jc w:val="left"/>
              <w:rPr>
                <w:kern w:val="0"/>
              </w:rPr>
            </w:pPr>
            <w:r>
              <w:rPr>
                <w:kern w:val="0"/>
              </w:rPr>
              <w:t>968</w:t>
            </w:r>
          </w:p>
        </w:tc>
        <w:tc>
          <w:tcPr>
            <w:tcW w:w="1418" w:type="dxa"/>
          </w:tcPr>
          <w:p>
            <w:pPr>
              <w:pStyle w:val="77"/>
              <w:jc w:val="left"/>
              <w:rPr>
                <w:kern w:val="0"/>
              </w:rPr>
            </w:pPr>
            <w:r>
              <w:rPr>
                <w:kern w:val="0"/>
              </w:rPr>
              <w:t>686</w:t>
            </w:r>
          </w:p>
        </w:tc>
        <w:tc>
          <w:tcPr>
            <w:tcW w:w="1276" w:type="dxa"/>
          </w:tcPr>
          <w:p>
            <w:pPr>
              <w:pStyle w:val="77"/>
              <w:jc w:val="left"/>
              <w:rPr>
                <w:kern w:val="0"/>
              </w:rPr>
            </w:pPr>
            <w:r>
              <w:rPr>
                <w:kern w:val="0"/>
              </w:rPr>
              <w:t>43</w:t>
            </w:r>
            <w:r>
              <w:rPr>
                <w:rFonts w:hint="eastAsia"/>
                <w:kern w:val="0"/>
              </w:rPr>
              <w:t>.0</w:t>
            </w:r>
          </w:p>
        </w:tc>
        <w:tc>
          <w:tcPr>
            <w:tcW w:w="2268" w:type="dxa"/>
          </w:tcPr>
          <w:p>
            <w:pPr>
              <w:pStyle w:val="77"/>
              <w:jc w:val="left"/>
              <w:rPr>
                <w:kern w:val="0"/>
              </w:rPr>
            </w:pPr>
            <w:r>
              <w:rPr>
                <w:kern w:val="0"/>
              </w:rPr>
              <w:t>0.94 (0.86–1.03)</w:t>
            </w:r>
          </w:p>
        </w:tc>
        <w:tc>
          <w:tcPr>
            <w:tcW w:w="1275" w:type="dxa"/>
          </w:tcPr>
          <w:p>
            <w:pPr>
              <w:pStyle w:val="77"/>
              <w:jc w:val="left"/>
              <w:rPr>
                <w:kern w:val="0"/>
              </w:rPr>
            </w:pPr>
            <w:r>
              <w:rPr>
                <w:kern w:val="0"/>
              </w:rPr>
              <w:t>0.199</w:t>
            </w:r>
          </w:p>
        </w:tc>
        <w:tc>
          <w:tcPr>
            <w:tcW w:w="2268" w:type="dxa"/>
          </w:tcPr>
          <w:p>
            <w:pPr>
              <w:pStyle w:val="77"/>
              <w:jc w:val="left"/>
              <w:rPr>
                <w:kern w:val="0"/>
              </w:rPr>
            </w:pPr>
            <w:r>
              <w:rPr>
                <w:kern w:val="0"/>
              </w:rPr>
              <w:t>1 (0.91–1.1)</w:t>
            </w:r>
          </w:p>
        </w:tc>
        <w:tc>
          <w:tcPr>
            <w:tcW w:w="1218" w:type="dxa"/>
          </w:tcPr>
          <w:p>
            <w:pPr>
              <w:pStyle w:val="77"/>
              <w:jc w:val="left"/>
              <w:rPr>
                <w:kern w:val="0"/>
              </w:rPr>
            </w:pPr>
            <w:r>
              <w:rPr>
                <w:kern w:val="0"/>
              </w:rPr>
              <w:t>0.98</w:t>
            </w:r>
            <w:r>
              <w:rPr>
                <w:rFonts w:hint="eastAsia"/>
                <w:kern w:val="0"/>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trPr>
        <w:tc>
          <w:tcPr>
            <w:tcW w:w="2547" w:type="dxa"/>
          </w:tcPr>
          <w:p>
            <w:pPr>
              <w:pStyle w:val="77"/>
              <w:jc w:val="left"/>
              <w:rPr>
                <w:kern w:val="0"/>
              </w:rPr>
            </w:pPr>
            <w:r>
              <w:rPr>
                <w:kern w:val="0"/>
              </w:rPr>
              <w:t>Active</w:t>
            </w:r>
          </w:p>
        </w:tc>
        <w:tc>
          <w:tcPr>
            <w:tcW w:w="1417" w:type="dxa"/>
          </w:tcPr>
          <w:p>
            <w:pPr>
              <w:pStyle w:val="77"/>
              <w:jc w:val="left"/>
              <w:rPr>
                <w:kern w:val="0"/>
              </w:rPr>
            </w:pPr>
            <w:r>
              <w:rPr>
                <w:kern w:val="0"/>
              </w:rPr>
              <w:t>754</w:t>
            </w:r>
          </w:p>
        </w:tc>
        <w:tc>
          <w:tcPr>
            <w:tcW w:w="1418" w:type="dxa"/>
          </w:tcPr>
          <w:p>
            <w:pPr>
              <w:pStyle w:val="77"/>
              <w:jc w:val="left"/>
              <w:rPr>
                <w:kern w:val="0"/>
              </w:rPr>
            </w:pPr>
            <w:r>
              <w:rPr>
                <w:kern w:val="0"/>
              </w:rPr>
              <w:t>536</w:t>
            </w:r>
          </w:p>
        </w:tc>
        <w:tc>
          <w:tcPr>
            <w:tcW w:w="1276" w:type="dxa"/>
          </w:tcPr>
          <w:p>
            <w:pPr>
              <w:pStyle w:val="77"/>
              <w:jc w:val="left"/>
              <w:rPr>
                <w:kern w:val="0"/>
              </w:rPr>
            </w:pPr>
            <w:r>
              <w:rPr>
                <w:kern w:val="0"/>
              </w:rPr>
              <w:t>41.6</w:t>
            </w:r>
          </w:p>
        </w:tc>
        <w:tc>
          <w:tcPr>
            <w:tcW w:w="2268" w:type="dxa"/>
          </w:tcPr>
          <w:p>
            <w:pPr>
              <w:pStyle w:val="77"/>
              <w:jc w:val="left"/>
              <w:rPr>
                <w:kern w:val="0"/>
              </w:rPr>
            </w:pPr>
            <w:r>
              <w:rPr>
                <w:kern w:val="0"/>
              </w:rPr>
              <w:t>0.91 (0.83–1.01)</w:t>
            </w:r>
          </w:p>
        </w:tc>
        <w:tc>
          <w:tcPr>
            <w:tcW w:w="1275" w:type="dxa"/>
          </w:tcPr>
          <w:p>
            <w:pPr>
              <w:pStyle w:val="77"/>
              <w:jc w:val="left"/>
              <w:rPr>
                <w:kern w:val="0"/>
              </w:rPr>
            </w:pPr>
            <w:r>
              <w:rPr>
                <w:kern w:val="0"/>
              </w:rPr>
              <w:t>0.071</w:t>
            </w:r>
          </w:p>
        </w:tc>
        <w:tc>
          <w:tcPr>
            <w:tcW w:w="2268" w:type="dxa"/>
          </w:tcPr>
          <w:p>
            <w:pPr>
              <w:pStyle w:val="77"/>
              <w:jc w:val="left"/>
              <w:rPr>
                <w:kern w:val="0"/>
              </w:rPr>
            </w:pPr>
            <w:r>
              <w:rPr>
                <w:kern w:val="0"/>
              </w:rPr>
              <w:t>0.99 (0.9–1.1)</w:t>
            </w:r>
          </w:p>
        </w:tc>
        <w:tc>
          <w:tcPr>
            <w:tcW w:w="1218" w:type="dxa"/>
          </w:tcPr>
          <w:p>
            <w:pPr>
              <w:pStyle w:val="77"/>
              <w:jc w:val="left"/>
              <w:rPr>
                <w:kern w:val="0"/>
              </w:rPr>
            </w:pPr>
            <w:r>
              <w:rPr>
                <w:kern w:val="0"/>
              </w:rPr>
              <w:t>0.89</w:t>
            </w:r>
            <w:r>
              <w:rPr>
                <w:rFonts w:hint="eastAsia"/>
                <w:kern w:val="0"/>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trPr>
        <w:tc>
          <w:tcPr>
            <w:tcW w:w="2547" w:type="dxa"/>
          </w:tcPr>
          <w:p>
            <w:pPr>
              <w:pStyle w:val="77"/>
              <w:jc w:val="left"/>
              <w:rPr>
                <w:kern w:val="0"/>
              </w:rPr>
            </w:pPr>
            <w:r>
              <w:rPr>
                <w:kern w:val="0"/>
              </w:rPr>
              <w:t>Highly active</w:t>
            </w:r>
          </w:p>
        </w:tc>
        <w:tc>
          <w:tcPr>
            <w:tcW w:w="1417" w:type="dxa"/>
          </w:tcPr>
          <w:p>
            <w:pPr>
              <w:pStyle w:val="77"/>
              <w:jc w:val="left"/>
              <w:rPr>
                <w:kern w:val="0"/>
              </w:rPr>
            </w:pPr>
            <w:r>
              <w:rPr>
                <w:kern w:val="0"/>
              </w:rPr>
              <w:t>407</w:t>
            </w:r>
          </w:p>
        </w:tc>
        <w:tc>
          <w:tcPr>
            <w:tcW w:w="1418" w:type="dxa"/>
          </w:tcPr>
          <w:p>
            <w:pPr>
              <w:pStyle w:val="77"/>
              <w:jc w:val="left"/>
              <w:rPr>
                <w:kern w:val="0"/>
              </w:rPr>
            </w:pPr>
            <w:r>
              <w:rPr>
                <w:kern w:val="0"/>
              </w:rPr>
              <w:t>273</w:t>
            </w:r>
          </w:p>
        </w:tc>
        <w:tc>
          <w:tcPr>
            <w:tcW w:w="1276" w:type="dxa"/>
          </w:tcPr>
          <w:p>
            <w:pPr>
              <w:pStyle w:val="77"/>
              <w:jc w:val="left"/>
              <w:rPr>
                <w:kern w:val="0"/>
              </w:rPr>
            </w:pPr>
            <w:r>
              <w:rPr>
                <w:kern w:val="0"/>
              </w:rPr>
              <w:t>35.5</w:t>
            </w:r>
          </w:p>
        </w:tc>
        <w:tc>
          <w:tcPr>
            <w:tcW w:w="2268" w:type="dxa"/>
          </w:tcPr>
          <w:p>
            <w:pPr>
              <w:pStyle w:val="77"/>
              <w:jc w:val="left"/>
              <w:rPr>
                <w:kern w:val="0"/>
              </w:rPr>
            </w:pPr>
            <w:r>
              <w:rPr>
                <w:kern w:val="0"/>
              </w:rPr>
              <w:t>0.80 (0.70–0.91)</w:t>
            </w:r>
          </w:p>
        </w:tc>
        <w:tc>
          <w:tcPr>
            <w:tcW w:w="1275" w:type="dxa"/>
          </w:tcPr>
          <w:p>
            <w:pPr>
              <w:pStyle w:val="77"/>
              <w:jc w:val="left"/>
              <w:rPr>
                <w:kern w:val="0"/>
              </w:rPr>
            </w:pPr>
            <w:r>
              <w:rPr>
                <w:kern w:val="0"/>
              </w:rPr>
              <w:t>0.001</w:t>
            </w:r>
          </w:p>
        </w:tc>
        <w:tc>
          <w:tcPr>
            <w:tcW w:w="2268" w:type="dxa"/>
          </w:tcPr>
          <w:p>
            <w:pPr>
              <w:pStyle w:val="77"/>
              <w:jc w:val="left"/>
              <w:rPr>
                <w:kern w:val="0"/>
              </w:rPr>
            </w:pPr>
            <w:r>
              <w:rPr>
                <w:kern w:val="0"/>
              </w:rPr>
              <w:t>0.87 (0.76–1)</w:t>
            </w:r>
          </w:p>
        </w:tc>
        <w:tc>
          <w:tcPr>
            <w:tcW w:w="1218" w:type="dxa"/>
          </w:tcPr>
          <w:p>
            <w:pPr>
              <w:pStyle w:val="77"/>
              <w:jc w:val="left"/>
              <w:rPr>
                <w:kern w:val="0"/>
              </w:rPr>
            </w:pPr>
            <w:r>
              <w:rPr>
                <w:kern w:val="0"/>
              </w:rPr>
              <w:t>0.05</w:t>
            </w:r>
            <w:r>
              <w:rPr>
                <w:rFonts w:hint="eastAsia"/>
                <w:kern w:val="0"/>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trPr>
        <w:tc>
          <w:tcPr>
            <w:tcW w:w="13687" w:type="dxa"/>
            <w:gridSpan w:val="8"/>
          </w:tcPr>
          <w:p>
            <w:pPr>
              <w:pStyle w:val="77"/>
              <w:jc w:val="left"/>
              <w:rPr>
                <w:kern w:val="0"/>
              </w:rPr>
            </w:pPr>
            <w:r>
              <w:rPr>
                <w:kern w:val="0"/>
              </w:rPr>
              <w:t xml:space="preserve">Hospitalization due to </w:t>
            </w:r>
            <w:r>
              <w:rPr>
                <w:rFonts w:hint="eastAsia"/>
                <w:kern w:val="0"/>
              </w:rPr>
              <w:t>heart</w:t>
            </w:r>
            <w:r>
              <w:rPr>
                <w:kern w:val="0"/>
              </w:rPr>
              <w:t xml:space="preserve"> </w:t>
            </w:r>
            <w:r>
              <w:rPr>
                <w:rFonts w:hint="eastAsia"/>
                <w:kern w:val="0"/>
              </w:rPr>
              <w:t>failure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trPr>
        <w:tc>
          <w:tcPr>
            <w:tcW w:w="13687" w:type="dxa"/>
            <w:gridSpan w:val="8"/>
          </w:tcPr>
          <w:p>
            <w:pPr>
              <w:pStyle w:val="77"/>
              <w:jc w:val="left"/>
              <w:rPr>
                <w:kern w:val="0"/>
              </w:rPr>
            </w:pPr>
            <w:r>
              <w:rPr>
                <w:kern w:val="0"/>
              </w:rPr>
              <w:t>HF medication group I - none or ACE inhibitor/ARB</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3" w:hRule="atLeast"/>
        </w:trPr>
        <w:tc>
          <w:tcPr>
            <w:tcW w:w="2547" w:type="dxa"/>
          </w:tcPr>
          <w:p>
            <w:pPr>
              <w:pStyle w:val="77"/>
              <w:jc w:val="left"/>
              <w:rPr>
                <w:kern w:val="0"/>
              </w:rPr>
            </w:pPr>
            <w:r>
              <w:rPr>
                <w:kern w:val="0"/>
              </w:rPr>
              <w:t>Inactive</w:t>
            </w:r>
          </w:p>
        </w:tc>
        <w:tc>
          <w:tcPr>
            <w:tcW w:w="1417" w:type="dxa"/>
          </w:tcPr>
          <w:p>
            <w:pPr>
              <w:pStyle w:val="77"/>
              <w:jc w:val="left"/>
              <w:rPr>
                <w:kern w:val="0"/>
              </w:rPr>
            </w:pPr>
            <w:r>
              <w:rPr>
                <w:kern w:val="0"/>
              </w:rPr>
              <w:t>152</w:t>
            </w:r>
          </w:p>
        </w:tc>
        <w:tc>
          <w:tcPr>
            <w:tcW w:w="1418" w:type="dxa"/>
          </w:tcPr>
          <w:p>
            <w:pPr>
              <w:pStyle w:val="77"/>
              <w:jc w:val="left"/>
              <w:rPr>
                <w:kern w:val="0"/>
              </w:rPr>
            </w:pPr>
            <w:r>
              <w:rPr>
                <w:kern w:val="0"/>
              </w:rPr>
              <w:t>1</w:t>
            </w:r>
          </w:p>
        </w:tc>
        <w:tc>
          <w:tcPr>
            <w:tcW w:w="1276" w:type="dxa"/>
          </w:tcPr>
          <w:p>
            <w:pPr>
              <w:pStyle w:val="77"/>
              <w:jc w:val="left"/>
              <w:rPr>
                <w:kern w:val="0"/>
              </w:rPr>
            </w:pPr>
            <w:r>
              <w:rPr>
                <w:kern w:val="0"/>
              </w:rPr>
              <w:t>2.3</w:t>
            </w:r>
          </w:p>
        </w:tc>
        <w:tc>
          <w:tcPr>
            <w:tcW w:w="2268" w:type="dxa"/>
            <w:vAlign w:val="center"/>
          </w:tcPr>
          <w:p>
            <w:pPr>
              <w:pStyle w:val="77"/>
              <w:jc w:val="left"/>
              <w:rPr>
                <w:kern w:val="0"/>
              </w:rPr>
            </w:pPr>
            <w:r>
              <w:rPr>
                <w:rFonts w:eastAsia="Malgun Gothic"/>
                <w:kern w:val="0"/>
              </w:rPr>
              <w:t>Reference</w:t>
            </w:r>
          </w:p>
        </w:tc>
        <w:tc>
          <w:tcPr>
            <w:tcW w:w="1275" w:type="dxa"/>
            <w:vAlign w:val="center"/>
          </w:tcPr>
          <w:p>
            <w:pPr>
              <w:pStyle w:val="77"/>
              <w:jc w:val="left"/>
              <w:rPr>
                <w:kern w:val="0"/>
              </w:rPr>
            </w:pPr>
          </w:p>
        </w:tc>
        <w:tc>
          <w:tcPr>
            <w:tcW w:w="2268" w:type="dxa"/>
            <w:vAlign w:val="center"/>
          </w:tcPr>
          <w:p>
            <w:pPr>
              <w:pStyle w:val="77"/>
              <w:jc w:val="left"/>
              <w:rPr>
                <w:kern w:val="0"/>
              </w:rPr>
            </w:pPr>
            <w:r>
              <w:rPr>
                <w:rFonts w:eastAsia="Malgun Gothic"/>
                <w:kern w:val="0"/>
              </w:rPr>
              <w:t>Reference</w:t>
            </w:r>
          </w:p>
        </w:tc>
        <w:tc>
          <w:tcPr>
            <w:tcW w:w="1218" w:type="dxa"/>
            <w:vAlign w:val="center"/>
          </w:tcPr>
          <w:p>
            <w:pPr>
              <w:pStyle w:val="77"/>
              <w:jc w:val="left"/>
              <w:rPr>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trPr>
        <w:tc>
          <w:tcPr>
            <w:tcW w:w="2547" w:type="dxa"/>
          </w:tcPr>
          <w:p>
            <w:pPr>
              <w:pStyle w:val="77"/>
              <w:jc w:val="left"/>
              <w:rPr>
                <w:kern w:val="0"/>
              </w:rPr>
            </w:pPr>
            <w:r>
              <w:rPr>
                <w:kern w:val="0"/>
              </w:rPr>
              <w:t>Insufficiently active</w:t>
            </w:r>
          </w:p>
        </w:tc>
        <w:tc>
          <w:tcPr>
            <w:tcW w:w="1417" w:type="dxa"/>
          </w:tcPr>
          <w:p>
            <w:pPr>
              <w:pStyle w:val="77"/>
              <w:jc w:val="left"/>
              <w:rPr>
                <w:kern w:val="0"/>
              </w:rPr>
            </w:pPr>
            <w:r>
              <w:rPr>
                <w:kern w:val="0"/>
              </w:rPr>
              <w:t>82</w:t>
            </w:r>
          </w:p>
        </w:tc>
        <w:tc>
          <w:tcPr>
            <w:tcW w:w="1418" w:type="dxa"/>
          </w:tcPr>
          <w:p>
            <w:pPr>
              <w:pStyle w:val="77"/>
              <w:jc w:val="left"/>
              <w:rPr>
                <w:kern w:val="0"/>
              </w:rPr>
            </w:pPr>
            <w:r>
              <w:rPr>
                <w:kern w:val="0"/>
              </w:rPr>
              <w:t>1</w:t>
            </w:r>
          </w:p>
        </w:tc>
        <w:tc>
          <w:tcPr>
            <w:tcW w:w="1276" w:type="dxa"/>
          </w:tcPr>
          <w:p>
            <w:pPr>
              <w:pStyle w:val="77"/>
              <w:jc w:val="left"/>
              <w:rPr>
                <w:kern w:val="0"/>
              </w:rPr>
            </w:pPr>
            <w:r>
              <w:rPr>
                <w:kern w:val="0"/>
              </w:rPr>
              <w:t>4.2</w:t>
            </w:r>
          </w:p>
        </w:tc>
        <w:tc>
          <w:tcPr>
            <w:tcW w:w="2268" w:type="dxa"/>
          </w:tcPr>
          <w:p>
            <w:pPr>
              <w:pStyle w:val="77"/>
              <w:jc w:val="left"/>
              <w:rPr>
                <w:kern w:val="0"/>
              </w:rPr>
            </w:pPr>
            <w:r>
              <w:rPr>
                <w:kern w:val="0"/>
              </w:rPr>
              <w:t>1.79 (0.11–28.76)</w:t>
            </w:r>
          </w:p>
        </w:tc>
        <w:tc>
          <w:tcPr>
            <w:tcW w:w="1275" w:type="dxa"/>
          </w:tcPr>
          <w:p>
            <w:pPr>
              <w:pStyle w:val="77"/>
              <w:jc w:val="left"/>
              <w:rPr>
                <w:kern w:val="0"/>
              </w:rPr>
            </w:pPr>
            <w:r>
              <w:rPr>
                <w:kern w:val="0"/>
              </w:rPr>
              <w:t>0.68</w:t>
            </w:r>
            <w:r>
              <w:rPr>
                <w:rFonts w:hint="eastAsia"/>
                <w:kern w:val="0"/>
              </w:rPr>
              <w:t>0</w:t>
            </w:r>
          </w:p>
        </w:tc>
        <w:tc>
          <w:tcPr>
            <w:tcW w:w="2268" w:type="dxa"/>
          </w:tcPr>
          <w:p>
            <w:pPr>
              <w:pStyle w:val="77"/>
              <w:jc w:val="left"/>
              <w:rPr>
                <w:kern w:val="0"/>
              </w:rPr>
            </w:pPr>
            <w:r>
              <w:rPr>
                <w:kern w:val="0"/>
              </w:rPr>
              <w:t>1.86 (0.17–20.1)</w:t>
            </w:r>
          </w:p>
        </w:tc>
        <w:tc>
          <w:tcPr>
            <w:tcW w:w="1218" w:type="dxa"/>
          </w:tcPr>
          <w:p>
            <w:pPr>
              <w:pStyle w:val="77"/>
              <w:jc w:val="left"/>
              <w:rPr>
                <w:kern w:val="0"/>
              </w:rPr>
            </w:pPr>
            <w:r>
              <w:rPr>
                <w:kern w:val="0"/>
              </w:rPr>
              <w:t>0.61</w:t>
            </w:r>
            <w:r>
              <w:rPr>
                <w:rFonts w:hint="eastAsia"/>
                <w:kern w:val="0"/>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trPr>
        <w:tc>
          <w:tcPr>
            <w:tcW w:w="2547" w:type="dxa"/>
          </w:tcPr>
          <w:p>
            <w:pPr>
              <w:pStyle w:val="77"/>
              <w:jc w:val="left"/>
              <w:rPr>
                <w:kern w:val="0"/>
              </w:rPr>
            </w:pPr>
            <w:r>
              <w:rPr>
                <w:kern w:val="0"/>
              </w:rPr>
              <w:t>Active</w:t>
            </w:r>
          </w:p>
        </w:tc>
        <w:tc>
          <w:tcPr>
            <w:tcW w:w="1417" w:type="dxa"/>
          </w:tcPr>
          <w:p>
            <w:pPr>
              <w:pStyle w:val="77"/>
              <w:jc w:val="left"/>
              <w:rPr>
                <w:kern w:val="0"/>
              </w:rPr>
            </w:pPr>
            <w:r>
              <w:rPr>
                <w:kern w:val="0"/>
              </w:rPr>
              <w:t>73</w:t>
            </w:r>
          </w:p>
        </w:tc>
        <w:tc>
          <w:tcPr>
            <w:tcW w:w="1418" w:type="dxa"/>
          </w:tcPr>
          <w:p>
            <w:pPr>
              <w:pStyle w:val="77"/>
              <w:jc w:val="left"/>
              <w:rPr>
                <w:kern w:val="0"/>
              </w:rPr>
            </w:pPr>
            <w:r>
              <w:rPr>
                <w:kern w:val="0"/>
              </w:rPr>
              <w:t>0</w:t>
            </w:r>
          </w:p>
        </w:tc>
        <w:tc>
          <w:tcPr>
            <w:tcW w:w="1276" w:type="dxa"/>
          </w:tcPr>
          <w:p>
            <w:pPr>
              <w:pStyle w:val="77"/>
              <w:jc w:val="left"/>
              <w:rPr>
                <w:kern w:val="0"/>
              </w:rPr>
            </w:pPr>
            <w:r>
              <w:rPr>
                <w:kern w:val="0"/>
              </w:rPr>
              <w:t>0</w:t>
            </w:r>
            <w:r>
              <w:rPr>
                <w:rFonts w:hint="eastAsia"/>
                <w:kern w:val="0"/>
              </w:rPr>
              <w:t>.0</w:t>
            </w:r>
          </w:p>
        </w:tc>
        <w:tc>
          <w:tcPr>
            <w:tcW w:w="2268" w:type="dxa"/>
          </w:tcPr>
          <w:p>
            <w:pPr>
              <w:pStyle w:val="77"/>
              <w:jc w:val="left"/>
              <w:rPr>
                <w:kern w:val="0"/>
              </w:rPr>
            </w:pPr>
            <w:r>
              <w:rPr>
                <w:kern w:val="0"/>
              </w:rPr>
              <w:t>0.00 (0.00–0.00)</w:t>
            </w:r>
          </w:p>
        </w:tc>
        <w:tc>
          <w:tcPr>
            <w:tcW w:w="1275" w:type="dxa"/>
          </w:tcPr>
          <w:p>
            <w:pPr>
              <w:pStyle w:val="77"/>
              <w:jc w:val="left"/>
              <w:rPr>
                <w:kern w:val="0"/>
              </w:rPr>
            </w:pPr>
            <w:r>
              <w:rPr>
                <w:kern w:val="0"/>
              </w:rPr>
              <w:t>&lt;0.001</w:t>
            </w:r>
          </w:p>
        </w:tc>
        <w:tc>
          <w:tcPr>
            <w:tcW w:w="2268" w:type="dxa"/>
          </w:tcPr>
          <w:p>
            <w:pPr>
              <w:pStyle w:val="77"/>
              <w:jc w:val="left"/>
              <w:rPr>
                <w:kern w:val="0"/>
              </w:rPr>
            </w:pPr>
            <w:r>
              <w:rPr>
                <w:kern w:val="0"/>
              </w:rPr>
              <w:t>0.00 (0.00–0.00)</w:t>
            </w:r>
          </w:p>
        </w:tc>
        <w:tc>
          <w:tcPr>
            <w:tcW w:w="1218" w:type="dxa"/>
          </w:tcPr>
          <w:p>
            <w:pPr>
              <w:pStyle w:val="77"/>
              <w:jc w:val="left"/>
              <w:rPr>
                <w:kern w:val="0"/>
              </w:rPr>
            </w:pPr>
            <w:r>
              <w:rPr>
                <w:kern w:val="0"/>
              </w:rPr>
              <w:t>&lt;0.001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3" w:hRule="atLeast"/>
        </w:trPr>
        <w:tc>
          <w:tcPr>
            <w:tcW w:w="2547" w:type="dxa"/>
          </w:tcPr>
          <w:p>
            <w:pPr>
              <w:pStyle w:val="77"/>
              <w:jc w:val="left"/>
              <w:rPr>
                <w:kern w:val="0"/>
              </w:rPr>
            </w:pPr>
            <w:r>
              <w:rPr>
                <w:kern w:val="0"/>
              </w:rPr>
              <w:t>Highly active</w:t>
            </w:r>
          </w:p>
        </w:tc>
        <w:tc>
          <w:tcPr>
            <w:tcW w:w="1417" w:type="dxa"/>
          </w:tcPr>
          <w:p>
            <w:pPr>
              <w:pStyle w:val="77"/>
              <w:jc w:val="left"/>
              <w:rPr>
                <w:kern w:val="0"/>
              </w:rPr>
            </w:pPr>
            <w:r>
              <w:rPr>
                <w:kern w:val="0"/>
              </w:rPr>
              <w:t>43</w:t>
            </w:r>
          </w:p>
        </w:tc>
        <w:tc>
          <w:tcPr>
            <w:tcW w:w="1418" w:type="dxa"/>
          </w:tcPr>
          <w:p>
            <w:pPr>
              <w:pStyle w:val="77"/>
              <w:jc w:val="left"/>
              <w:rPr>
                <w:kern w:val="0"/>
              </w:rPr>
            </w:pPr>
            <w:r>
              <w:rPr>
                <w:kern w:val="0"/>
              </w:rPr>
              <w:t>0</w:t>
            </w:r>
          </w:p>
        </w:tc>
        <w:tc>
          <w:tcPr>
            <w:tcW w:w="1276" w:type="dxa"/>
          </w:tcPr>
          <w:p>
            <w:pPr>
              <w:pStyle w:val="77"/>
              <w:jc w:val="left"/>
              <w:rPr>
                <w:kern w:val="0"/>
              </w:rPr>
            </w:pPr>
            <w:r>
              <w:rPr>
                <w:kern w:val="0"/>
              </w:rPr>
              <w:t>0</w:t>
            </w:r>
            <w:r>
              <w:rPr>
                <w:rFonts w:hint="eastAsia"/>
                <w:kern w:val="0"/>
              </w:rPr>
              <w:t>.0</w:t>
            </w:r>
          </w:p>
        </w:tc>
        <w:tc>
          <w:tcPr>
            <w:tcW w:w="2268" w:type="dxa"/>
          </w:tcPr>
          <w:p>
            <w:pPr>
              <w:pStyle w:val="77"/>
              <w:jc w:val="left"/>
              <w:rPr>
                <w:kern w:val="0"/>
              </w:rPr>
            </w:pPr>
            <w:r>
              <w:rPr>
                <w:kern w:val="0"/>
              </w:rPr>
              <w:t>0.00 (0.00–0.00)</w:t>
            </w:r>
          </w:p>
        </w:tc>
        <w:tc>
          <w:tcPr>
            <w:tcW w:w="1275" w:type="dxa"/>
          </w:tcPr>
          <w:p>
            <w:pPr>
              <w:pStyle w:val="77"/>
              <w:jc w:val="left"/>
              <w:rPr>
                <w:kern w:val="0"/>
              </w:rPr>
            </w:pPr>
            <w:r>
              <w:rPr>
                <w:kern w:val="0"/>
              </w:rPr>
              <w:t>&lt;0.001</w:t>
            </w:r>
          </w:p>
        </w:tc>
        <w:tc>
          <w:tcPr>
            <w:tcW w:w="2268" w:type="dxa"/>
          </w:tcPr>
          <w:p>
            <w:pPr>
              <w:pStyle w:val="77"/>
              <w:jc w:val="left"/>
              <w:rPr>
                <w:kern w:val="0"/>
              </w:rPr>
            </w:pPr>
            <w:r>
              <w:rPr>
                <w:kern w:val="0"/>
              </w:rPr>
              <w:t>0.00 (0.00–0.00)</w:t>
            </w:r>
          </w:p>
        </w:tc>
        <w:tc>
          <w:tcPr>
            <w:tcW w:w="1218" w:type="dxa"/>
          </w:tcPr>
          <w:p>
            <w:pPr>
              <w:pStyle w:val="77"/>
              <w:jc w:val="left"/>
              <w:rPr>
                <w:kern w:val="0"/>
              </w:rPr>
            </w:pPr>
            <w:r>
              <w:rPr>
                <w:kern w:val="0"/>
              </w:rPr>
              <w:t>&lt;0.001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trPr>
        <w:tc>
          <w:tcPr>
            <w:tcW w:w="13687" w:type="dxa"/>
            <w:gridSpan w:val="8"/>
          </w:tcPr>
          <w:p>
            <w:pPr>
              <w:pStyle w:val="77"/>
              <w:jc w:val="left"/>
              <w:rPr>
                <w:kern w:val="0"/>
              </w:rPr>
            </w:pPr>
            <w:r>
              <w:rPr>
                <w:kern w:val="0"/>
              </w:rPr>
              <w:t>HF medication group I</w:t>
            </w:r>
            <w:r>
              <w:rPr>
                <w:rFonts w:hint="eastAsia"/>
                <w:kern w:val="0"/>
              </w:rPr>
              <w:t>I</w:t>
            </w:r>
            <w:r>
              <w:rPr>
                <w:kern w:val="0"/>
              </w:rPr>
              <w:t xml:space="preserve"> - beta blocker or diuretics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3" w:hRule="atLeast"/>
        </w:trPr>
        <w:tc>
          <w:tcPr>
            <w:tcW w:w="2547" w:type="dxa"/>
          </w:tcPr>
          <w:p>
            <w:pPr>
              <w:pStyle w:val="77"/>
              <w:jc w:val="left"/>
              <w:rPr>
                <w:kern w:val="0"/>
              </w:rPr>
            </w:pPr>
            <w:r>
              <w:rPr>
                <w:kern w:val="0"/>
              </w:rPr>
              <w:t>Inactive</w:t>
            </w:r>
          </w:p>
        </w:tc>
        <w:tc>
          <w:tcPr>
            <w:tcW w:w="1417" w:type="dxa"/>
          </w:tcPr>
          <w:p>
            <w:pPr>
              <w:pStyle w:val="77"/>
              <w:jc w:val="left"/>
              <w:rPr>
                <w:kern w:val="0"/>
              </w:rPr>
            </w:pPr>
            <w:r>
              <w:rPr>
                <w:kern w:val="0"/>
              </w:rPr>
              <w:t>1880</w:t>
            </w:r>
          </w:p>
        </w:tc>
        <w:tc>
          <w:tcPr>
            <w:tcW w:w="1418" w:type="dxa"/>
          </w:tcPr>
          <w:p>
            <w:pPr>
              <w:pStyle w:val="77"/>
              <w:jc w:val="left"/>
              <w:rPr>
                <w:kern w:val="0"/>
              </w:rPr>
            </w:pPr>
            <w:r>
              <w:rPr>
                <w:kern w:val="0"/>
              </w:rPr>
              <w:t>59</w:t>
            </w:r>
          </w:p>
        </w:tc>
        <w:tc>
          <w:tcPr>
            <w:tcW w:w="1276" w:type="dxa"/>
          </w:tcPr>
          <w:p>
            <w:pPr>
              <w:pStyle w:val="77"/>
              <w:jc w:val="left"/>
              <w:rPr>
                <w:kern w:val="0"/>
              </w:rPr>
            </w:pPr>
            <w:r>
              <w:rPr>
                <w:kern w:val="0"/>
              </w:rPr>
              <w:t>1.1</w:t>
            </w:r>
          </w:p>
        </w:tc>
        <w:tc>
          <w:tcPr>
            <w:tcW w:w="2268" w:type="dxa"/>
            <w:vAlign w:val="center"/>
          </w:tcPr>
          <w:p>
            <w:pPr>
              <w:pStyle w:val="77"/>
              <w:jc w:val="left"/>
              <w:rPr>
                <w:kern w:val="0"/>
              </w:rPr>
            </w:pPr>
            <w:r>
              <w:rPr>
                <w:rFonts w:eastAsia="Malgun Gothic"/>
                <w:kern w:val="0"/>
              </w:rPr>
              <w:t>Reference</w:t>
            </w:r>
          </w:p>
        </w:tc>
        <w:tc>
          <w:tcPr>
            <w:tcW w:w="1275" w:type="dxa"/>
            <w:vAlign w:val="center"/>
          </w:tcPr>
          <w:p>
            <w:pPr>
              <w:pStyle w:val="77"/>
              <w:jc w:val="left"/>
              <w:rPr>
                <w:kern w:val="0"/>
              </w:rPr>
            </w:pPr>
          </w:p>
        </w:tc>
        <w:tc>
          <w:tcPr>
            <w:tcW w:w="2268" w:type="dxa"/>
            <w:vAlign w:val="center"/>
          </w:tcPr>
          <w:p>
            <w:pPr>
              <w:pStyle w:val="77"/>
              <w:jc w:val="left"/>
              <w:rPr>
                <w:kern w:val="0"/>
              </w:rPr>
            </w:pPr>
            <w:r>
              <w:rPr>
                <w:rFonts w:eastAsia="Malgun Gothic"/>
                <w:kern w:val="0"/>
              </w:rPr>
              <w:t>Reference</w:t>
            </w:r>
          </w:p>
        </w:tc>
        <w:tc>
          <w:tcPr>
            <w:tcW w:w="1218" w:type="dxa"/>
            <w:vAlign w:val="center"/>
          </w:tcPr>
          <w:p>
            <w:pPr>
              <w:pStyle w:val="77"/>
              <w:jc w:val="left"/>
              <w:rPr>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trPr>
        <w:tc>
          <w:tcPr>
            <w:tcW w:w="2547" w:type="dxa"/>
          </w:tcPr>
          <w:p>
            <w:pPr>
              <w:pStyle w:val="77"/>
              <w:jc w:val="left"/>
              <w:rPr>
                <w:kern w:val="0"/>
              </w:rPr>
            </w:pPr>
            <w:r>
              <w:rPr>
                <w:kern w:val="0"/>
              </w:rPr>
              <w:t>Insufficiently active</w:t>
            </w:r>
          </w:p>
        </w:tc>
        <w:tc>
          <w:tcPr>
            <w:tcW w:w="1417" w:type="dxa"/>
          </w:tcPr>
          <w:p>
            <w:pPr>
              <w:pStyle w:val="77"/>
              <w:jc w:val="left"/>
              <w:rPr>
                <w:kern w:val="0"/>
              </w:rPr>
            </w:pPr>
            <w:r>
              <w:rPr>
                <w:kern w:val="0"/>
              </w:rPr>
              <w:t>1104</w:t>
            </w:r>
          </w:p>
        </w:tc>
        <w:tc>
          <w:tcPr>
            <w:tcW w:w="1418" w:type="dxa"/>
          </w:tcPr>
          <w:p>
            <w:pPr>
              <w:pStyle w:val="77"/>
              <w:jc w:val="left"/>
              <w:rPr>
                <w:kern w:val="0"/>
              </w:rPr>
            </w:pPr>
            <w:r>
              <w:rPr>
                <w:kern w:val="0"/>
              </w:rPr>
              <w:t>27</w:t>
            </w:r>
          </w:p>
        </w:tc>
        <w:tc>
          <w:tcPr>
            <w:tcW w:w="1276" w:type="dxa"/>
          </w:tcPr>
          <w:p>
            <w:pPr>
              <w:pStyle w:val="77"/>
              <w:jc w:val="left"/>
              <w:rPr>
                <w:kern w:val="0"/>
              </w:rPr>
            </w:pPr>
            <w:r>
              <w:rPr>
                <w:kern w:val="0"/>
              </w:rPr>
              <w:t>0.8</w:t>
            </w:r>
          </w:p>
        </w:tc>
        <w:tc>
          <w:tcPr>
            <w:tcW w:w="2268" w:type="dxa"/>
          </w:tcPr>
          <w:p>
            <w:pPr>
              <w:pStyle w:val="77"/>
              <w:jc w:val="left"/>
              <w:rPr>
                <w:kern w:val="0"/>
              </w:rPr>
            </w:pPr>
            <w:r>
              <w:rPr>
                <w:kern w:val="0"/>
              </w:rPr>
              <w:t>0.73 (0.46–1.15)</w:t>
            </w:r>
          </w:p>
        </w:tc>
        <w:tc>
          <w:tcPr>
            <w:tcW w:w="1275" w:type="dxa"/>
          </w:tcPr>
          <w:p>
            <w:pPr>
              <w:pStyle w:val="77"/>
              <w:jc w:val="left"/>
              <w:rPr>
                <w:kern w:val="0"/>
              </w:rPr>
            </w:pPr>
            <w:r>
              <w:rPr>
                <w:kern w:val="0"/>
              </w:rPr>
              <w:t>0.172</w:t>
            </w:r>
          </w:p>
        </w:tc>
        <w:tc>
          <w:tcPr>
            <w:tcW w:w="2268" w:type="dxa"/>
          </w:tcPr>
          <w:p>
            <w:pPr>
              <w:pStyle w:val="77"/>
              <w:jc w:val="left"/>
              <w:rPr>
                <w:kern w:val="0"/>
              </w:rPr>
            </w:pPr>
            <w:r>
              <w:rPr>
                <w:kern w:val="0"/>
              </w:rPr>
              <w:t>0.84 (0.53–1.33)</w:t>
            </w:r>
          </w:p>
        </w:tc>
        <w:tc>
          <w:tcPr>
            <w:tcW w:w="1218" w:type="dxa"/>
          </w:tcPr>
          <w:p>
            <w:pPr>
              <w:pStyle w:val="77"/>
              <w:jc w:val="left"/>
              <w:rPr>
                <w:kern w:val="0"/>
              </w:rPr>
            </w:pPr>
            <w:r>
              <w:rPr>
                <w:kern w:val="0"/>
              </w:rPr>
              <w:t>0.46</w:t>
            </w:r>
            <w:r>
              <w:rPr>
                <w:rFonts w:hint="eastAsia"/>
                <w:kern w:val="0"/>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trPr>
        <w:tc>
          <w:tcPr>
            <w:tcW w:w="2547" w:type="dxa"/>
          </w:tcPr>
          <w:p>
            <w:pPr>
              <w:pStyle w:val="77"/>
              <w:jc w:val="left"/>
              <w:rPr>
                <w:kern w:val="0"/>
              </w:rPr>
            </w:pPr>
            <w:r>
              <w:rPr>
                <w:kern w:val="0"/>
              </w:rPr>
              <w:t>Active</w:t>
            </w:r>
          </w:p>
        </w:tc>
        <w:tc>
          <w:tcPr>
            <w:tcW w:w="1417" w:type="dxa"/>
          </w:tcPr>
          <w:p>
            <w:pPr>
              <w:pStyle w:val="77"/>
              <w:jc w:val="left"/>
              <w:rPr>
                <w:kern w:val="0"/>
              </w:rPr>
            </w:pPr>
            <w:r>
              <w:rPr>
                <w:kern w:val="0"/>
              </w:rPr>
              <w:t>998</w:t>
            </w:r>
          </w:p>
        </w:tc>
        <w:tc>
          <w:tcPr>
            <w:tcW w:w="1418" w:type="dxa"/>
          </w:tcPr>
          <w:p>
            <w:pPr>
              <w:pStyle w:val="77"/>
              <w:jc w:val="left"/>
              <w:rPr>
                <w:kern w:val="0"/>
              </w:rPr>
            </w:pPr>
            <w:r>
              <w:rPr>
                <w:kern w:val="0"/>
              </w:rPr>
              <w:t>28</w:t>
            </w:r>
          </w:p>
        </w:tc>
        <w:tc>
          <w:tcPr>
            <w:tcW w:w="1276" w:type="dxa"/>
          </w:tcPr>
          <w:p>
            <w:pPr>
              <w:pStyle w:val="77"/>
              <w:jc w:val="left"/>
              <w:rPr>
                <w:kern w:val="0"/>
              </w:rPr>
            </w:pPr>
            <w:r>
              <w:rPr>
                <w:kern w:val="0"/>
              </w:rPr>
              <w:t>0.9</w:t>
            </w:r>
          </w:p>
        </w:tc>
        <w:tc>
          <w:tcPr>
            <w:tcW w:w="2268" w:type="dxa"/>
          </w:tcPr>
          <w:p>
            <w:pPr>
              <w:pStyle w:val="77"/>
              <w:jc w:val="left"/>
              <w:rPr>
                <w:kern w:val="0"/>
              </w:rPr>
            </w:pPr>
            <w:r>
              <w:rPr>
                <w:kern w:val="0"/>
              </w:rPr>
              <w:t>0.82 (0.52–1.29)</w:t>
            </w:r>
          </w:p>
        </w:tc>
        <w:tc>
          <w:tcPr>
            <w:tcW w:w="1275" w:type="dxa"/>
          </w:tcPr>
          <w:p>
            <w:pPr>
              <w:pStyle w:val="77"/>
              <w:jc w:val="left"/>
              <w:rPr>
                <w:kern w:val="0"/>
              </w:rPr>
            </w:pPr>
            <w:r>
              <w:rPr>
                <w:kern w:val="0"/>
              </w:rPr>
              <w:t>0.394</w:t>
            </w:r>
          </w:p>
        </w:tc>
        <w:tc>
          <w:tcPr>
            <w:tcW w:w="2268" w:type="dxa"/>
          </w:tcPr>
          <w:p>
            <w:pPr>
              <w:pStyle w:val="77"/>
              <w:jc w:val="left"/>
              <w:rPr>
                <w:kern w:val="0"/>
              </w:rPr>
            </w:pPr>
            <w:r>
              <w:rPr>
                <w:kern w:val="0"/>
              </w:rPr>
              <w:t>1.01 (0.63–1.62)</w:t>
            </w:r>
          </w:p>
        </w:tc>
        <w:tc>
          <w:tcPr>
            <w:tcW w:w="1218" w:type="dxa"/>
          </w:tcPr>
          <w:p>
            <w:pPr>
              <w:pStyle w:val="77"/>
              <w:jc w:val="left"/>
              <w:rPr>
                <w:kern w:val="0"/>
              </w:rPr>
            </w:pPr>
            <w:r>
              <w:rPr>
                <w:kern w:val="0"/>
              </w:rPr>
              <w:t>0.96</w:t>
            </w:r>
            <w:r>
              <w:rPr>
                <w:rFonts w:hint="eastAsia"/>
                <w:kern w:val="0"/>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3" w:hRule="atLeast"/>
        </w:trPr>
        <w:tc>
          <w:tcPr>
            <w:tcW w:w="2547" w:type="dxa"/>
          </w:tcPr>
          <w:p>
            <w:pPr>
              <w:pStyle w:val="77"/>
              <w:jc w:val="left"/>
              <w:rPr>
                <w:kern w:val="0"/>
              </w:rPr>
            </w:pPr>
            <w:r>
              <w:rPr>
                <w:kern w:val="0"/>
              </w:rPr>
              <w:t>Highly active</w:t>
            </w:r>
          </w:p>
        </w:tc>
        <w:tc>
          <w:tcPr>
            <w:tcW w:w="1417" w:type="dxa"/>
          </w:tcPr>
          <w:p>
            <w:pPr>
              <w:pStyle w:val="77"/>
              <w:jc w:val="left"/>
              <w:rPr>
                <w:kern w:val="0"/>
              </w:rPr>
            </w:pPr>
            <w:r>
              <w:rPr>
                <w:kern w:val="0"/>
              </w:rPr>
              <w:t>617</w:t>
            </w:r>
          </w:p>
        </w:tc>
        <w:tc>
          <w:tcPr>
            <w:tcW w:w="1418" w:type="dxa"/>
          </w:tcPr>
          <w:p>
            <w:pPr>
              <w:pStyle w:val="77"/>
              <w:jc w:val="left"/>
              <w:rPr>
                <w:kern w:val="0"/>
              </w:rPr>
            </w:pPr>
            <w:r>
              <w:rPr>
                <w:kern w:val="0"/>
              </w:rPr>
              <w:t>12</w:t>
            </w:r>
          </w:p>
        </w:tc>
        <w:tc>
          <w:tcPr>
            <w:tcW w:w="1276" w:type="dxa"/>
          </w:tcPr>
          <w:p>
            <w:pPr>
              <w:pStyle w:val="77"/>
              <w:jc w:val="left"/>
              <w:rPr>
                <w:kern w:val="0"/>
              </w:rPr>
            </w:pPr>
            <w:r>
              <w:rPr>
                <w:kern w:val="0"/>
              </w:rPr>
              <w:t>0.6</w:t>
            </w:r>
          </w:p>
        </w:tc>
        <w:tc>
          <w:tcPr>
            <w:tcW w:w="2268" w:type="dxa"/>
          </w:tcPr>
          <w:p>
            <w:pPr>
              <w:pStyle w:val="77"/>
              <w:jc w:val="left"/>
              <w:rPr>
                <w:kern w:val="0"/>
              </w:rPr>
            </w:pPr>
            <w:r>
              <w:rPr>
                <w:kern w:val="0"/>
              </w:rPr>
              <w:t>0.56 (0.30–1.04)</w:t>
            </w:r>
          </w:p>
        </w:tc>
        <w:tc>
          <w:tcPr>
            <w:tcW w:w="1275" w:type="dxa"/>
          </w:tcPr>
          <w:p>
            <w:pPr>
              <w:pStyle w:val="77"/>
              <w:jc w:val="left"/>
              <w:rPr>
                <w:kern w:val="0"/>
              </w:rPr>
            </w:pPr>
            <w:r>
              <w:rPr>
                <w:kern w:val="0"/>
              </w:rPr>
              <w:t>0.065</w:t>
            </w:r>
          </w:p>
        </w:tc>
        <w:tc>
          <w:tcPr>
            <w:tcW w:w="2268" w:type="dxa"/>
          </w:tcPr>
          <w:p>
            <w:pPr>
              <w:pStyle w:val="77"/>
              <w:jc w:val="left"/>
              <w:rPr>
                <w:kern w:val="0"/>
              </w:rPr>
            </w:pPr>
            <w:r>
              <w:rPr>
                <w:kern w:val="0"/>
              </w:rPr>
              <w:t>0.67 (0.35–1.26)</w:t>
            </w:r>
          </w:p>
        </w:tc>
        <w:tc>
          <w:tcPr>
            <w:tcW w:w="1218" w:type="dxa"/>
          </w:tcPr>
          <w:p>
            <w:pPr>
              <w:pStyle w:val="77"/>
              <w:jc w:val="left"/>
              <w:rPr>
                <w:kern w:val="0"/>
              </w:rPr>
            </w:pPr>
            <w:r>
              <w:rPr>
                <w:kern w:val="0"/>
              </w:rPr>
              <w:t>0.21</w:t>
            </w:r>
            <w:r>
              <w:rPr>
                <w:rFonts w:hint="eastAsia"/>
                <w:kern w:val="0"/>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trPr>
        <w:tc>
          <w:tcPr>
            <w:tcW w:w="13687" w:type="dxa"/>
            <w:gridSpan w:val="8"/>
          </w:tcPr>
          <w:p>
            <w:pPr>
              <w:pStyle w:val="77"/>
              <w:jc w:val="left"/>
              <w:rPr>
                <w:kern w:val="0"/>
              </w:rPr>
            </w:pPr>
            <w:r>
              <w:rPr>
                <w:kern w:val="0"/>
              </w:rPr>
              <w:t xml:space="preserve">HF medication group </w:t>
            </w:r>
            <w:r>
              <w:rPr>
                <w:rFonts w:hint="eastAsia"/>
                <w:kern w:val="0"/>
              </w:rPr>
              <w:t>III</w:t>
            </w:r>
            <w:r>
              <w:rPr>
                <w:kern w:val="0"/>
              </w:rPr>
              <w:t xml:space="preserve"> - spironolactone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trPr>
        <w:tc>
          <w:tcPr>
            <w:tcW w:w="2547" w:type="dxa"/>
          </w:tcPr>
          <w:p>
            <w:pPr>
              <w:pStyle w:val="77"/>
              <w:jc w:val="left"/>
              <w:rPr>
                <w:kern w:val="0"/>
              </w:rPr>
            </w:pPr>
            <w:r>
              <w:rPr>
                <w:kern w:val="0"/>
              </w:rPr>
              <w:t>Inactive</w:t>
            </w:r>
          </w:p>
        </w:tc>
        <w:tc>
          <w:tcPr>
            <w:tcW w:w="1417" w:type="dxa"/>
          </w:tcPr>
          <w:p>
            <w:pPr>
              <w:pStyle w:val="77"/>
              <w:jc w:val="left"/>
              <w:rPr>
                <w:kern w:val="0"/>
              </w:rPr>
            </w:pPr>
            <w:r>
              <w:rPr>
                <w:kern w:val="0"/>
              </w:rPr>
              <w:t>1904</w:t>
            </w:r>
          </w:p>
        </w:tc>
        <w:tc>
          <w:tcPr>
            <w:tcW w:w="1418" w:type="dxa"/>
          </w:tcPr>
          <w:p>
            <w:pPr>
              <w:pStyle w:val="77"/>
              <w:jc w:val="left"/>
              <w:rPr>
                <w:kern w:val="0"/>
              </w:rPr>
            </w:pPr>
            <w:r>
              <w:rPr>
                <w:kern w:val="0"/>
              </w:rPr>
              <w:t>227</w:t>
            </w:r>
          </w:p>
        </w:tc>
        <w:tc>
          <w:tcPr>
            <w:tcW w:w="1276" w:type="dxa"/>
          </w:tcPr>
          <w:p>
            <w:pPr>
              <w:pStyle w:val="77"/>
              <w:jc w:val="left"/>
              <w:rPr>
                <w:kern w:val="0"/>
              </w:rPr>
            </w:pPr>
            <w:r>
              <w:rPr>
                <w:kern w:val="0"/>
              </w:rPr>
              <w:t>4.3</w:t>
            </w:r>
          </w:p>
        </w:tc>
        <w:tc>
          <w:tcPr>
            <w:tcW w:w="2268" w:type="dxa"/>
            <w:vAlign w:val="center"/>
          </w:tcPr>
          <w:p>
            <w:pPr>
              <w:pStyle w:val="77"/>
              <w:jc w:val="left"/>
              <w:rPr>
                <w:kern w:val="0"/>
              </w:rPr>
            </w:pPr>
            <w:r>
              <w:rPr>
                <w:rFonts w:eastAsia="Malgun Gothic"/>
                <w:kern w:val="0"/>
              </w:rPr>
              <w:t>Reference</w:t>
            </w:r>
          </w:p>
        </w:tc>
        <w:tc>
          <w:tcPr>
            <w:tcW w:w="1275" w:type="dxa"/>
            <w:vAlign w:val="center"/>
          </w:tcPr>
          <w:p>
            <w:pPr>
              <w:pStyle w:val="77"/>
              <w:jc w:val="left"/>
              <w:rPr>
                <w:kern w:val="0"/>
              </w:rPr>
            </w:pPr>
          </w:p>
        </w:tc>
        <w:tc>
          <w:tcPr>
            <w:tcW w:w="2268" w:type="dxa"/>
            <w:vAlign w:val="center"/>
          </w:tcPr>
          <w:p>
            <w:pPr>
              <w:pStyle w:val="77"/>
              <w:jc w:val="left"/>
              <w:rPr>
                <w:kern w:val="0"/>
              </w:rPr>
            </w:pPr>
            <w:r>
              <w:rPr>
                <w:rFonts w:eastAsia="Malgun Gothic"/>
                <w:kern w:val="0"/>
              </w:rPr>
              <w:t>Reference</w:t>
            </w:r>
          </w:p>
        </w:tc>
        <w:tc>
          <w:tcPr>
            <w:tcW w:w="1218" w:type="dxa"/>
            <w:vAlign w:val="center"/>
          </w:tcPr>
          <w:p>
            <w:pPr>
              <w:pStyle w:val="77"/>
              <w:jc w:val="left"/>
              <w:rPr>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3" w:hRule="atLeast"/>
        </w:trPr>
        <w:tc>
          <w:tcPr>
            <w:tcW w:w="2547" w:type="dxa"/>
          </w:tcPr>
          <w:p>
            <w:pPr>
              <w:pStyle w:val="77"/>
              <w:jc w:val="left"/>
              <w:rPr>
                <w:kern w:val="0"/>
              </w:rPr>
            </w:pPr>
            <w:r>
              <w:rPr>
                <w:kern w:val="0"/>
              </w:rPr>
              <w:t>Insufficiently active</w:t>
            </w:r>
          </w:p>
        </w:tc>
        <w:tc>
          <w:tcPr>
            <w:tcW w:w="1417" w:type="dxa"/>
          </w:tcPr>
          <w:p>
            <w:pPr>
              <w:pStyle w:val="77"/>
              <w:jc w:val="left"/>
              <w:rPr>
                <w:kern w:val="0"/>
              </w:rPr>
            </w:pPr>
            <w:r>
              <w:rPr>
                <w:kern w:val="0"/>
              </w:rPr>
              <w:t>968</w:t>
            </w:r>
          </w:p>
        </w:tc>
        <w:tc>
          <w:tcPr>
            <w:tcW w:w="1418" w:type="dxa"/>
          </w:tcPr>
          <w:p>
            <w:pPr>
              <w:pStyle w:val="77"/>
              <w:jc w:val="left"/>
              <w:rPr>
                <w:kern w:val="0"/>
              </w:rPr>
            </w:pPr>
            <w:r>
              <w:rPr>
                <w:kern w:val="0"/>
              </w:rPr>
              <w:t>118</w:t>
            </w:r>
          </w:p>
        </w:tc>
        <w:tc>
          <w:tcPr>
            <w:tcW w:w="1276" w:type="dxa"/>
          </w:tcPr>
          <w:p>
            <w:pPr>
              <w:pStyle w:val="77"/>
              <w:jc w:val="left"/>
              <w:rPr>
                <w:kern w:val="0"/>
              </w:rPr>
            </w:pPr>
            <w:r>
              <w:rPr>
                <w:kern w:val="0"/>
              </w:rPr>
              <w:t>4.2</w:t>
            </w:r>
          </w:p>
        </w:tc>
        <w:tc>
          <w:tcPr>
            <w:tcW w:w="2268" w:type="dxa"/>
          </w:tcPr>
          <w:p>
            <w:pPr>
              <w:pStyle w:val="77"/>
              <w:jc w:val="left"/>
              <w:rPr>
                <w:kern w:val="0"/>
              </w:rPr>
            </w:pPr>
            <w:r>
              <w:rPr>
                <w:kern w:val="0"/>
              </w:rPr>
              <w:t>0.98 (0.79–1.23)</w:t>
            </w:r>
          </w:p>
        </w:tc>
        <w:tc>
          <w:tcPr>
            <w:tcW w:w="1275" w:type="dxa"/>
          </w:tcPr>
          <w:p>
            <w:pPr>
              <w:pStyle w:val="77"/>
              <w:jc w:val="left"/>
              <w:rPr>
                <w:kern w:val="0"/>
              </w:rPr>
            </w:pPr>
            <w:r>
              <w:rPr>
                <w:kern w:val="0"/>
              </w:rPr>
              <w:t>0.883</w:t>
            </w:r>
          </w:p>
        </w:tc>
        <w:tc>
          <w:tcPr>
            <w:tcW w:w="2268" w:type="dxa"/>
          </w:tcPr>
          <w:p>
            <w:pPr>
              <w:pStyle w:val="77"/>
              <w:jc w:val="left"/>
              <w:rPr>
                <w:kern w:val="0"/>
              </w:rPr>
            </w:pPr>
            <w:r>
              <w:rPr>
                <w:kern w:val="0"/>
              </w:rPr>
              <w:t>1.12 (0.89–1.41)</w:t>
            </w:r>
          </w:p>
        </w:tc>
        <w:tc>
          <w:tcPr>
            <w:tcW w:w="1218" w:type="dxa"/>
          </w:tcPr>
          <w:p>
            <w:pPr>
              <w:pStyle w:val="77"/>
              <w:jc w:val="left"/>
              <w:rPr>
                <w:kern w:val="0"/>
              </w:rPr>
            </w:pPr>
            <w:r>
              <w:rPr>
                <w:kern w:val="0"/>
              </w:rPr>
              <w:t>0.32</w:t>
            </w:r>
            <w:r>
              <w:rPr>
                <w:rFonts w:hint="eastAsia"/>
                <w:kern w:val="0"/>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trPr>
        <w:tc>
          <w:tcPr>
            <w:tcW w:w="2547" w:type="dxa"/>
          </w:tcPr>
          <w:p>
            <w:pPr>
              <w:pStyle w:val="77"/>
              <w:jc w:val="left"/>
              <w:rPr>
                <w:kern w:val="0"/>
              </w:rPr>
            </w:pPr>
            <w:r>
              <w:rPr>
                <w:kern w:val="0"/>
              </w:rPr>
              <w:t>Active</w:t>
            </w:r>
          </w:p>
        </w:tc>
        <w:tc>
          <w:tcPr>
            <w:tcW w:w="1417" w:type="dxa"/>
          </w:tcPr>
          <w:p>
            <w:pPr>
              <w:pStyle w:val="77"/>
              <w:jc w:val="left"/>
              <w:rPr>
                <w:kern w:val="0"/>
              </w:rPr>
            </w:pPr>
            <w:r>
              <w:rPr>
                <w:kern w:val="0"/>
              </w:rPr>
              <w:t>754</w:t>
            </w:r>
          </w:p>
        </w:tc>
        <w:tc>
          <w:tcPr>
            <w:tcW w:w="1418" w:type="dxa"/>
          </w:tcPr>
          <w:p>
            <w:pPr>
              <w:pStyle w:val="77"/>
              <w:jc w:val="left"/>
              <w:rPr>
                <w:kern w:val="0"/>
              </w:rPr>
            </w:pPr>
            <w:r>
              <w:rPr>
                <w:kern w:val="0"/>
              </w:rPr>
              <w:t>79</w:t>
            </w:r>
          </w:p>
        </w:tc>
        <w:tc>
          <w:tcPr>
            <w:tcW w:w="1276" w:type="dxa"/>
          </w:tcPr>
          <w:p>
            <w:pPr>
              <w:pStyle w:val="77"/>
              <w:jc w:val="left"/>
              <w:rPr>
                <w:kern w:val="0"/>
              </w:rPr>
            </w:pPr>
            <w:r>
              <w:rPr>
                <w:kern w:val="0"/>
              </w:rPr>
              <w:t>3.6</w:t>
            </w:r>
          </w:p>
        </w:tc>
        <w:tc>
          <w:tcPr>
            <w:tcW w:w="2268" w:type="dxa"/>
          </w:tcPr>
          <w:p>
            <w:pPr>
              <w:pStyle w:val="77"/>
              <w:jc w:val="left"/>
              <w:rPr>
                <w:kern w:val="0"/>
              </w:rPr>
            </w:pPr>
            <w:r>
              <w:rPr>
                <w:kern w:val="0"/>
              </w:rPr>
              <w:t>0.84 (0.65–1.08)</w:t>
            </w:r>
          </w:p>
        </w:tc>
        <w:tc>
          <w:tcPr>
            <w:tcW w:w="1275" w:type="dxa"/>
          </w:tcPr>
          <w:p>
            <w:pPr>
              <w:pStyle w:val="77"/>
              <w:jc w:val="left"/>
              <w:rPr>
                <w:kern w:val="0"/>
              </w:rPr>
            </w:pPr>
            <w:r>
              <w:rPr>
                <w:kern w:val="0"/>
              </w:rPr>
              <w:t>0.167</w:t>
            </w:r>
          </w:p>
        </w:tc>
        <w:tc>
          <w:tcPr>
            <w:tcW w:w="2268" w:type="dxa"/>
          </w:tcPr>
          <w:p>
            <w:pPr>
              <w:pStyle w:val="77"/>
              <w:jc w:val="left"/>
              <w:rPr>
                <w:kern w:val="0"/>
              </w:rPr>
            </w:pPr>
            <w:r>
              <w:rPr>
                <w:kern w:val="0"/>
              </w:rPr>
              <w:t>0.99 (0.76–1.29)</w:t>
            </w:r>
          </w:p>
        </w:tc>
        <w:tc>
          <w:tcPr>
            <w:tcW w:w="1218" w:type="dxa"/>
          </w:tcPr>
          <w:p>
            <w:pPr>
              <w:pStyle w:val="77"/>
              <w:jc w:val="left"/>
              <w:rPr>
                <w:kern w:val="0"/>
              </w:rPr>
            </w:pPr>
            <w:r>
              <w:rPr>
                <w:kern w:val="0"/>
              </w:rPr>
              <w:t>0.96</w:t>
            </w:r>
            <w:r>
              <w:rPr>
                <w:rFonts w:hint="eastAsia"/>
                <w:kern w:val="0"/>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trPr>
        <w:tc>
          <w:tcPr>
            <w:tcW w:w="2547" w:type="dxa"/>
          </w:tcPr>
          <w:p>
            <w:pPr>
              <w:pStyle w:val="77"/>
              <w:jc w:val="left"/>
              <w:rPr>
                <w:kern w:val="0"/>
              </w:rPr>
            </w:pPr>
            <w:r>
              <w:rPr>
                <w:kern w:val="0"/>
              </w:rPr>
              <w:t>Highly active</w:t>
            </w:r>
          </w:p>
        </w:tc>
        <w:tc>
          <w:tcPr>
            <w:tcW w:w="1417" w:type="dxa"/>
          </w:tcPr>
          <w:p>
            <w:pPr>
              <w:pStyle w:val="77"/>
              <w:jc w:val="left"/>
              <w:rPr>
                <w:kern w:val="0"/>
              </w:rPr>
            </w:pPr>
            <w:r>
              <w:rPr>
                <w:kern w:val="0"/>
              </w:rPr>
              <w:t>407</w:t>
            </w:r>
          </w:p>
        </w:tc>
        <w:tc>
          <w:tcPr>
            <w:tcW w:w="1418" w:type="dxa"/>
          </w:tcPr>
          <w:p>
            <w:pPr>
              <w:pStyle w:val="77"/>
              <w:jc w:val="left"/>
              <w:rPr>
                <w:kern w:val="0"/>
              </w:rPr>
            </w:pPr>
            <w:r>
              <w:rPr>
                <w:kern w:val="0"/>
              </w:rPr>
              <w:t>37</w:t>
            </w:r>
          </w:p>
        </w:tc>
        <w:tc>
          <w:tcPr>
            <w:tcW w:w="1276" w:type="dxa"/>
          </w:tcPr>
          <w:p>
            <w:pPr>
              <w:pStyle w:val="77"/>
              <w:jc w:val="left"/>
              <w:rPr>
                <w:kern w:val="0"/>
              </w:rPr>
            </w:pPr>
            <w:r>
              <w:rPr>
                <w:kern w:val="0"/>
              </w:rPr>
              <w:t>2.9</w:t>
            </w:r>
          </w:p>
        </w:tc>
        <w:tc>
          <w:tcPr>
            <w:tcW w:w="2268" w:type="dxa"/>
          </w:tcPr>
          <w:p>
            <w:pPr>
              <w:pStyle w:val="77"/>
              <w:jc w:val="left"/>
              <w:rPr>
                <w:kern w:val="0"/>
              </w:rPr>
            </w:pPr>
            <w:r>
              <w:rPr>
                <w:kern w:val="0"/>
              </w:rPr>
              <w:t>0.68 (0.48–0.97)</w:t>
            </w:r>
          </w:p>
        </w:tc>
        <w:tc>
          <w:tcPr>
            <w:tcW w:w="1275" w:type="dxa"/>
          </w:tcPr>
          <w:p>
            <w:pPr>
              <w:pStyle w:val="77"/>
              <w:jc w:val="left"/>
              <w:rPr>
                <w:kern w:val="0"/>
              </w:rPr>
            </w:pPr>
            <w:r>
              <w:rPr>
                <w:kern w:val="0"/>
              </w:rPr>
              <w:t>0.032</w:t>
            </w:r>
          </w:p>
        </w:tc>
        <w:tc>
          <w:tcPr>
            <w:tcW w:w="2268" w:type="dxa"/>
          </w:tcPr>
          <w:p>
            <w:pPr>
              <w:pStyle w:val="77"/>
              <w:jc w:val="left"/>
              <w:rPr>
                <w:kern w:val="0"/>
              </w:rPr>
            </w:pPr>
            <w:r>
              <w:rPr>
                <w:kern w:val="0"/>
              </w:rPr>
              <w:t>0.84 (0.58–1.22)</w:t>
            </w:r>
          </w:p>
        </w:tc>
        <w:tc>
          <w:tcPr>
            <w:tcW w:w="1218" w:type="dxa"/>
          </w:tcPr>
          <w:p>
            <w:pPr>
              <w:pStyle w:val="77"/>
              <w:jc w:val="left"/>
              <w:rPr>
                <w:kern w:val="0"/>
              </w:rPr>
            </w:pPr>
            <w:r>
              <w:rPr>
                <w:kern w:val="0"/>
              </w:rPr>
              <w:t>0.36</w:t>
            </w:r>
            <w:r>
              <w:rPr>
                <w:rFonts w:hint="eastAsia"/>
                <w:kern w:val="0"/>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trPr>
        <w:tc>
          <w:tcPr>
            <w:tcW w:w="13687" w:type="dxa"/>
            <w:gridSpan w:val="8"/>
          </w:tcPr>
          <w:p>
            <w:pPr>
              <w:pStyle w:val="77"/>
              <w:jc w:val="left"/>
              <w:rPr>
                <w:kern w:val="0"/>
              </w:rPr>
            </w:pPr>
            <w:r>
              <w:rPr>
                <w:kern w:val="0"/>
              </w:rPr>
              <w:t>Cardiovascular disease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trPr>
        <w:tc>
          <w:tcPr>
            <w:tcW w:w="13687" w:type="dxa"/>
            <w:gridSpan w:val="8"/>
          </w:tcPr>
          <w:p>
            <w:pPr>
              <w:pStyle w:val="77"/>
              <w:jc w:val="left"/>
              <w:rPr>
                <w:kern w:val="0"/>
              </w:rPr>
            </w:pPr>
            <w:r>
              <w:rPr>
                <w:kern w:val="0"/>
              </w:rPr>
              <w:t>HF medication group I - none or ACE inhibitor/ARB</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trPr>
        <w:tc>
          <w:tcPr>
            <w:tcW w:w="2547" w:type="dxa"/>
          </w:tcPr>
          <w:p>
            <w:pPr>
              <w:pStyle w:val="77"/>
              <w:jc w:val="left"/>
              <w:rPr>
                <w:kern w:val="0"/>
              </w:rPr>
            </w:pPr>
            <w:r>
              <w:rPr>
                <w:kern w:val="0"/>
              </w:rPr>
              <w:t>Inactive</w:t>
            </w:r>
          </w:p>
        </w:tc>
        <w:tc>
          <w:tcPr>
            <w:tcW w:w="1417" w:type="dxa"/>
          </w:tcPr>
          <w:p>
            <w:pPr>
              <w:pStyle w:val="77"/>
              <w:jc w:val="left"/>
              <w:rPr>
                <w:kern w:val="0"/>
              </w:rPr>
            </w:pPr>
            <w:r>
              <w:rPr>
                <w:kern w:val="0"/>
              </w:rPr>
              <w:t>152</w:t>
            </w:r>
          </w:p>
        </w:tc>
        <w:tc>
          <w:tcPr>
            <w:tcW w:w="1418" w:type="dxa"/>
          </w:tcPr>
          <w:p>
            <w:pPr>
              <w:pStyle w:val="77"/>
              <w:jc w:val="left"/>
              <w:rPr>
                <w:kern w:val="0"/>
              </w:rPr>
            </w:pPr>
            <w:r>
              <w:rPr>
                <w:kern w:val="0"/>
              </w:rPr>
              <w:t>1</w:t>
            </w:r>
          </w:p>
        </w:tc>
        <w:tc>
          <w:tcPr>
            <w:tcW w:w="1276" w:type="dxa"/>
          </w:tcPr>
          <w:p>
            <w:pPr>
              <w:pStyle w:val="77"/>
              <w:jc w:val="left"/>
              <w:rPr>
                <w:kern w:val="0"/>
              </w:rPr>
            </w:pPr>
            <w:r>
              <w:rPr>
                <w:kern w:val="0"/>
              </w:rPr>
              <w:t>2.3</w:t>
            </w:r>
          </w:p>
        </w:tc>
        <w:tc>
          <w:tcPr>
            <w:tcW w:w="2268" w:type="dxa"/>
            <w:vAlign w:val="center"/>
          </w:tcPr>
          <w:p>
            <w:pPr>
              <w:pStyle w:val="77"/>
              <w:jc w:val="left"/>
              <w:rPr>
                <w:kern w:val="0"/>
              </w:rPr>
            </w:pPr>
            <w:r>
              <w:rPr>
                <w:rFonts w:eastAsia="Malgun Gothic"/>
                <w:kern w:val="0"/>
              </w:rPr>
              <w:t>Reference</w:t>
            </w:r>
          </w:p>
        </w:tc>
        <w:tc>
          <w:tcPr>
            <w:tcW w:w="1275" w:type="dxa"/>
            <w:vAlign w:val="center"/>
          </w:tcPr>
          <w:p>
            <w:pPr>
              <w:pStyle w:val="77"/>
              <w:jc w:val="left"/>
              <w:rPr>
                <w:kern w:val="0"/>
              </w:rPr>
            </w:pPr>
          </w:p>
        </w:tc>
        <w:tc>
          <w:tcPr>
            <w:tcW w:w="2268" w:type="dxa"/>
            <w:vAlign w:val="center"/>
          </w:tcPr>
          <w:p>
            <w:pPr>
              <w:pStyle w:val="77"/>
              <w:jc w:val="left"/>
              <w:rPr>
                <w:kern w:val="0"/>
              </w:rPr>
            </w:pPr>
            <w:r>
              <w:rPr>
                <w:rFonts w:eastAsia="Malgun Gothic"/>
                <w:kern w:val="0"/>
              </w:rPr>
              <w:t>Reference</w:t>
            </w:r>
          </w:p>
        </w:tc>
        <w:tc>
          <w:tcPr>
            <w:tcW w:w="1218" w:type="dxa"/>
            <w:vAlign w:val="center"/>
          </w:tcPr>
          <w:p>
            <w:pPr>
              <w:pStyle w:val="77"/>
              <w:jc w:val="left"/>
              <w:rPr>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trPr>
        <w:tc>
          <w:tcPr>
            <w:tcW w:w="2547" w:type="dxa"/>
          </w:tcPr>
          <w:p>
            <w:pPr>
              <w:pStyle w:val="77"/>
              <w:jc w:val="left"/>
              <w:rPr>
                <w:kern w:val="0"/>
              </w:rPr>
            </w:pPr>
            <w:r>
              <w:rPr>
                <w:kern w:val="0"/>
              </w:rPr>
              <w:t>Insufficiently active</w:t>
            </w:r>
          </w:p>
        </w:tc>
        <w:tc>
          <w:tcPr>
            <w:tcW w:w="1417" w:type="dxa"/>
          </w:tcPr>
          <w:p>
            <w:pPr>
              <w:pStyle w:val="77"/>
              <w:jc w:val="left"/>
              <w:rPr>
                <w:kern w:val="0"/>
              </w:rPr>
            </w:pPr>
            <w:r>
              <w:rPr>
                <w:kern w:val="0"/>
              </w:rPr>
              <w:t>82</w:t>
            </w:r>
          </w:p>
        </w:tc>
        <w:tc>
          <w:tcPr>
            <w:tcW w:w="1418" w:type="dxa"/>
          </w:tcPr>
          <w:p>
            <w:pPr>
              <w:pStyle w:val="77"/>
              <w:jc w:val="left"/>
              <w:rPr>
                <w:kern w:val="0"/>
              </w:rPr>
            </w:pPr>
            <w:r>
              <w:rPr>
                <w:kern w:val="0"/>
              </w:rPr>
              <w:t>2</w:t>
            </w:r>
          </w:p>
        </w:tc>
        <w:tc>
          <w:tcPr>
            <w:tcW w:w="1276" w:type="dxa"/>
          </w:tcPr>
          <w:p>
            <w:pPr>
              <w:pStyle w:val="77"/>
              <w:jc w:val="left"/>
              <w:rPr>
                <w:kern w:val="0"/>
              </w:rPr>
            </w:pPr>
            <w:r>
              <w:rPr>
                <w:kern w:val="0"/>
              </w:rPr>
              <w:t>0.8</w:t>
            </w:r>
          </w:p>
        </w:tc>
        <w:tc>
          <w:tcPr>
            <w:tcW w:w="2268" w:type="dxa"/>
          </w:tcPr>
          <w:p>
            <w:pPr>
              <w:pStyle w:val="77"/>
              <w:jc w:val="left"/>
              <w:rPr>
                <w:kern w:val="0"/>
              </w:rPr>
            </w:pPr>
            <w:r>
              <w:rPr>
                <w:kern w:val="0"/>
              </w:rPr>
              <w:t>3.54 (0.33–38.27)</w:t>
            </w:r>
          </w:p>
        </w:tc>
        <w:tc>
          <w:tcPr>
            <w:tcW w:w="1275" w:type="dxa"/>
          </w:tcPr>
          <w:p>
            <w:pPr>
              <w:pStyle w:val="77"/>
              <w:jc w:val="left"/>
              <w:rPr>
                <w:kern w:val="0"/>
              </w:rPr>
            </w:pPr>
            <w:r>
              <w:rPr>
                <w:kern w:val="0"/>
              </w:rPr>
              <w:t>0.297</w:t>
            </w:r>
          </w:p>
        </w:tc>
        <w:tc>
          <w:tcPr>
            <w:tcW w:w="2268" w:type="dxa"/>
          </w:tcPr>
          <w:p>
            <w:pPr>
              <w:pStyle w:val="77"/>
              <w:jc w:val="left"/>
              <w:rPr>
                <w:kern w:val="0"/>
              </w:rPr>
            </w:pPr>
            <w:r>
              <w:rPr>
                <w:kern w:val="0"/>
              </w:rPr>
              <w:t>0</w:t>
            </w:r>
            <w:r>
              <w:rPr>
                <w:rFonts w:hint="eastAsia"/>
                <w:kern w:val="0"/>
              </w:rPr>
              <w:t>.00</w:t>
            </w:r>
            <w:r>
              <w:rPr>
                <w:kern w:val="0"/>
              </w:rPr>
              <w:t xml:space="preserve"> (0</w:t>
            </w:r>
            <w:r>
              <w:rPr>
                <w:rFonts w:hint="eastAsia"/>
                <w:kern w:val="0"/>
              </w:rPr>
              <w:t>.00</w:t>
            </w:r>
            <w:r>
              <w:rPr>
                <w:kern w:val="0"/>
              </w:rPr>
              <w:t>–0</w:t>
            </w:r>
            <w:r>
              <w:rPr>
                <w:rFonts w:hint="eastAsia"/>
                <w:kern w:val="0"/>
              </w:rPr>
              <w:t>.00</w:t>
            </w:r>
            <w:r>
              <w:rPr>
                <w:kern w:val="0"/>
              </w:rPr>
              <w:t>)</w:t>
            </w:r>
          </w:p>
        </w:tc>
        <w:tc>
          <w:tcPr>
            <w:tcW w:w="1218" w:type="dxa"/>
          </w:tcPr>
          <w:p>
            <w:pPr>
              <w:pStyle w:val="77"/>
              <w:jc w:val="left"/>
              <w:rPr>
                <w:kern w:val="0"/>
              </w:rPr>
            </w:pPr>
            <w:r>
              <w:rPr>
                <w:kern w:val="0"/>
              </w:rPr>
              <w:t>&lt;0.001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3" w:hRule="atLeast"/>
        </w:trPr>
        <w:tc>
          <w:tcPr>
            <w:tcW w:w="2547" w:type="dxa"/>
          </w:tcPr>
          <w:p>
            <w:pPr>
              <w:pStyle w:val="77"/>
              <w:jc w:val="left"/>
              <w:rPr>
                <w:kern w:val="0"/>
              </w:rPr>
            </w:pPr>
            <w:r>
              <w:rPr>
                <w:kern w:val="0"/>
              </w:rPr>
              <w:t>Active</w:t>
            </w:r>
          </w:p>
        </w:tc>
        <w:tc>
          <w:tcPr>
            <w:tcW w:w="1417" w:type="dxa"/>
          </w:tcPr>
          <w:p>
            <w:pPr>
              <w:pStyle w:val="77"/>
              <w:jc w:val="left"/>
              <w:rPr>
                <w:kern w:val="0"/>
              </w:rPr>
            </w:pPr>
            <w:r>
              <w:rPr>
                <w:kern w:val="0"/>
              </w:rPr>
              <w:t>73</w:t>
            </w:r>
          </w:p>
        </w:tc>
        <w:tc>
          <w:tcPr>
            <w:tcW w:w="1418" w:type="dxa"/>
          </w:tcPr>
          <w:p>
            <w:pPr>
              <w:pStyle w:val="77"/>
              <w:jc w:val="left"/>
              <w:rPr>
                <w:kern w:val="0"/>
              </w:rPr>
            </w:pPr>
            <w:r>
              <w:rPr>
                <w:kern w:val="0"/>
              </w:rPr>
              <w:t>1</w:t>
            </w:r>
          </w:p>
        </w:tc>
        <w:tc>
          <w:tcPr>
            <w:tcW w:w="1276" w:type="dxa"/>
          </w:tcPr>
          <w:p>
            <w:pPr>
              <w:pStyle w:val="77"/>
              <w:jc w:val="left"/>
              <w:rPr>
                <w:kern w:val="0"/>
              </w:rPr>
            </w:pPr>
            <w:r>
              <w:rPr>
                <w:kern w:val="0"/>
              </w:rPr>
              <w:t>0.4</w:t>
            </w:r>
          </w:p>
        </w:tc>
        <w:tc>
          <w:tcPr>
            <w:tcW w:w="2268" w:type="dxa"/>
          </w:tcPr>
          <w:p>
            <w:pPr>
              <w:pStyle w:val="77"/>
              <w:jc w:val="left"/>
              <w:rPr>
                <w:kern w:val="0"/>
              </w:rPr>
            </w:pPr>
            <w:r>
              <w:rPr>
                <w:kern w:val="0"/>
              </w:rPr>
              <w:t>1.85 (0.11–31.25)</w:t>
            </w:r>
          </w:p>
        </w:tc>
        <w:tc>
          <w:tcPr>
            <w:tcW w:w="1275" w:type="dxa"/>
          </w:tcPr>
          <w:p>
            <w:pPr>
              <w:pStyle w:val="77"/>
              <w:jc w:val="left"/>
              <w:rPr>
                <w:kern w:val="0"/>
              </w:rPr>
            </w:pPr>
            <w:r>
              <w:rPr>
                <w:kern w:val="0"/>
              </w:rPr>
              <w:t>0.671</w:t>
            </w:r>
          </w:p>
        </w:tc>
        <w:tc>
          <w:tcPr>
            <w:tcW w:w="2268" w:type="dxa"/>
          </w:tcPr>
          <w:p>
            <w:pPr>
              <w:pStyle w:val="77"/>
              <w:jc w:val="left"/>
              <w:rPr>
                <w:kern w:val="0"/>
              </w:rPr>
            </w:pPr>
            <w:r>
              <w:rPr>
                <w:kern w:val="0"/>
              </w:rPr>
              <w:t>0.03 (0.01–0.12)</w:t>
            </w:r>
          </w:p>
        </w:tc>
        <w:tc>
          <w:tcPr>
            <w:tcW w:w="1218" w:type="dxa"/>
          </w:tcPr>
          <w:p>
            <w:pPr>
              <w:pStyle w:val="77"/>
              <w:jc w:val="left"/>
              <w:rPr>
                <w:kern w:val="0"/>
              </w:rPr>
            </w:pPr>
            <w:r>
              <w:rPr>
                <w:kern w:val="0"/>
              </w:rPr>
              <w:t>&lt;0.001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trPr>
        <w:tc>
          <w:tcPr>
            <w:tcW w:w="2547" w:type="dxa"/>
          </w:tcPr>
          <w:p>
            <w:pPr>
              <w:pStyle w:val="77"/>
              <w:jc w:val="left"/>
              <w:rPr>
                <w:kern w:val="0"/>
              </w:rPr>
            </w:pPr>
            <w:r>
              <w:rPr>
                <w:kern w:val="0"/>
              </w:rPr>
              <w:t>Highly active</w:t>
            </w:r>
          </w:p>
        </w:tc>
        <w:tc>
          <w:tcPr>
            <w:tcW w:w="1417" w:type="dxa"/>
          </w:tcPr>
          <w:p>
            <w:pPr>
              <w:pStyle w:val="77"/>
              <w:jc w:val="left"/>
              <w:rPr>
                <w:kern w:val="0"/>
              </w:rPr>
            </w:pPr>
            <w:r>
              <w:rPr>
                <w:kern w:val="0"/>
              </w:rPr>
              <w:t>43</w:t>
            </w:r>
          </w:p>
        </w:tc>
        <w:tc>
          <w:tcPr>
            <w:tcW w:w="1418" w:type="dxa"/>
          </w:tcPr>
          <w:p>
            <w:pPr>
              <w:pStyle w:val="77"/>
              <w:jc w:val="left"/>
              <w:rPr>
                <w:kern w:val="0"/>
              </w:rPr>
            </w:pPr>
            <w:r>
              <w:rPr>
                <w:kern w:val="0"/>
              </w:rPr>
              <w:t>0</w:t>
            </w:r>
          </w:p>
        </w:tc>
        <w:tc>
          <w:tcPr>
            <w:tcW w:w="1276" w:type="dxa"/>
          </w:tcPr>
          <w:p>
            <w:pPr>
              <w:pStyle w:val="77"/>
              <w:jc w:val="left"/>
              <w:rPr>
                <w:kern w:val="0"/>
              </w:rPr>
            </w:pPr>
            <w:r>
              <w:rPr>
                <w:kern w:val="0"/>
              </w:rPr>
              <w:t>0</w:t>
            </w:r>
            <w:r>
              <w:rPr>
                <w:rFonts w:hint="eastAsia"/>
                <w:kern w:val="0"/>
              </w:rPr>
              <w:t>.0</w:t>
            </w:r>
          </w:p>
        </w:tc>
        <w:tc>
          <w:tcPr>
            <w:tcW w:w="2268" w:type="dxa"/>
          </w:tcPr>
          <w:p>
            <w:pPr>
              <w:pStyle w:val="77"/>
              <w:jc w:val="left"/>
              <w:rPr>
                <w:kern w:val="0"/>
              </w:rPr>
            </w:pPr>
            <w:r>
              <w:rPr>
                <w:kern w:val="0"/>
              </w:rPr>
              <w:t>0.00 (0.00–0.00)</w:t>
            </w:r>
          </w:p>
        </w:tc>
        <w:tc>
          <w:tcPr>
            <w:tcW w:w="1275" w:type="dxa"/>
          </w:tcPr>
          <w:p>
            <w:pPr>
              <w:pStyle w:val="77"/>
              <w:jc w:val="left"/>
              <w:rPr>
                <w:kern w:val="0"/>
              </w:rPr>
            </w:pPr>
            <w:r>
              <w:rPr>
                <w:kern w:val="0"/>
              </w:rPr>
              <w:t>&lt;0.001</w:t>
            </w:r>
          </w:p>
        </w:tc>
        <w:tc>
          <w:tcPr>
            <w:tcW w:w="2268" w:type="dxa"/>
          </w:tcPr>
          <w:p>
            <w:pPr>
              <w:pStyle w:val="77"/>
              <w:jc w:val="left"/>
              <w:rPr>
                <w:kern w:val="0"/>
              </w:rPr>
            </w:pPr>
            <w:r>
              <w:rPr>
                <w:kern w:val="0"/>
              </w:rPr>
              <w:t>0</w:t>
            </w:r>
            <w:r>
              <w:rPr>
                <w:rFonts w:hint="eastAsia"/>
                <w:kern w:val="0"/>
              </w:rPr>
              <w:t>.00</w:t>
            </w:r>
            <w:r>
              <w:rPr>
                <w:kern w:val="0"/>
              </w:rPr>
              <w:t xml:space="preserve"> (0</w:t>
            </w:r>
            <w:r>
              <w:rPr>
                <w:rFonts w:hint="eastAsia"/>
                <w:kern w:val="0"/>
              </w:rPr>
              <w:t>.00</w:t>
            </w:r>
            <w:r>
              <w:rPr>
                <w:kern w:val="0"/>
              </w:rPr>
              <w:t>–0</w:t>
            </w:r>
            <w:r>
              <w:rPr>
                <w:rFonts w:hint="eastAsia"/>
                <w:kern w:val="0"/>
              </w:rPr>
              <w:t>.00</w:t>
            </w:r>
            <w:r>
              <w:rPr>
                <w:kern w:val="0"/>
              </w:rPr>
              <w:t>)</w:t>
            </w:r>
          </w:p>
        </w:tc>
        <w:tc>
          <w:tcPr>
            <w:tcW w:w="1218" w:type="dxa"/>
          </w:tcPr>
          <w:p>
            <w:pPr>
              <w:pStyle w:val="77"/>
              <w:jc w:val="left"/>
              <w:rPr>
                <w:kern w:val="0"/>
              </w:rPr>
            </w:pPr>
            <w:r>
              <w:rPr>
                <w:kern w:val="0"/>
              </w:rPr>
              <w:t>&lt;0.001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trPr>
        <w:tc>
          <w:tcPr>
            <w:tcW w:w="13687" w:type="dxa"/>
            <w:gridSpan w:val="8"/>
          </w:tcPr>
          <w:p>
            <w:pPr>
              <w:pStyle w:val="77"/>
              <w:jc w:val="left"/>
              <w:rPr>
                <w:kern w:val="0"/>
              </w:rPr>
            </w:pPr>
            <w:r>
              <w:rPr>
                <w:kern w:val="0"/>
              </w:rPr>
              <w:t>HF medication group II - beta blocker or diuretics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trPr>
        <w:tc>
          <w:tcPr>
            <w:tcW w:w="2547" w:type="dxa"/>
          </w:tcPr>
          <w:p>
            <w:pPr>
              <w:pStyle w:val="77"/>
              <w:jc w:val="left"/>
              <w:rPr>
                <w:kern w:val="0"/>
              </w:rPr>
            </w:pPr>
            <w:r>
              <w:rPr>
                <w:kern w:val="0"/>
              </w:rPr>
              <w:t>Inactive</w:t>
            </w:r>
          </w:p>
        </w:tc>
        <w:tc>
          <w:tcPr>
            <w:tcW w:w="1417" w:type="dxa"/>
          </w:tcPr>
          <w:p>
            <w:pPr>
              <w:pStyle w:val="77"/>
              <w:jc w:val="left"/>
              <w:rPr>
                <w:kern w:val="0"/>
              </w:rPr>
            </w:pPr>
            <w:r>
              <w:rPr>
                <w:kern w:val="0"/>
              </w:rPr>
              <w:t>1880</w:t>
            </w:r>
          </w:p>
        </w:tc>
        <w:tc>
          <w:tcPr>
            <w:tcW w:w="1418" w:type="dxa"/>
          </w:tcPr>
          <w:p>
            <w:pPr>
              <w:pStyle w:val="77"/>
              <w:jc w:val="left"/>
              <w:rPr>
                <w:kern w:val="0"/>
              </w:rPr>
            </w:pPr>
            <w:r>
              <w:rPr>
                <w:kern w:val="0"/>
              </w:rPr>
              <w:t>64</w:t>
            </w:r>
          </w:p>
        </w:tc>
        <w:tc>
          <w:tcPr>
            <w:tcW w:w="1276" w:type="dxa"/>
          </w:tcPr>
          <w:p>
            <w:pPr>
              <w:pStyle w:val="77"/>
              <w:jc w:val="left"/>
              <w:rPr>
                <w:kern w:val="0"/>
              </w:rPr>
            </w:pPr>
            <w:r>
              <w:rPr>
                <w:kern w:val="0"/>
              </w:rPr>
              <w:t>1.2</w:t>
            </w:r>
          </w:p>
        </w:tc>
        <w:tc>
          <w:tcPr>
            <w:tcW w:w="2268" w:type="dxa"/>
            <w:vAlign w:val="center"/>
          </w:tcPr>
          <w:p>
            <w:pPr>
              <w:pStyle w:val="77"/>
              <w:jc w:val="left"/>
              <w:rPr>
                <w:kern w:val="0"/>
              </w:rPr>
            </w:pPr>
            <w:r>
              <w:rPr>
                <w:rFonts w:eastAsia="Malgun Gothic"/>
                <w:kern w:val="0"/>
              </w:rPr>
              <w:t>Reference</w:t>
            </w:r>
          </w:p>
        </w:tc>
        <w:tc>
          <w:tcPr>
            <w:tcW w:w="1275" w:type="dxa"/>
            <w:vAlign w:val="center"/>
          </w:tcPr>
          <w:p>
            <w:pPr>
              <w:pStyle w:val="77"/>
              <w:jc w:val="left"/>
              <w:rPr>
                <w:kern w:val="0"/>
              </w:rPr>
            </w:pPr>
          </w:p>
        </w:tc>
        <w:tc>
          <w:tcPr>
            <w:tcW w:w="2268" w:type="dxa"/>
            <w:vAlign w:val="center"/>
          </w:tcPr>
          <w:p>
            <w:pPr>
              <w:pStyle w:val="77"/>
              <w:jc w:val="left"/>
              <w:rPr>
                <w:kern w:val="0"/>
              </w:rPr>
            </w:pPr>
            <w:r>
              <w:rPr>
                <w:rFonts w:eastAsia="Malgun Gothic"/>
                <w:kern w:val="0"/>
              </w:rPr>
              <w:t>Reference</w:t>
            </w:r>
          </w:p>
        </w:tc>
        <w:tc>
          <w:tcPr>
            <w:tcW w:w="1218" w:type="dxa"/>
            <w:vAlign w:val="center"/>
          </w:tcPr>
          <w:p>
            <w:pPr>
              <w:pStyle w:val="77"/>
              <w:jc w:val="left"/>
              <w:rPr>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trPr>
        <w:tc>
          <w:tcPr>
            <w:tcW w:w="2547" w:type="dxa"/>
          </w:tcPr>
          <w:p>
            <w:pPr>
              <w:pStyle w:val="77"/>
              <w:jc w:val="left"/>
              <w:rPr>
                <w:kern w:val="0"/>
              </w:rPr>
            </w:pPr>
            <w:r>
              <w:rPr>
                <w:kern w:val="0"/>
              </w:rPr>
              <w:t>Insufficiently active</w:t>
            </w:r>
          </w:p>
        </w:tc>
        <w:tc>
          <w:tcPr>
            <w:tcW w:w="1417" w:type="dxa"/>
          </w:tcPr>
          <w:p>
            <w:pPr>
              <w:pStyle w:val="77"/>
              <w:jc w:val="left"/>
              <w:rPr>
                <w:kern w:val="0"/>
              </w:rPr>
            </w:pPr>
            <w:r>
              <w:rPr>
                <w:kern w:val="0"/>
              </w:rPr>
              <w:t>1104</w:t>
            </w:r>
          </w:p>
        </w:tc>
        <w:tc>
          <w:tcPr>
            <w:tcW w:w="1418" w:type="dxa"/>
          </w:tcPr>
          <w:p>
            <w:pPr>
              <w:pStyle w:val="77"/>
              <w:jc w:val="left"/>
              <w:rPr>
                <w:kern w:val="0"/>
              </w:rPr>
            </w:pPr>
            <w:r>
              <w:rPr>
                <w:kern w:val="0"/>
              </w:rPr>
              <w:t>29</w:t>
            </w:r>
          </w:p>
        </w:tc>
        <w:tc>
          <w:tcPr>
            <w:tcW w:w="1276" w:type="dxa"/>
          </w:tcPr>
          <w:p>
            <w:pPr>
              <w:pStyle w:val="77"/>
              <w:jc w:val="left"/>
              <w:rPr>
                <w:kern w:val="0"/>
              </w:rPr>
            </w:pPr>
            <w:r>
              <w:rPr>
                <w:kern w:val="0"/>
              </w:rPr>
              <w:t>0.8</w:t>
            </w:r>
          </w:p>
        </w:tc>
        <w:tc>
          <w:tcPr>
            <w:tcW w:w="2268" w:type="dxa"/>
          </w:tcPr>
          <w:p>
            <w:pPr>
              <w:pStyle w:val="77"/>
              <w:jc w:val="left"/>
              <w:rPr>
                <w:kern w:val="0"/>
              </w:rPr>
            </w:pPr>
            <w:r>
              <w:rPr>
                <w:kern w:val="0"/>
              </w:rPr>
              <w:t>0.72 (0.47–1.12)</w:t>
            </w:r>
          </w:p>
        </w:tc>
        <w:tc>
          <w:tcPr>
            <w:tcW w:w="1275" w:type="dxa"/>
          </w:tcPr>
          <w:p>
            <w:pPr>
              <w:pStyle w:val="77"/>
              <w:jc w:val="left"/>
              <w:rPr>
                <w:kern w:val="0"/>
              </w:rPr>
            </w:pPr>
            <w:r>
              <w:rPr>
                <w:kern w:val="0"/>
              </w:rPr>
              <w:t>0.146</w:t>
            </w:r>
          </w:p>
        </w:tc>
        <w:tc>
          <w:tcPr>
            <w:tcW w:w="2268" w:type="dxa"/>
          </w:tcPr>
          <w:p>
            <w:pPr>
              <w:pStyle w:val="77"/>
              <w:jc w:val="left"/>
              <w:rPr>
                <w:kern w:val="0"/>
              </w:rPr>
            </w:pPr>
            <w:r>
              <w:rPr>
                <w:kern w:val="0"/>
              </w:rPr>
              <w:t>0.75 (0.48–1.17)</w:t>
            </w:r>
          </w:p>
        </w:tc>
        <w:tc>
          <w:tcPr>
            <w:tcW w:w="1218" w:type="dxa"/>
          </w:tcPr>
          <w:p>
            <w:pPr>
              <w:pStyle w:val="77"/>
              <w:jc w:val="left"/>
              <w:rPr>
                <w:kern w:val="0"/>
              </w:rPr>
            </w:pPr>
            <w:r>
              <w:rPr>
                <w:kern w:val="0"/>
              </w:rPr>
              <w:t>0.21</w:t>
            </w:r>
            <w:r>
              <w:rPr>
                <w:rFonts w:hint="eastAsia"/>
                <w:kern w:val="0"/>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3" w:hRule="atLeast"/>
        </w:trPr>
        <w:tc>
          <w:tcPr>
            <w:tcW w:w="2547" w:type="dxa"/>
          </w:tcPr>
          <w:p>
            <w:pPr>
              <w:pStyle w:val="77"/>
              <w:jc w:val="left"/>
              <w:rPr>
                <w:kern w:val="0"/>
              </w:rPr>
            </w:pPr>
            <w:r>
              <w:rPr>
                <w:kern w:val="0"/>
              </w:rPr>
              <w:t>Active</w:t>
            </w:r>
          </w:p>
        </w:tc>
        <w:tc>
          <w:tcPr>
            <w:tcW w:w="1417" w:type="dxa"/>
          </w:tcPr>
          <w:p>
            <w:pPr>
              <w:pStyle w:val="77"/>
              <w:jc w:val="left"/>
              <w:rPr>
                <w:kern w:val="0"/>
              </w:rPr>
            </w:pPr>
            <w:r>
              <w:rPr>
                <w:kern w:val="0"/>
              </w:rPr>
              <w:t>998</w:t>
            </w:r>
          </w:p>
        </w:tc>
        <w:tc>
          <w:tcPr>
            <w:tcW w:w="1418" w:type="dxa"/>
          </w:tcPr>
          <w:p>
            <w:pPr>
              <w:pStyle w:val="77"/>
              <w:jc w:val="left"/>
              <w:rPr>
                <w:kern w:val="0"/>
              </w:rPr>
            </w:pPr>
            <w:r>
              <w:rPr>
                <w:kern w:val="0"/>
              </w:rPr>
              <w:t>31</w:t>
            </w:r>
          </w:p>
        </w:tc>
        <w:tc>
          <w:tcPr>
            <w:tcW w:w="1276" w:type="dxa"/>
          </w:tcPr>
          <w:p>
            <w:pPr>
              <w:pStyle w:val="77"/>
              <w:jc w:val="left"/>
              <w:rPr>
                <w:kern w:val="0"/>
              </w:rPr>
            </w:pPr>
            <w:r>
              <w:rPr>
                <w:kern w:val="0"/>
              </w:rPr>
              <w:t>1</w:t>
            </w:r>
            <w:r>
              <w:rPr>
                <w:rFonts w:hint="eastAsia"/>
                <w:kern w:val="0"/>
              </w:rPr>
              <w:t>.0</w:t>
            </w:r>
          </w:p>
        </w:tc>
        <w:tc>
          <w:tcPr>
            <w:tcW w:w="2268" w:type="dxa"/>
          </w:tcPr>
          <w:p>
            <w:pPr>
              <w:pStyle w:val="77"/>
              <w:jc w:val="left"/>
              <w:rPr>
                <w:kern w:val="0"/>
              </w:rPr>
            </w:pPr>
            <w:r>
              <w:rPr>
                <w:kern w:val="0"/>
              </w:rPr>
              <w:t>0.84 (0.55–1.29)</w:t>
            </w:r>
          </w:p>
        </w:tc>
        <w:tc>
          <w:tcPr>
            <w:tcW w:w="1275" w:type="dxa"/>
          </w:tcPr>
          <w:p>
            <w:pPr>
              <w:pStyle w:val="77"/>
              <w:jc w:val="left"/>
              <w:rPr>
                <w:kern w:val="0"/>
              </w:rPr>
            </w:pPr>
            <w:r>
              <w:rPr>
                <w:kern w:val="0"/>
              </w:rPr>
              <w:t>0.434</w:t>
            </w:r>
          </w:p>
        </w:tc>
        <w:tc>
          <w:tcPr>
            <w:tcW w:w="2268" w:type="dxa"/>
          </w:tcPr>
          <w:p>
            <w:pPr>
              <w:pStyle w:val="77"/>
              <w:jc w:val="left"/>
              <w:rPr>
                <w:kern w:val="0"/>
              </w:rPr>
            </w:pPr>
            <w:r>
              <w:rPr>
                <w:kern w:val="0"/>
              </w:rPr>
              <w:t>0.85 (0.54–1.32)</w:t>
            </w:r>
          </w:p>
        </w:tc>
        <w:tc>
          <w:tcPr>
            <w:tcW w:w="1218" w:type="dxa"/>
          </w:tcPr>
          <w:p>
            <w:pPr>
              <w:pStyle w:val="77"/>
              <w:jc w:val="left"/>
              <w:rPr>
                <w:kern w:val="0"/>
              </w:rPr>
            </w:pPr>
            <w:r>
              <w:rPr>
                <w:kern w:val="0"/>
              </w:rPr>
              <w:t>0.46</w:t>
            </w:r>
            <w:r>
              <w:rPr>
                <w:rFonts w:hint="eastAsia"/>
                <w:kern w:val="0"/>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trPr>
        <w:tc>
          <w:tcPr>
            <w:tcW w:w="2547" w:type="dxa"/>
          </w:tcPr>
          <w:p>
            <w:pPr>
              <w:pStyle w:val="77"/>
              <w:jc w:val="left"/>
              <w:rPr>
                <w:kern w:val="0"/>
              </w:rPr>
            </w:pPr>
            <w:r>
              <w:rPr>
                <w:kern w:val="0"/>
              </w:rPr>
              <w:t>Highly active</w:t>
            </w:r>
          </w:p>
        </w:tc>
        <w:tc>
          <w:tcPr>
            <w:tcW w:w="1417" w:type="dxa"/>
          </w:tcPr>
          <w:p>
            <w:pPr>
              <w:pStyle w:val="77"/>
              <w:jc w:val="left"/>
              <w:rPr>
                <w:kern w:val="0"/>
              </w:rPr>
            </w:pPr>
            <w:r>
              <w:rPr>
                <w:kern w:val="0"/>
              </w:rPr>
              <w:t>617</w:t>
            </w:r>
          </w:p>
        </w:tc>
        <w:tc>
          <w:tcPr>
            <w:tcW w:w="1418" w:type="dxa"/>
          </w:tcPr>
          <w:p>
            <w:pPr>
              <w:pStyle w:val="77"/>
              <w:jc w:val="left"/>
              <w:rPr>
                <w:kern w:val="0"/>
              </w:rPr>
            </w:pPr>
            <w:r>
              <w:rPr>
                <w:kern w:val="0"/>
              </w:rPr>
              <w:t>24</w:t>
            </w:r>
          </w:p>
        </w:tc>
        <w:tc>
          <w:tcPr>
            <w:tcW w:w="1276" w:type="dxa"/>
          </w:tcPr>
          <w:p>
            <w:pPr>
              <w:pStyle w:val="77"/>
              <w:jc w:val="left"/>
              <w:rPr>
                <w:kern w:val="0"/>
              </w:rPr>
            </w:pPr>
            <w:r>
              <w:rPr>
                <w:kern w:val="0"/>
              </w:rPr>
              <w:t>1.2</w:t>
            </w:r>
          </w:p>
        </w:tc>
        <w:tc>
          <w:tcPr>
            <w:tcW w:w="2268" w:type="dxa"/>
          </w:tcPr>
          <w:p>
            <w:pPr>
              <w:pStyle w:val="77"/>
              <w:jc w:val="left"/>
              <w:rPr>
                <w:kern w:val="0"/>
              </w:rPr>
            </w:pPr>
            <w:r>
              <w:rPr>
                <w:kern w:val="0"/>
              </w:rPr>
              <w:t>1.04 (0.65–1.66)</w:t>
            </w:r>
          </w:p>
        </w:tc>
        <w:tc>
          <w:tcPr>
            <w:tcW w:w="1275" w:type="dxa"/>
          </w:tcPr>
          <w:p>
            <w:pPr>
              <w:pStyle w:val="77"/>
              <w:jc w:val="left"/>
              <w:rPr>
                <w:kern w:val="0"/>
              </w:rPr>
            </w:pPr>
            <w:r>
              <w:rPr>
                <w:kern w:val="0"/>
              </w:rPr>
              <w:t>0.862</w:t>
            </w:r>
          </w:p>
        </w:tc>
        <w:tc>
          <w:tcPr>
            <w:tcW w:w="2268" w:type="dxa"/>
          </w:tcPr>
          <w:p>
            <w:pPr>
              <w:pStyle w:val="77"/>
              <w:jc w:val="left"/>
              <w:rPr>
                <w:kern w:val="0"/>
              </w:rPr>
            </w:pPr>
            <w:r>
              <w:rPr>
                <w:kern w:val="0"/>
              </w:rPr>
              <w:t>0.98 (0.61–1.59)</w:t>
            </w:r>
          </w:p>
        </w:tc>
        <w:tc>
          <w:tcPr>
            <w:tcW w:w="1218" w:type="dxa"/>
          </w:tcPr>
          <w:p>
            <w:pPr>
              <w:pStyle w:val="77"/>
              <w:jc w:val="left"/>
              <w:rPr>
                <w:kern w:val="0"/>
              </w:rPr>
            </w:pPr>
            <w:r>
              <w:rPr>
                <w:kern w:val="0"/>
              </w:rPr>
              <w:t>0.94</w:t>
            </w:r>
            <w:r>
              <w:rPr>
                <w:rFonts w:hint="eastAsia"/>
                <w:kern w:val="0"/>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trPr>
        <w:tc>
          <w:tcPr>
            <w:tcW w:w="13687" w:type="dxa"/>
            <w:gridSpan w:val="8"/>
          </w:tcPr>
          <w:p>
            <w:pPr>
              <w:pStyle w:val="77"/>
              <w:jc w:val="left"/>
              <w:rPr>
                <w:kern w:val="0"/>
              </w:rPr>
            </w:pPr>
            <w:r>
              <w:rPr>
                <w:kern w:val="0"/>
              </w:rPr>
              <w:t xml:space="preserve">HF medication group </w:t>
            </w:r>
            <w:r>
              <w:rPr>
                <w:rFonts w:hint="eastAsia"/>
                <w:kern w:val="0"/>
              </w:rPr>
              <w:t>III</w:t>
            </w:r>
            <w:r>
              <w:rPr>
                <w:kern w:val="0"/>
              </w:rPr>
              <w:t xml:space="preserve"> - spironolactone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trPr>
        <w:tc>
          <w:tcPr>
            <w:tcW w:w="2547" w:type="dxa"/>
          </w:tcPr>
          <w:p>
            <w:pPr>
              <w:pStyle w:val="77"/>
              <w:jc w:val="left"/>
              <w:rPr>
                <w:kern w:val="0"/>
              </w:rPr>
            </w:pPr>
            <w:r>
              <w:rPr>
                <w:kern w:val="0"/>
              </w:rPr>
              <w:t>Inactive</w:t>
            </w:r>
          </w:p>
        </w:tc>
        <w:tc>
          <w:tcPr>
            <w:tcW w:w="1417" w:type="dxa"/>
          </w:tcPr>
          <w:p>
            <w:pPr>
              <w:pStyle w:val="77"/>
              <w:jc w:val="left"/>
              <w:rPr>
                <w:kern w:val="0"/>
              </w:rPr>
            </w:pPr>
            <w:r>
              <w:rPr>
                <w:kern w:val="0"/>
              </w:rPr>
              <w:t>1904</w:t>
            </w:r>
          </w:p>
        </w:tc>
        <w:tc>
          <w:tcPr>
            <w:tcW w:w="1418" w:type="dxa"/>
          </w:tcPr>
          <w:p>
            <w:pPr>
              <w:pStyle w:val="77"/>
              <w:jc w:val="left"/>
              <w:rPr>
                <w:kern w:val="0"/>
              </w:rPr>
            </w:pPr>
            <w:r>
              <w:rPr>
                <w:kern w:val="0"/>
              </w:rPr>
              <w:t>94</w:t>
            </w:r>
          </w:p>
        </w:tc>
        <w:tc>
          <w:tcPr>
            <w:tcW w:w="1276" w:type="dxa"/>
          </w:tcPr>
          <w:p>
            <w:pPr>
              <w:pStyle w:val="77"/>
              <w:jc w:val="left"/>
              <w:rPr>
                <w:kern w:val="0"/>
              </w:rPr>
            </w:pPr>
            <w:r>
              <w:rPr>
                <w:kern w:val="0"/>
              </w:rPr>
              <w:t>1.7</w:t>
            </w:r>
          </w:p>
        </w:tc>
        <w:tc>
          <w:tcPr>
            <w:tcW w:w="2268" w:type="dxa"/>
            <w:vAlign w:val="center"/>
          </w:tcPr>
          <w:p>
            <w:pPr>
              <w:pStyle w:val="77"/>
              <w:jc w:val="left"/>
              <w:rPr>
                <w:kern w:val="0"/>
              </w:rPr>
            </w:pPr>
            <w:r>
              <w:rPr>
                <w:rFonts w:eastAsia="Malgun Gothic"/>
                <w:kern w:val="0"/>
              </w:rPr>
              <w:t>Reference</w:t>
            </w:r>
          </w:p>
        </w:tc>
        <w:tc>
          <w:tcPr>
            <w:tcW w:w="1275" w:type="dxa"/>
            <w:vAlign w:val="center"/>
          </w:tcPr>
          <w:p>
            <w:pPr>
              <w:pStyle w:val="77"/>
              <w:jc w:val="left"/>
              <w:rPr>
                <w:kern w:val="0"/>
              </w:rPr>
            </w:pPr>
          </w:p>
        </w:tc>
        <w:tc>
          <w:tcPr>
            <w:tcW w:w="2268" w:type="dxa"/>
            <w:vAlign w:val="center"/>
          </w:tcPr>
          <w:p>
            <w:pPr>
              <w:pStyle w:val="77"/>
              <w:jc w:val="left"/>
              <w:rPr>
                <w:kern w:val="0"/>
              </w:rPr>
            </w:pPr>
            <w:r>
              <w:rPr>
                <w:rFonts w:eastAsia="Malgun Gothic"/>
                <w:kern w:val="0"/>
              </w:rPr>
              <w:t>Reference</w:t>
            </w:r>
          </w:p>
        </w:tc>
        <w:tc>
          <w:tcPr>
            <w:tcW w:w="1218" w:type="dxa"/>
            <w:vAlign w:val="center"/>
          </w:tcPr>
          <w:p>
            <w:pPr>
              <w:pStyle w:val="77"/>
              <w:jc w:val="left"/>
              <w:rPr>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3" w:hRule="atLeast"/>
        </w:trPr>
        <w:tc>
          <w:tcPr>
            <w:tcW w:w="2547" w:type="dxa"/>
          </w:tcPr>
          <w:p>
            <w:pPr>
              <w:pStyle w:val="77"/>
              <w:jc w:val="left"/>
              <w:rPr>
                <w:kern w:val="0"/>
              </w:rPr>
            </w:pPr>
            <w:r>
              <w:rPr>
                <w:kern w:val="0"/>
              </w:rPr>
              <w:t>Insufficiently active</w:t>
            </w:r>
          </w:p>
        </w:tc>
        <w:tc>
          <w:tcPr>
            <w:tcW w:w="1417" w:type="dxa"/>
          </w:tcPr>
          <w:p>
            <w:pPr>
              <w:pStyle w:val="77"/>
              <w:jc w:val="left"/>
              <w:rPr>
                <w:kern w:val="0"/>
              </w:rPr>
            </w:pPr>
            <w:r>
              <w:rPr>
                <w:kern w:val="0"/>
              </w:rPr>
              <w:t>968</w:t>
            </w:r>
          </w:p>
        </w:tc>
        <w:tc>
          <w:tcPr>
            <w:tcW w:w="1418" w:type="dxa"/>
          </w:tcPr>
          <w:p>
            <w:pPr>
              <w:pStyle w:val="77"/>
              <w:jc w:val="left"/>
              <w:rPr>
                <w:kern w:val="0"/>
              </w:rPr>
            </w:pPr>
            <w:r>
              <w:rPr>
                <w:kern w:val="0"/>
              </w:rPr>
              <w:t>48</w:t>
            </w:r>
          </w:p>
        </w:tc>
        <w:tc>
          <w:tcPr>
            <w:tcW w:w="1276" w:type="dxa"/>
          </w:tcPr>
          <w:p>
            <w:pPr>
              <w:pStyle w:val="77"/>
              <w:jc w:val="left"/>
              <w:rPr>
                <w:kern w:val="0"/>
              </w:rPr>
            </w:pPr>
            <w:r>
              <w:rPr>
                <w:kern w:val="0"/>
              </w:rPr>
              <w:t>1.7</w:t>
            </w:r>
          </w:p>
        </w:tc>
        <w:tc>
          <w:tcPr>
            <w:tcW w:w="2268" w:type="dxa"/>
          </w:tcPr>
          <w:p>
            <w:pPr>
              <w:pStyle w:val="77"/>
              <w:jc w:val="left"/>
              <w:rPr>
                <w:kern w:val="0"/>
              </w:rPr>
            </w:pPr>
            <w:r>
              <w:rPr>
                <w:kern w:val="0"/>
              </w:rPr>
              <w:t>0.96 (0.68–1.36)</w:t>
            </w:r>
          </w:p>
        </w:tc>
        <w:tc>
          <w:tcPr>
            <w:tcW w:w="1275" w:type="dxa"/>
          </w:tcPr>
          <w:p>
            <w:pPr>
              <w:pStyle w:val="77"/>
              <w:jc w:val="left"/>
              <w:rPr>
                <w:kern w:val="0"/>
              </w:rPr>
            </w:pPr>
            <w:r>
              <w:rPr>
                <w:kern w:val="0"/>
              </w:rPr>
              <w:t>0.821</w:t>
            </w:r>
          </w:p>
        </w:tc>
        <w:tc>
          <w:tcPr>
            <w:tcW w:w="2268" w:type="dxa"/>
          </w:tcPr>
          <w:p>
            <w:pPr>
              <w:pStyle w:val="77"/>
              <w:jc w:val="left"/>
              <w:rPr>
                <w:kern w:val="0"/>
              </w:rPr>
            </w:pPr>
            <w:r>
              <w:rPr>
                <w:kern w:val="0"/>
              </w:rPr>
              <w:t>1.01 (0.71–1.45)</w:t>
            </w:r>
          </w:p>
        </w:tc>
        <w:tc>
          <w:tcPr>
            <w:tcW w:w="1218" w:type="dxa"/>
          </w:tcPr>
          <w:p>
            <w:pPr>
              <w:pStyle w:val="77"/>
              <w:jc w:val="left"/>
              <w:rPr>
                <w:kern w:val="0"/>
              </w:rPr>
            </w:pPr>
            <w:r>
              <w:rPr>
                <w:kern w:val="0"/>
              </w:rPr>
              <w:t>0.95</w:t>
            </w:r>
            <w:r>
              <w:rPr>
                <w:rFonts w:hint="eastAsia"/>
                <w:kern w:val="0"/>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trPr>
        <w:tc>
          <w:tcPr>
            <w:tcW w:w="2547" w:type="dxa"/>
          </w:tcPr>
          <w:p>
            <w:pPr>
              <w:pStyle w:val="77"/>
              <w:jc w:val="left"/>
              <w:rPr>
                <w:kern w:val="0"/>
              </w:rPr>
            </w:pPr>
            <w:r>
              <w:rPr>
                <w:kern w:val="0"/>
              </w:rPr>
              <w:t>Active</w:t>
            </w:r>
          </w:p>
        </w:tc>
        <w:tc>
          <w:tcPr>
            <w:tcW w:w="1417" w:type="dxa"/>
          </w:tcPr>
          <w:p>
            <w:pPr>
              <w:pStyle w:val="77"/>
              <w:jc w:val="left"/>
              <w:rPr>
                <w:kern w:val="0"/>
              </w:rPr>
            </w:pPr>
            <w:r>
              <w:rPr>
                <w:kern w:val="0"/>
              </w:rPr>
              <w:t>754</w:t>
            </w:r>
          </w:p>
        </w:tc>
        <w:tc>
          <w:tcPr>
            <w:tcW w:w="1418" w:type="dxa"/>
          </w:tcPr>
          <w:p>
            <w:pPr>
              <w:pStyle w:val="77"/>
              <w:jc w:val="left"/>
              <w:rPr>
                <w:kern w:val="0"/>
              </w:rPr>
            </w:pPr>
            <w:r>
              <w:rPr>
                <w:kern w:val="0"/>
              </w:rPr>
              <w:t>46</w:t>
            </w:r>
          </w:p>
        </w:tc>
        <w:tc>
          <w:tcPr>
            <w:tcW w:w="1276" w:type="dxa"/>
          </w:tcPr>
          <w:p>
            <w:pPr>
              <w:pStyle w:val="77"/>
              <w:jc w:val="left"/>
              <w:rPr>
                <w:kern w:val="0"/>
              </w:rPr>
            </w:pPr>
            <w:r>
              <w:rPr>
                <w:kern w:val="0"/>
              </w:rPr>
              <w:t>2</w:t>
            </w:r>
            <w:r>
              <w:rPr>
                <w:rFonts w:hint="eastAsia"/>
                <w:kern w:val="0"/>
              </w:rPr>
              <w:t>.0</w:t>
            </w:r>
          </w:p>
        </w:tc>
        <w:tc>
          <w:tcPr>
            <w:tcW w:w="2268" w:type="dxa"/>
          </w:tcPr>
          <w:p>
            <w:pPr>
              <w:pStyle w:val="77"/>
              <w:jc w:val="left"/>
              <w:rPr>
                <w:kern w:val="0"/>
              </w:rPr>
            </w:pPr>
            <w:r>
              <w:rPr>
                <w:kern w:val="0"/>
              </w:rPr>
              <w:t>1.19 (0.84–1.69)</w:t>
            </w:r>
          </w:p>
        </w:tc>
        <w:tc>
          <w:tcPr>
            <w:tcW w:w="1275" w:type="dxa"/>
          </w:tcPr>
          <w:p>
            <w:pPr>
              <w:pStyle w:val="77"/>
              <w:jc w:val="left"/>
              <w:rPr>
                <w:kern w:val="0"/>
              </w:rPr>
            </w:pPr>
            <w:r>
              <w:rPr>
                <w:kern w:val="0"/>
              </w:rPr>
              <w:t>0.338</w:t>
            </w:r>
          </w:p>
        </w:tc>
        <w:tc>
          <w:tcPr>
            <w:tcW w:w="2268" w:type="dxa"/>
          </w:tcPr>
          <w:p>
            <w:pPr>
              <w:pStyle w:val="77"/>
              <w:jc w:val="left"/>
              <w:rPr>
                <w:kern w:val="0"/>
              </w:rPr>
            </w:pPr>
            <w:r>
              <w:rPr>
                <w:kern w:val="0"/>
              </w:rPr>
              <w:t>1.19 (0.82–1.74)</w:t>
            </w:r>
          </w:p>
        </w:tc>
        <w:tc>
          <w:tcPr>
            <w:tcW w:w="1218" w:type="dxa"/>
          </w:tcPr>
          <w:p>
            <w:pPr>
              <w:pStyle w:val="77"/>
              <w:jc w:val="left"/>
              <w:rPr>
                <w:kern w:val="0"/>
              </w:rPr>
            </w:pPr>
            <w:r>
              <w:rPr>
                <w:kern w:val="0"/>
              </w:rPr>
              <w:t>0.35</w:t>
            </w:r>
            <w:r>
              <w:rPr>
                <w:rFonts w:hint="eastAsia"/>
                <w:kern w:val="0"/>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trPr>
        <w:tc>
          <w:tcPr>
            <w:tcW w:w="2547" w:type="dxa"/>
          </w:tcPr>
          <w:p>
            <w:pPr>
              <w:pStyle w:val="77"/>
              <w:jc w:val="left"/>
              <w:rPr>
                <w:kern w:val="0"/>
              </w:rPr>
            </w:pPr>
            <w:r>
              <w:rPr>
                <w:kern w:val="0"/>
              </w:rPr>
              <w:t>Highly active</w:t>
            </w:r>
          </w:p>
        </w:tc>
        <w:tc>
          <w:tcPr>
            <w:tcW w:w="1417" w:type="dxa"/>
          </w:tcPr>
          <w:p>
            <w:pPr>
              <w:pStyle w:val="77"/>
              <w:jc w:val="left"/>
              <w:rPr>
                <w:kern w:val="0"/>
              </w:rPr>
            </w:pPr>
            <w:r>
              <w:rPr>
                <w:kern w:val="0"/>
              </w:rPr>
              <w:t>407</w:t>
            </w:r>
          </w:p>
        </w:tc>
        <w:tc>
          <w:tcPr>
            <w:tcW w:w="1418" w:type="dxa"/>
          </w:tcPr>
          <w:p>
            <w:pPr>
              <w:pStyle w:val="77"/>
              <w:jc w:val="left"/>
              <w:rPr>
                <w:kern w:val="0"/>
              </w:rPr>
            </w:pPr>
            <w:r>
              <w:rPr>
                <w:kern w:val="0"/>
              </w:rPr>
              <w:t>27</w:t>
            </w:r>
          </w:p>
        </w:tc>
        <w:tc>
          <w:tcPr>
            <w:tcW w:w="1276" w:type="dxa"/>
          </w:tcPr>
          <w:p>
            <w:pPr>
              <w:pStyle w:val="77"/>
              <w:jc w:val="left"/>
              <w:rPr>
                <w:kern w:val="0"/>
              </w:rPr>
            </w:pPr>
            <w:r>
              <w:rPr>
                <w:kern w:val="0"/>
              </w:rPr>
              <w:t>2.1</w:t>
            </w:r>
          </w:p>
        </w:tc>
        <w:tc>
          <w:tcPr>
            <w:tcW w:w="2268" w:type="dxa"/>
          </w:tcPr>
          <w:p>
            <w:pPr>
              <w:pStyle w:val="77"/>
              <w:jc w:val="left"/>
              <w:rPr>
                <w:kern w:val="0"/>
              </w:rPr>
            </w:pPr>
            <w:r>
              <w:rPr>
                <w:kern w:val="0"/>
              </w:rPr>
              <w:t>1.24 (0.81–1.91)</w:t>
            </w:r>
          </w:p>
        </w:tc>
        <w:tc>
          <w:tcPr>
            <w:tcW w:w="1275" w:type="dxa"/>
          </w:tcPr>
          <w:p>
            <w:pPr>
              <w:pStyle w:val="77"/>
              <w:jc w:val="left"/>
              <w:rPr>
                <w:kern w:val="0"/>
              </w:rPr>
            </w:pPr>
            <w:r>
              <w:rPr>
                <w:kern w:val="0"/>
              </w:rPr>
              <w:t>0.325</w:t>
            </w:r>
          </w:p>
        </w:tc>
        <w:tc>
          <w:tcPr>
            <w:tcW w:w="2268" w:type="dxa"/>
          </w:tcPr>
          <w:p>
            <w:pPr>
              <w:pStyle w:val="77"/>
              <w:jc w:val="left"/>
              <w:rPr>
                <w:kern w:val="0"/>
              </w:rPr>
            </w:pPr>
            <w:r>
              <w:rPr>
                <w:kern w:val="0"/>
              </w:rPr>
              <w:t>1.29 (0.83–2.02)</w:t>
            </w:r>
          </w:p>
        </w:tc>
        <w:tc>
          <w:tcPr>
            <w:tcW w:w="1218" w:type="dxa"/>
          </w:tcPr>
          <w:p>
            <w:pPr>
              <w:pStyle w:val="77"/>
              <w:jc w:val="left"/>
              <w:rPr>
                <w:kern w:val="0"/>
              </w:rPr>
            </w:pPr>
            <w:r>
              <w:rPr>
                <w:kern w:val="0"/>
              </w:rPr>
              <w:t>0.26</w:t>
            </w:r>
            <w:r>
              <w:rPr>
                <w:rFonts w:hint="eastAsia"/>
                <w:kern w:val="0"/>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trPr>
        <w:tc>
          <w:tcPr>
            <w:tcW w:w="13687" w:type="dxa"/>
            <w:gridSpan w:val="8"/>
          </w:tcPr>
          <w:p>
            <w:pPr>
              <w:pStyle w:val="77"/>
              <w:jc w:val="left"/>
              <w:rPr>
                <w:kern w:val="0"/>
              </w:rPr>
            </w:pPr>
            <w:r>
              <w:rPr>
                <w:rFonts w:hint="eastAsia"/>
                <w:kern w:val="0"/>
              </w:rPr>
              <w:t>Stroke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trPr>
        <w:tc>
          <w:tcPr>
            <w:tcW w:w="13687" w:type="dxa"/>
            <w:gridSpan w:val="8"/>
          </w:tcPr>
          <w:p>
            <w:pPr>
              <w:pStyle w:val="77"/>
              <w:jc w:val="left"/>
              <w:rPr>
                <w:kern w:val="0"/>
              </w:rPr>
            </w:pPr>
            <w:r>
              <w:rPr>
                <w:kern w:val="0"/>
              </w:rPr>
              <w:t>HF medication group I - none or ACE inhibitor/ARB</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trPr>
        <w:tc>
          <w:tcPr>
            <w:tcW w:w="2547" w:type="dxa"/>
          </w:tcPr>
          <w:p>
            <w:pPr>
              <w:pStyle w:val="77"/>
              <w:jc w:val="left"/>
              <w:rPr>
                <w:kern w:val="0"/>
              </w:rPr>
            </w:pPr>
            <w:r>
              <w:rPr>
                <w:kern w:val="0"/>
              </w:rPr>
              <w:t>Inactive</w:t>
            </w:r>
          </w:p>
        </w:tc>
        <w:tc>
          <w:tcPr>
            <w:tcW w:w="1417" w:type="dxa"/>
          </w:tcPr>
          <w:p>
            <w:pPr>
              <w:pStyle w:val="77"/>
              <w:jc w:val="left"/>
              <w:rPr>
                <w:kern w:val="0"/>
              </w:rPr>
            </w:pPr>
            <w:r>
              <w:rPr>
                <w:kern w:val="0"/>
              </w:rPr>
              <w:t>152</w:t>
            </w:r>
          </w:p>
        </w:tc>
        <w:tc>
          <w:tcPr>
            <w:tcW w:w="1418" w:type="dxa"/>
          </w:tcPr>
          <w:p>
            <w:pPr>
              <w:pStyle w:val="77"/>
              <w:jc w:val="left"/>
              <w:rPr>
                <w:kern w:val="0"/>
              </w:rPr>
            </w:pPr>
            <w:r>
              <w:rPr>
                <w:kern w:val="0"/>
              </w:rPr>
              <w:t>5</w:t>
            </w:r>
          </w:p>
        </w:tc>
        <w:tc>
          <w:tcPr>
            <w:tcW w:w="1276" w:type="dxa"/>
          </w:tcPr>
          <w:p>
            <w:pPr>
              <w:pStyle w:val="77"/>
              <w:jc w:val="left"/>
              <w:rPr>
                <w:kern w:val="0"/>
              </w:rPr>
            </w:pPr>
            <w:r>
              <w:rPr>
                <w:kern w:val="0"/>
              </w:rPr>
              <w:t>1.1</w:t>
            </w:r>
          </w:p>
        </w:tc>
        <w:tc>
          <w:tcPr>
            <w:tcW w:w="2268" w:type="dxa"/>
            <w:vAlign w:val="center"/>
          </w:tcPr>
          <w:p>
            <w:pPr>
              <w:pStyle w:val="77"/>
              <w:jc w:val="left"/>
              <w:rPr>
                <w:kern w:val="0"/>
              </w:rPr>
            </w:pPr>
            <w:r>
              <w:rPr>
                <w:rFonts w:eastAsia="Malgun Gothic"/>
                <w:kern w:val="0"/>
              </w:rPr>
              <w:t>Reference</w:t>
            </w:r>
          </w:p>
        </w:tc>
        <w:tc>
          <w:tcPr>
            <w:tcW w:w="1275" w:type="dxa"/>
            <w:vAlign w:val="center"/>
          </w:tcPr>
          <w:p>
            <w:pPr>
              <w:pStyle w:val="77"/>
              <w:jc w:val="left"/>
              <w:rPr>
                <w:kern w:val="0"/>
              </w:rPr>
            </w:pPr>
          </w:p>
        </w:tc>
        <w:tc>
          <w:tcPr>
            <w:tcW w:w="2268" w:type="dxa"/>
            <w:vAlign w:val="center"/>
          </w:tcPr>
          <w:p>
            <w:pPr>
              <w:pStyle w:val="77"/>
              <w:jc w:val="left"/>
              <w:rPr>
                <w:kern w:val="0"/>
              </w:rPr>
            </w:pPr>
            <w:r>
              <w:rPr>
                <w:rFonts w:eastAsia="Malgun Gothic"/>
                <w:kern w:val="0"/>
              </w:rPr>
              <w:t>Reference</w:t>
            </w:r>
          </w:p>
        </w:tc>
        <w:tc>
          <w:tcPr>
            <w:tcW w:w="1218" w:type="dxa"/>
            <w:vAlign w:val="center"/>
          </w:tcPr>
          <w:p>
            <w:pPr>
              <w:pStyle w:val="77"/>
              <w:jc w:val="left"/>
              <w:rPr>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trPr>
        <w:tc>
          <w:tcPr>
            <w:tcW w:w="2547" w:type="dxa"/>
          </w:tcPr>
          <w:p>
            <w:pPr>
              <w:pStyle w:val="77"/>
              <w:jc w:val="left"/>
              <w:rPr>
                <w:kern w:val="0"/>
              </w:rPr>
            </w:pPr>
            <w:r>
              <w:rPr>
                <w:kern w:val="0"/>
              </w:rPr>
              <w:t>Insufficiently active</w:t>
            </w:r>
          </w:p>
        </w:tc>
        <w:tc>
          <w:tcPr>
            <w:tcW w:w="1417" w:type="dxa"/>
          </w:tcPr>
          <w:p>
            <w:pPr>
              <w:pStyle w:val="77"/>
              <w:jc w:val="left"/>
              <w:rPr>
                <w:kern w:val="0"/>
              </w:rPr>
            </w:pPr>
            <w:r>
              <w:rPr>
                <w:kern w:val="0"/>
              </w:rPr>
              <w:t>82</w:t>
            </w:r>
          </w:p>
        </w:tc>
        <w:tc>
          <w:tcPr>
            <w:tcW w:w="1418" w:type="dxa"/>
          </w:tcPr>
          <w:p>
            <w:pPr>
              <w:pStyle w:val="77"/>
              <w:jc w:val="left"/>
              <w:rPr>
                <w:kern w:val="0"/>
              </w:rPr>
            </w:pPr>
            <w:r>
              <w:rPr>
                <w:kern w:val="0"/>
              </w:rPr>
              <w:t>2</w:t>
            </w:r>
          </w:p>
        </w:tc>
        <w:tc>
          <w:tcPr>
            <w:tcW w:w="1276" w:type="dxa"/>
          </w:tcPr>
          <w:p>
            <w:pPr>
              <w:pStyle w:val="77"/>
              <w:jc w:val="left"/>
              <w:rPr>
                <w:kern w:val="0"/>
              </w:rPr>
            </w:pPr>
            <w:r>
              <w:rPr>
                <w:kern w:val="0"/>
              </w:rPr>
              <w:t>0.9</w:t>
            </w:r>
          </w:p>
        </w:tc>
        <w:tc>
          <w:tcPr>
            <w:tcW w:w="2268" w:type="dxa"/>
          </w:tcPr>
          <w:p>
            <w:pPr>
              <w:pStyle w:val="77"/>
              <w:jc w:val="left"/>
              <w:rPr>
                <w:kern w:val="0"/>
              </w:rPr>
            </w:pPr>
            <w:r>
              <w:rPr>
                <w:kern w:val="0"/>
              </w:rPr>
              <w:t>0.70 (0.14–3.55)</w:t>
            </w:r>
          </w:p>
        </w:tc>
        <w:tc>
          <w:tcPr>
            <w:tcW w:w="1275" w:type="dxa"/>
          </w:tcPr>
          <w:p>
            <w:pPr>
              <w:pStyle w:val="77"/>
              <w:jc w:val="left"/>
              <w:rPr>
                <w:kern w:val="0"/>
              </w:rPr>
            </w:pPr>
            <w:r>
              <w:rPr>
                <w:kern w:val="0"/>
              </w:rPr>
              <w:t>0.667</w:t>
            </w:r>
          </w:p>
        </w:tc>
        <w:tc>
          <w:tcPr>
            <w:tcW w:w="2268" w:type="dxa"/>
          </w:tcPr>
          <w:p>
            <w:pPr>
              <w:pStyle w:val="77"/>
              <w:jc w:val="left"/>
              <w:rPr>
                <w:kern w:val="0"/>
              </w:rPr>
            </w:pPr>
            <w:r>
              <w:rPr>
                <w:kern w:val="0"/>
              </w:rPr>
              <w:t>0.39 (0.04–3.46)</w:t>
            </w:r>
          </w:p>
        </w:tc>
        <w:tc>
          <w:tcPr>
            <w:tcW w:w="1218" w:type="dxa"/>
          </w:tcPr>
          <w:p>
            <w:pPr>
              <w:pStyle w:val="77"/>
              <w:jc w:val="left"/>
              <w:rPr>
                <w:kern w:val="0"/>
              </w:rPr>
            </w:pPr>
            <w:r>
              <w:rPr>
                <w:kern w:val="0"/>
              </w:rPr>
              <w:t>0.39</w:t>
            </w:r>
            <w:r>
              <w:rPr>
                <w:rFonts w:hint="eastAsia"/>
                <w:kern w:val="0"/>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3" w:hRule="atLeast"/>
        </w:trPr>
        <w:tc>
          <w:tcPr>
            <w:tcW w:w="2547" w:type="dxa"/>
          </w:tcPr>
          <w:p>
            <w:pPr>
              <w:pStyle w:val="77"/>
              <w:jc w:val="left"/>
              <w:rPr>
                <w:kern w:val="0"/>
              </w:rPr>
            </w:pPr>
            <w:r>
              <w:rPr>
                <w:kern w:val="0"/>
              </w:rPr>
              <w:t>Active</w:t>
            </w:r>
          </w:p>
        </w:tc>
        <w:tc>
          <w:tcPr>
            <w:tcW w:w="1417" w:type="dxa"/>
          </w:tcPr>
          <w:p>
            <w:pPr>
              <w:pStyle w:val="77"/>
              <w:jc w:val="left"/>
              <w:rPr>
                <w:kern w:val="0"/>
              </w:rPr>
            </w:pPr>
            <w:r>
              <w:rPr>
                <w:kern w:val="0"/>
              </w:rPr>
              <w:t>73</w:t>
            </w:r>
          </w:p>
        </w:tc>
        <w:tc>
          <w:tcPr>
            <w:tcW w:w="1418" w:type="dxa"/>
          </w:tcPr>
          <w:p>
            <w:pPr>
              <w:pStyle w:val="77"/>
              <w:jc w:val="left"/>
              <w:rPr>
                <w:kern w:val="0"/>
              </w:rPr>
            </w:pPr>
            <w:r>
              <w:rPr>
                <w:kern w:val="0"/>
              </w:rPr>
              <w:t>1</w:t>
            </w:r>
          </w:p>
        </w:tc>
        <w:tc>
          <w:tcPr>
            <w:tcW w:w="1276" w:type="dxa"/>
          </w:tcPr>
          <w:p>
            <w:pPr>
              <w:pStyle w:val="77"/>
              <w:jc w:val="left"/>
              <w:rPr>
                <w:kern w:val="0"/>
              </w:rPr>
            </w:pPr>
            <w:r>
              <w:rPr>
                <w:kern w:val="0"/>
              </w:rPr>
              <w:t>0.4</w:t>
            </w:r>
          </w:p>
        </w:tc>
        <w:tc>
          <w:tcPr>
            <w:tcW w:w="2268" w:type="dxa"/>
          </w:tcPr>
          <w:p>
            <w:pPr>
              <w:pStyle w:val="77"/>
              <w:jc w:val="left"/>
              <w:rPr>
                <w:kern w:val="0"/>
              </w:rPr>
            </w:pPr>
            <w:r>
              <w:rPr>
                <w:kern w:val="0"/>
              </w:rPr>
              <w:t>0.37 (0.04–3.17)</w:t>
            </w:r>
          </w:p>
        </w:tc>
        <w:tc>
          <w:tcPr>
            <w:tcW w:w="1275" w:type="dxa"/>
          </w:tcPr>
          <w:p>
            <w:pPr>
              <w:pStyle w:val="77"/>
              <w:jc w:val="left"/>
              <w:rPr>
                <w:kern w:val="0"/>
              </w:rPr>
            </w:pPr>
            <w:r>
              <w:rPr>
                <w:kern w:val="0"/>
              </w:rPr>
              <w:t>0.362</w:t>
            </w:r>
          </w:p>
        </w:tc>
        <w:tc>
          <w:tcPr>
            <w:tcW w:w="2268" w:type="dxa"/>
          </w:tcPr>
          <w:p>
            <w:pPr>
              <w:pStyle w:val="77"/>
              <w:jc w:val="left"/>
              <w:rPr>
                <w:kern w:val="0"/>
              </w:rPr>
            </w:pPr>
            <w:r>
              <w:rPr>
                <w:kern w:val="0"/>
              </w:rPr>
              <w:t>0.42 (0.05–3.79)</w:t>
            </w:r>
          </w:p>
        </w:tc>
        <w:tc>
          <w:tcPr>
            <w:tcW w:w="1218" w:type="dxa"/>
          </w:tcPr>
          <w:p>
            <w:pPr>
              <w:pStyle w:val="77"/>
              <w:jc w:val="left"/>
              <w:rPr>
                <w:kern w:val="0"/>
              </w:rPr>
            </w:pPr>
            <w:r>
              <w:rPr>
                <w:kern w:val="0"/>
              </w:rPr>
              <w:t>0.44</w:t>
            </w:r>
            <w:r>
              <w:rPr>
                <w:rFonts w:hint="eastAsia"/>
                <w:kern w:val="0"/>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trPr>
        <w:tc>
          <w:tcPr>
            <w:tcW w:w="2547" w:type="dxa"/>
          </w:tcPr>
          <w:p>
            <w:pPr>
              <w:pStyle w:val="77"/>
              <w:jc w:val="left"/>
              <w:rPr>
                <w:kern w:val="0"/>
              </w:rPr>
            </w:pPr>
            <w:r>
              <w:rPr>
                <w:kern w:val="0"/>
              </w:rPr>
              <w:t>Highly active</w:t>
            </w:r>
          </w:p>
        </w:tc>
        <w:tc>
          <w:tcPr>
            <w:tcW w:w="1417" w:type="dxa"/>
          </w:tcPr>
          <w:p>
            <w:pPr>
              <w:pStyle w:val="77"/>
              <w:jc w:val="left"/>
              <w:rPr>
                <w:kern w:val="0"/>
              </w:rPr>
            </w:pPr>
            <w:r>
              <w:rPr>
                <w:kern w:val="0"/>
              </w:rPr>
              <w:t>43</w:t>
            </w:r>
          </w:p>
        </w:tc>
        <w:tc>
          <w:tcPr>
            <w:tcW w:w="1418" w:type="dxa"/>
          </w:tcPr>
          <w:p>
            <w:pPr>
              <w:pStyle w:val="77"/>
              <w:jc w:val="left"/>
              <w:rPr>
                <w:kern w:val="0"/>
              </w:rPr>
            </w:pPr>
            <w:r>
              <w:rPr>
                <w:kern w:val="0"/>
              </w:rPr>
              <w:t>2</w:t>
            </w:r>
          </w:p>
        </w:tc>
        <w:tc>
          <w:tcPr>
            <w:tcW w:w="1276" w:type="dxa"/>
          </w:tcPr>
          <w:p>
            <w:pPr>
              <w:pStyle w:val="77"/>
              <w:jc w:val="left"/>
              <w:rPr>
                <w:kern w:val="0"/>
              </w:rPr>
            </w:pPr>
            <w:r>
              <w:rPr>
                <w:kern w:val="0"/>
              </w:rPr>
              <w:t>1.4</w:t>
            </w:r>
          </w:p>
        </w:tc>
        <w:tc>
          <w:tcPr>
            <w:tcW w:w="2268" w:type="dxa"/>
          </w:tcPr>
          <w:p>
            <w:pPr>
              <w:pStyle w:val="77"/>
              <w:jc w:val="left"/>
              <w:rPr>
                <w:kern w:val="0"/>
              </w:rPr>
            </w:pPr>
            <w:r>
              <w:rPr>
                <w:kern w:val="0"/>
              </w:rPr>
              <w:t>1.25 (0.23–6.67)</w:t>
            </w:r>
          </w:p>
        </w:tc>
        <w:tc>
          <w:tcPr>
            <w:tcW w:w="1275" w:type="dxa"/>
          </w:tcPr>
          <w:p>
            <w:pPr>
              <w:pStyle w:val="77"/>
              <w:jc w:val="left"/>
              <w:rPr>
                <w:kern w:val="0"/>
              </w:rPr>
            </w:pPr>
            <w:r>
              <w:rPr>
                <w:kern w:val="0"/>
              </w:rPr>
              <w:t>0.794</w:t>
            </w:r>
          </w:p>
        </w:tc>
        <w:tc>
          <w:tcPr>
            <w:tcW w:w="2268" w:type="dxa"/>
          </w:tcPr>
          <w:p>
            <w:pPr>
              <w:pStyle w:val="77"/>
              <w:jc w:val="left"/>
              <w:rPr>
                <w:kern w:val="0"/>
              </w:rPr>
            </w:pPr>
            <w:r>
              <w:rPr>
                <w:kern w:val="0"/>
              </w:rPr>
              <w:t>1.32 (0.09–20.51)</w:t>
            </w:r>
          </w:p>
        </w:tc>
        <w:tc>
          <w:tcPr>
            <w:tcW w:w="1218" w:type="dxa"/>
          </w:tcPr>
          <w:p>
            <w:pPr>
              <w:pStyle w:val="77"/>
              <w:jc w:val="left"/>
              <w:rPr>
                <w:kern w:val="0"/>
              </w:rPr>
            </w:pPr>
            <w:r>
              <w:rPr>
                <w:kern w:val="0"/>
              </w:rPr>
              <w:t>0.84</w:t>
            </w:r>
            <w:r>
              <w:rPr>
                <w:rFonts w:hint="eastAsia"/>
                <w:kern w:val="0"/>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trPr>
        <w:tc>
          <w:tcPr>
            <w:tcW w:w="13687" w:type="dxa"/>
            <w:gridSpan w:val="8"/>
          </w:tcPr>
          <w:p>
            <w:pPr>
              <w:pStyle w:val="77"/>
              <w:jc w:val="left"/>
              <w:rPr>
                <w:kern w:val="0"/>
              </w:rPr>
            </w:pPr>
            <w:r>
              <w:rPr>
                <w:kern w:val="0"/>
              </w:rPr>
              <w:t>HF medication group II - beta blocker or diuretics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trPr>
        <w:tc>
          <w:tcPr>
            <w:tcW w:w="2547" w:type="dxa"/>
          </w:tcPr>
          <w:p>
            <w:pPr>
              <w:pStyle w:val="77"/>
              <w:jc w:val="left"/>
              <w:rPr>
                <w:kern w:val="0"/>
              </w:rPr>
            </w:pPr>
            <w:r>
              <w:rPr>
                <w:kern w:val="0"/>
              </w:rPr>
              <w:t>Inactive</w:t>
            </w:r>
          </w:p>
        </w:tc>
        <w:tc>
          <w:tcPr>
            <w:tcW w:w="1417" w:type="dxa"/>
          </w:tcPr>
          <w:p>
            <w:pPr>
              <w:pStyle w:val="77"/>
              <w:jc w:val="left"/>
              <w:rPr>
                <w:kern w:val="0"/>
              </w:rPr>
            </w:pPr>
            <w:r>
              <w:rPr>
                <w:kern w:val="0"/>
              </w:rPr>
              <w:t>1880</w:t>
            </w:r>
          </w:p>
        </w:tc>
        <w:tc>
          <w:tcPr>
            <w:tcW w:w="1418" w:type="dxa"/>
          </w:tcPr>
          <w:p>
            <w:pPr>
              <w:pStyle w:val="77"/>
              <w:jc w:val="left"/>
              <w:rPr>
                <w:kern w:val="0"/>
              </w:rPr>
            </w:pPr>
            <w:r>
              <w:rPr>
                <w:kern w:val="0"/>
              </w:rPr>
              <w:t>84</w:t>
            </w:r>
          </w:p>
        </w:tc>
        <w:tc>
          <w:tcPr>
            <w:tcW w:w="1276" w:type="dxa"/>
          </w:tcPr>
          <w:p>
            <w:pPr>
              <w:pStyle w:val="77"/>
              <w:jc w:val="left"/>
              <w:rPr>
                <w:kern w:val="0"/>
              </w:rPr>
            </w:pPr>
            <w:r>
              <w:rPr>
                <w:kern w:val="0"/>
              </w:rPr>
              <w:t>1.6</w:t>
            </w:r>
          </w:p>
        </w:tc>
        <w:tc>
          <w:tcPr>
            <w:tcW w:w="2268" w:type="dxa"/>
            <w:vAlign w:val="center"/>
          </w:tcPr>
          <w:p>
            <w:pPr>
              <w:pStyle w:val="77"/>
              <w:jc w:val="left"/>
              <w:rPr>
                <w:kern w:val="0"/>
              </w:rPr>
            </w:pPr>
            <w:r>
              <w:rPr>
                <w:rFonts w:eastAsia="Malgun Gothic"/>
                <w:kern w:val="0"/>
              </w:rPr>
              <w:t>Reference</w:t>
            </w:r>
          </w:p>
        </w:tc>
        <w:tc>
          <w:tcPr>
            <w:tcW w:w="1275" w:type="dxa"/>
            <w:vAlign w:val="center"/>
          </w:tcPr>
          <w:p>
            <w:pPr>
              <w:pStyle w:val="77"/>
              <w:jc w:val="left"/>
              <w:rPr>
                <w:kern w:val="0"/>
              </w:rPr>
            </w:pPr>
          </w:p>
        </w:tc>
        <w:tc>
          <w:tcPr>
            <w:tcW w:w="2268" w:type="dxa"/>
            <w:vAlign w:val="center"/>
          </w:tcPr>
          <w:p>
            <w:pPr>
              <w:pStyle w:val="77"/>
              <w:jc w:val="left"/>
              <w:rPr>
                <w:kern w:val="0"/>
              </w:rPr>
            </w:pPr>
            <w:r>
              <w:rPr>
                <w:rFonts w:eastAsia="Malgun Gothic"/>
                <w:kern w:val="0"/>
              </w:rPr>
              <w:t>Reference</w:t>
            </w:r>
          </w:p>
        </w:tc>
        <w:tc>
          <w:tcPr>
            <w:tcW w:w="1218" w:type="dxa"/>
            <w:vAlign w:val="center"/>
          </w:tcPr>
          <w:p>
            <w:pPr>
              <w:pStyle w:val="77"/>
              <w:jc w:val="left"/>
              <w:rPr>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trPr>
        <w:tc>
          <w:tcPr>
            <w:tcW w:w="2547" w:type="dxa"/>
          </w:tcPr>
          <w:p>
            <w:pPr>
              <w:pStyle w:val="77"/>
              <w:jc w:val="left"/>
              <w:rPr>
                <w:kern w:val="0"/>
              </w:rPr>
            </w:pPr>
            <w:r>
              <w:rPr>
                <w:kern w:val="0"/>
              </w:rPr>
              <w:t>Insufficiently active</w:t>
            </w:r>
          </w:p>
        </w:tc>
        <w:tc>
          <w:tcPr>
            <w:tcW w:w="1417" w:type="dxa"/>
          </w:tcPr>
          <w:p>
            <w:pPr>
              <w:pStyle w:val="77"/>
              <w:jc w:val="left"/>
              <w:rPr>
                <w:kern w:val="0"/>
              </w:rPr>
            </w:pPr>
            <w:r>
              <w:rPr>
                <w:kern w:val="0"/>
              </w:rPr>
              <w:t>1104</w:t>
            </w:r>
          </w:p>
        </w:tc>
        <w:tc>
          <w:tcPr>
            <w:tcW w:w="1418" w:type="dxa"/>
          </w:tcPr>
          <w:p>
            <w:pPr>
              <w:pStyle w:val="77"/>
              <w:jc w:val="left"/>
              <w:rPr>
                <w:kern w:val="0"/>
              </w:rPr>
            </w:pPr>
            <w:r>
              <w:rPr>
                <w:kern w:val="0"/>
              </w:rPr>
              <w:t>65</w:t>
            </w:r>
          </w:p>
        </w:tc>
        <w:tc>
          <w:tcPr>
            <w:tcW w:w="1276" w:type="dxa"/>
          </w:tcPr>
          <w:p>
            <w:pPr>
              <w:pStyle w:val="77"/>
              <w:jc w:val="left"/>
              <w:rPr>
                <w:kern w:val="0"/>
              </w:rPr>
            </w:pPr>
            <w:r>
              <w:rPr>
                <w:kern w:val="0"/>
              </w:rPr>
              <w:t>1.9</w:t>
            </w:r>
          </w:p>
        </w:tc>
        <w:tc>
          <w:tcPr>
            <w:tcW w:w="2268" w:type="dxa"/>
          </w:tcPr>
          <w:p>
            <w:pPr>
              <w:pStyle w:val="77"/>
              <w:jc w:val="left"/>
              <w:rPr>
                <w:kern w:val="0"/>
              </w:rPr>
            </w:pPr>
            <w:r>
              <w:rPr>
                <w:kern w:val="0"/>
              </w:rPr>
              <w:t>1.24 (0.90–1.72)</w:t>
            </w:r>
          </w:p>
        </w:tc>
        <w:tc>
          <w:tcPr>
            <w:tcW w:w="1275" w:type="dxa"/>
          </w:tcPr>
          <w:p>
            <w:pPr>
              <w:pStyle w:val="77"/>
              <w:jc w:val="left"/>
              <w:rPr>
                <w:kern w:val="0"/>
              </w:rPr>
            </w:pPr>
            <w:r>
              <w:rPr>
                <w:kern w:val="0"/>
              </w:rPr>
              <w:t>0.191</w:t>
            </w:r>
          </w:p>
        </w:tc>
        <w:tc>
          <w:tcPr>
            <w:tcW w:w="2268" w:type="dxa"/>
          </w:tcPr>
          <w:p>
            <w:pPr>
              <w:pStyle w:val="77"/>
              <w:jc w:val="left"/>
              <w:rPr>
                <w:kern w:val="0"/>
              </w:rPr>
            </w:pPr>
            <w:r>
              <w:rPr>
                <w:kern w:val="0"/>
              </w:rPr>
              <w:t>1.4</w:t>
            </w:r>
            <w:r>
              <w:rPr>
                <w:rFonts w:hint="eastAsia"/>
                <w:kern w:val="0"/>
              </w:rPr>
              <w:t>0</w:t>
            </w:r>
            <w:r>
              <w:rPr>
                <w:kern w:val="0"/>
              </w:rPr>
              <w:t xml:space="preserve"> (1</w:t>
            </w:r>
            <w:r>
              <w:rPr>
                <w:rFonts w:hint="eastAsia"/>
                <w:kern w:val="0"/>
              </w:rPr>
              <w:t>.00</w:t>
            </w:r>
            <w:r>
              <w:rPr>
                <w:kern w:val="0"/>
              </w:rPr>
              <w:t>–1.95)</w:t>
            </w:r>
          </w:p>
        </w:tc>
        <w:tc>
          <w:tcPr>
            <w:tcW w:w="1218" w:type="dxa"/>
          </w:tcPr>
          <w:p>
            <w:pPr>
              <w:pStyle w:val="77"/>
              <w:jc w:val="left"/>
              <w:rPr>
                <w:kern w:val="0"/>
              </w:rPr>
            </w:pPr>
            <w:r>
              <w:rPr>
                <w:kern w:val="0"/>
              </w:rPr>
              <w:t>0.05</w:t>
            </w:r>
            <w:r>
              <w:rPr>
                <w:rFonts w:hint="eastAsia"/>
                <w:kern w:val="0"/>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3" w:hRule="atLeast"/>
        </w:trPr>
        <w:tc>
          <w:tcPr>
            <w:tcW w:w="2547" w:type="dxa"/>
          </w:tcPr>
          <w:p>
            <w:pPr>
              <w:pStyle w:val="77"/>
              <w:jc w:val="left"/>
              <w:rPr>
                <w:kern w:val="0"/>
              </w:rPr>
            </w:pPr>
            <w:r>
              <w:rPr>
                <w:kern w:val="0"/>
              </w:rPr>
              <w:t>Active</w:t>
            </w:r>
          </w:p>
        </w:tc>
        <w:tc>
          <w:tcPr>
            <w:tcW w:w="1417" w:type="dxa"/>
          </w:tcPr>
          <w:p>
            <w:pPr>
              <w:pStyle w:val="77"/>
              <w:jc w:val="left"/>
              <w:rPr>
                <w:kern w:val="0"/>
              </w:rPr>
            </w:pPr>
            <w:r>
              <w:rPr>
                <w:kern w:val="0"/>
              </w:rPr>
              <w:t>998</w:t>
            </w:r>
          </w:p>
        </w:tc>
        <w:tc>
          <w:tcPr>
            <w:tcW w:w="1418" w:type="dxa"/>
          </w:tcPr>
          <w:p>
            <w:pPr>
              <w:pStyle w:val="77"/>
              <w:jc w:val="left"/>
              <w:rPr>
                <w:kern w:val="0"/>
              </w:rPr>
            </w:pPr>
            <w:r>
              <w:rPr>
                <w:kern w:val="0"/>
              </w:rPr>
              <w:t>48</w:t>
            </w:r>
          </w:p>
        </w:tc>
        <w:tc>
          <w:tcPr>
            <w:tcW w:w="1276" w:type="dxa"/>
          </w:tcPr>
          <w:p>
            <w:pPr>
              <w:pStyle w:val="77"/>
              <w:jc w:val="left"/>
              <w:rPr>
                <w:kern w:val="0"/>
              </w:rPr>
            </w:pPr>
            <w:r>
              <w:rPr>
                <w:kern w:val="0"/>
              </w:rPr>
              <w:t>1.5</w:t>
            </w:r>
          </w:p>
        </w:tc>
        <w:tc>
          <w:tcPr>
            <w:tcW w:w="2268" w:type="dxa"/>
          </w:tcPr>
          <w:p>
            <w:pPr>
              <w:pStyle w:val="77"/>
              <w:jc w:val="left"/>
              <w:rPr>
                <w:kern w:val="0"/>
              </w:rPr>
            </w:pPr>
            <w:r>
              <w:rPr>
                <w:kern w:val="0"/>
              </w:rPr>
              <w:t>0.98 (0.69–1.40)</w:t>
            </w:r>
          </w:p>
        </w:tc>
        <w:tc>
          <w:tcPr>
            <w:tcW w:w="1275" w:type="dxa"/>
          </w:tcPr>
          <w:p>
            <w:pPr>
              <w:pStyle w:val="77"/>
              <w:jc w:val="left"/>
              <w:rPr>
                <w:kern w:val="0"/>
              </w:rPr>
            </w:pPr>
            <w:r>
              <w:rPr>
                <w:kern w:val="0"/>
              </w:rPr>
              <w:t>0.924</w:t>
            </w:r>
          </w:p>
        </w:tc>
        <w:tc>
          <w:tcPr>
            <w:tcW w:w="2268" w:type="dxa"/>
          </w:tcPr>
          <w:p>
            <w:pPr>
              <w:pStyle w:val="77"/>
              <w:jc w:val="left"/>
              <w:rPr>
                <w:kern w:val="0"/>
              </w:rPr>
            </w:pPr>
            <w:r>
              <w:rPr>
                <w:kern w:val="0"/>
              </w:rPr>
              <w:t>1.12 (0.77–1.62)</w:t>
            </w:r>
          </w:p>
        </w:tc>
        <w:tc>
          <w:tcPr>
            <w:tcW w:w="1218" w:type="dxa"/>
          </w:tcPr>
          <w:p>
            <w:pPr>
              <w:pStyle w:val="77"/>
              <w:jc w:val="left"/>
              <w:rPr>
                <w:kern w:val="0"/>
              </w:rPr>
            </w:pPr>
            <w:r>
              <w:rPr>
                <w:kern w:val="0"/>
              </w:rPr>
              <w:t>0.56</w:t>
            </w:r>
            <w:r>
              <w:rPr>
                <w:rFonts w:hint="eastAsia"/>
                <w:kern w:val="0"/>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trPr>
        <w:tc>
          <w:tcPr>
            <w:tcW w:w="2547" w:type="dxa"/>
          </w:tcPr>
          <w:p>
            <w:pPr>
              <w:pStyle w:val="77"/>
              <w:jc w:val="left"/>
              <w:rPr>
                <w:kern w:val="0"/>
              </w:rPr>
            </w:pPr>
            <w:r>
              <w:rPr>
                <w:kern w:val="0"/>
              </w:rPr>
              <w:t>Highly active</w:t>
            </w:r>
          </w:p>
        </w:tc>
        <w:tc>
          <w:tcPr>
            <w:tcW w:w="1417" w:type="dxa"/>
          </w:tcPr>
          <w:p>
            <w:pPr>
              <w:pStyle w:val="77"/>
              <w:jc w:val="left"/>
              <w:rPr>
                <w:kern w:val="0"/>
              </w:rPr>
            </w:pPr>
            <w:r>
              <w:rPr>
                <w:kern w:val="0"/>
              </w:rPr>
              <w:t>617</w:t>
            </w:r>
          </w:p>
        </w:tc>
        <w:tc>
          <w:tcPr>
            <w:tcW w:w="1418" w:type="dxa"/>
          </w:tcPr>
          <w:p>
            <w:pPr>
              <w:pStyle w:val="77"/>
              <w:jc w:val="left"/>
              <w:rPr>
                <w:kern w:val="0"/>
              </w:rPr>
            </w:pPr>
            <w:r>
              <w:rPr>
                <w:kern w:val="0"/>
              </w:rPr>
              <w:t>22</w:t>
            </w:r>
          </w:p>
        </w:tc>
        <w:tc>
          <w:tcPr>
            <w:tcW w:w="1276" w:type="dxa"/>
          </w:tcPr>
          <w:p>
            <w:pPr>
              <w:pStyle w:val="77"/>
              <w:jc w:val="left"/>
              <w:rPr>
                <w:kern w:val="0"/>
              </w:rPr>
            </w:pPr>
            <w:r>
              <w:rPr>
                <w:kern w:val="0"/>
              </w:rPr>
              <w:t>1.1</w:t>
            </w:r>
          </w:p>
        </w:tc>
        <w:tc>
          <w:tcPr>
            <w:tcW w:w="2268" w:type="dxa"/>
          </w:tcPr>
          <w:p>
            <w:pPr>
              <w:pStyle w:val="77"/>
              <w:jc w:val="left"/>
              <w:rPr>
                <w:kern w:val="0"/>
              </w:rPr>
            </w:pPr>
            <w:r>
              <w:rPr>
                <w:kern w:val="0"/>
              </w:rPr>
              <w:t>0.72 (0.45–1.15)</w:t>
            </w:r>
          </w:p>
        </w:tc>
        <w:tc>
          <w:tcPr>
            <w:tcW w:w="1275" w:type="dxa"/>
          </w:tcPr>
          <w:p>
            <w:pPr>
              <w:pStyle w:val="77"/>
              <w:jc w:val="left"/>
              <w:rPr>
                <w:kern w:val="0"/>
              </w:rPr>
            </w:pPr>
            <w:r>
              <w:rPr>
                <w:kern w:val="0"/>
              </w:rPr>
              <w:t>0.166</w:t>
            </w:r>
          </w:p>
        </w:tc>
        <w:tc>
          <w:tcPr>
            <w:tcW w:w="2268" w:type="dxa"/>
          </w:tcPr>
          <w:p>
            <w:pPr>
              <w:pStyle w:val="77"/>
              <w:jc w:val="left"/>
              <w:rPr>
                <w:kern w:val="0"/>
              </w:rPr>
            </w:pPr>
            <w:r>
              <w:rPr>
                <w:kern w:val="0"/>
              </w:rPr>
              <w:t>0.79 (0.49–1.28)</w:t>
            </w:r>
          </w:p>
        </w:tc>
        <w:tc>
          <w:tcPr>
            <w:tcW w:w="1218" w:type="dxa"/>
          </w:tcPr>
          <w:p>
            <w:pPr>
              <w:pStyle w:val="77"/>
              <w:jc w:val="left"/>
              <w:rPr>
                <w:kern w:val="0"/>
              </w:rPr>
            </w:pPr>
            <w:r>
              <w:rPr>
                <w:kern w:val="0"/>
              </w:rPr>
              <w:t>0.33</w:t>
            </w:r>
            <w:r>
              <w:rPr>
                <w:rFonts w:hint="eastAsia"/>
                <w:kern w:val="0"/>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trPr>
        <w:tc>
          <w:tcPr>
            <w:tcW w:w="13687" w:type="dxa"/>
            <w:gridSpan w:val="8"/>
          </w:tcPr>
          <w:p>
            <w:pPr>
              <w:pStyle w:val="77"/>
              <w:jc w:val="left"/>
              <w:rPr>
                <w:kern w:val="0"/>
              </w:rPr>
            </w:pPr>
            <w:r>
              <w:rPr>
                <w:kern w:val="0"/>
              </w:rPr>
              <w:t xml:space="preserve">HF medication group </w:t>
            </w:r>
            <w:r>
              <w:rPr>
                <w:rFonts w:hint="eastAsia"/>
                <w:kern w:val="0"/>
              </w:rPr>
              <w:t>III</w:t>
            </w:r>
            <w:r>
              <w:rPr>
                <w:kern w:val="0"/>
              </w:rPr>
              <w:t xml:space="preserve"> - spironolactone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trPr>
        <w:tc>
          <w:tcPr>
            <w:tcW w:w="2547" w:type="dxa"/>
          </w:tcPr>
          <w:p>
            <w:pPr>
              <w:pStyle w:val="77"/>
              <w:jc w:val="left"/>
              <w:rPr>
                <w:kern w:val="0"/>
              </w:rPr>
            </w:pPr>
            <w:r>
              <w:rPr>
                <w:kern w:val="0"/>
              </w:rPr>
              <w:t>Inactive</w:t>
            </w:r>
          </w:p>
        </w:tc>
        <w:tc>
          <w:tcPr>
            <w:tcW w:w="1417" w:type="dxa"/>
          </w:tcPr>
          <w:p>
            <w:pPr>
              <w:pStyle w:val="77"/>
              <w:jc w:val="left"/>
              <w:rPr>
                <w:kern w:val="0"/>
              </w:rPr>
            </w:pPr>
            <w:r>
              <w:rPr>
                <w:kern w:val="0"/>
              </w:rPr>
              <w:t>1904</w:t>
            </w:r>
          </w:p>
        </w:tc>
        <w:tc>
          <w:tcPr>
            <w:tcW w:w="1418" w:type="dxa"/>
          </w:tcPr>
          <w:p>
            <w:pPr>
              <w:pStyle w:val="77"/>
              <w:jc w:val="left"/>
              <w:rPr>
                <w:kern w:val="0"/>
              </w:rPr>
            </w:pPr>
            <w:r>
              <w:rPr>
                <w:kern w:val="0"/>
              </w:rPr>
              <w:t>157</w:t>
            </w:r>
          </w:p>
        </w:tc>
        <w:tc>
          <w:tcPr>
            <w:tcW w:w="1276" w:type="dxa"/>
          </w:tcPr>
          <w:p>
            <w:pPr>
              <w:pStyle w:val="77"/>
              <w:jc w:val="left"/>
              <w:rPr>
                <w:kern w:val="0"/>
              </w:rPr>
            </w:pPr>
            <w:r>
              <w:rPr>
                <w:kern w:val="0"/>
              </w:rPr>
              <w:t>2.9</w:t>
            </w:r>
          </w:p>
        </w:tc>
        <w:tc>
          <w:tcPr>
            <w:tcW w:w="2268" w:type="dxa"/>
            <w:vAlign w:val="center"/>
          </w:tcPr>
          <w:p>
            <w:pPr>
              <w:pStyle w:val="77"/>
              <w:jc w:val="left"/>
              <w:rPr>
                <w:kern w:val="0"/>
              </w:rPr>
            </w:pPr>
            <w:r>
              <w:rPr>
                <w:rFonts w:eastAsia="Malgun Gothic"/>
                <w:kern w:val="0"/>
              </w:rPr>
              <w:t>Reference</w:t>
            </w:r>
          </w:p>
        </w:tc>
        <w:tc>
          <w:tcPr>
            <w:tcW w:w="1275" w:type="dxa"/>
            <w:vAlign w:val="center"/>
          </w:tcPr>
          <w:p>
            <w:pPr>
              <w:pStyle w:val="77"/>
              <w:jc w:val="left"/>
              <w:rPr>
                <w:kern w:val="0"/>
              </w:rPr>
            </w:pPr>
          </w:p>
        </w:tc>
        <w:tc>
          <w:tcPr>
            <w:tcW w:w="2268" w:type="dxa"/>
            <w:vAlign w:val="center"/>
          </w:tcPr>
          <w:p>
            <w:pPr>
              <w:pStyle w:val="77"/>
              <w:jc w:val="left"/>
              <w:rPr>
                <w:kern w:val="0"/>
              </w:rPr>
            </w:pPr>
            <w:r>
              <w:rPr>
                <w:rFonts w:eastAsia="Malgun Gothic"/>
                <w:kern w:val="0"/>
              </w:rPr>
              <w:t>Reference</w:t>
            </w:r>
          </w:p>
        </w:tc>
        <w:tc>
          <w:tcPr>
            <w:tcW w:w="1218" w:type="dxa"/>
            <w:vAlign w:val="center"/>
          </w:tcPr>
          <w:p>
            <w:pPr>
              <w:pStyle w:val="77"/>
              <w:jc w:val="left"/>
              <w:rPr>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3" w:hRule="atLeast"/>
        </w:trPr>
        <w:tc>
          <w:tcPr>
            <w:tcW w:w="2547" w:type="dxa"/>
          </w:tcPr>
          <w:p>
            <w:pPr>
              <w:pStyle w:val="77"/>
              <w:jc w:val="left"/>
              <w:rPr>
                <w:kern w:val="0"/>
              </w:rPr>
            </w:pPr>
            <w:r>
              <w:rPr>
                <w:kern w:val="0"/>
              </w:rPr>
              <w:t>Insufficiently active</w:t>
            </w:r>
          </w:p>
        </w:tc>
        <w:tc>
          <w:tcPr>
            <w:tcW w:w="1417" w:type="dxa"/>
          </w:tcPr>
          <w:p>
            <w:pPr>
              <w:pStyle w:val="77"/>
              <w:jc w:val="left"/>
              <w:rPr>
                <w:kern w:val="0"/>
              </w:rPr>
            </w:pPr>
            <w:r>
              <w:rPr>
                <w:kern w:val="0"/>
              </w:rPr>
              <w:t>968</w:t>
            </w:r>
          </w:p>
        </w:tc>
        <w:tc>
          <w:tcPr>
            <w:tcW w:w="1418" w:type="dxa"/>
          </w:tcPr>
          <w:p>
            <w:pPr>
              <w:pStyle w:val="77"/>
              <w:jc w:val="left"/>
              <w:rPr>
                <w:kern w:val="0"/>
              </w:rPr>
            </w:pPr>
            <w:r>
              <w:rPr>
                <w:kern w:val="0"/>
              </w:rPr>
              <w:t>68</w:t>
            </w:r>
          </w:p>
        </w:tc>
        <w:tc>
          <w:tcPr>
            <w:tcW w:w="1276" w:type="dxa"/>
          </w:tcPr>
          <w:p>
            <w:pPr>
              <w:pStyle w:val="77"/>
              <w:jc w:val="left"/>
              <w:rPr>
                <w:kern w:val="0"/>
              </w:rPr>
            </w:pPr>
            <w:r>
              <w:rPr>
                <w:kern w:val="0"/>
              </w:rPr>
              <w:t>2.4</w:t>
            </w:r>
          </w:p>
        </w:tc>
        <w:tc>
          <w:tcPr>
            <w:tcW w:w="2268" w:type="dxa"/>
          </w:tcPr>
          <w:p>
            <w:pPr>
              <w:pStyle w:val="77"/>
              <w:jc w:val="left"/>
              <w:rPr>
                <w:kern w:val="0"/>
              </w:rPr>
            </w:pPr>
            <w:r>
              <w:rPr>
                <w:kern w:val="0"/>
              </w:rPr>
              <w:t>0.81 (0.61–1.08)</w:t>
            </w:r>
          </w:p>
        </w:tc>
        <w:tc>
          <w:tcPr>
            <w:tcW w:w="1275" w:type="dxa"/>
          </w:tcPr>
          <w:p>
            <w:pPr>
              <w:pStyle w:val="77"/>
              <w:jc w:val="left"/>
              <w:rPr>
                <w:kern w:val="0"/>
              </w:rPr>
            </w:pPr>
            <w:r>
              <w:rPr>
                <w:kern w:val="0"/>
              </w:rPr>
              <w:t>0.152</w:t>
            </w:r>
          </w:p>
        </w:tc>
        <w:tc>
          <w:tcPr>
            <w:tcW w:w="2268" w:type="dxa"/>
          </w:tcPr>
          <w:p>
            <w:pPr>
              <w:pStyle w:val="77"/>
              <w:jc w:val="left"/>
              <w:rPr>
                <w:kern w:val="0"/>
              </w:rPr>
            </w:pPr>
            <w:r>
              <w:rPr>
                <w:kern w:val="0"/>
              </w:rPr>
              <w:t>0.8 (0.6–1.07)</w:t>
            </w:r>
          </w:p>
        </w:tc>
        <w:tc>
          <w:tcPr>
            <w:tcW w:w="1218" w:type="dxa"/>
          </w:tcPr>
          <w:p>
            <w:pPr>
              <w:pStyle w:val="77"/>
              <w:jc w:val="left"/>
              <w:rPr>
                <w:kern w:val="0"/>
              </w:rPr>
            </w:pPr>
            <w:r>
              <w:rPr>
                <w:kern w:val="0"/>
              </w:rPr>
              <w:t>0.13</w:t>
            </w:r>
            <w:r>
              <w:rPr>
                <w:rFonts w:hint="eastAsia"/>
                <w:kern w:val="0"/>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trPr>
        <w:tc>
          <w:tcPr>
            <w:tcW w:w="2547" w:type="dxa"/>
          </w:tcPr>
          <w:p>
            <w:pPr>
              <w:pStyle w:val="77"/>
              <w:jc w:val="left"/>
              <w:rPr>
                <w:kern w:val="0"/>
              </w:rPr>
            </w:pPr>
            <w:r>
              <w:rPr>
                <w:kern w:val="0"/>
              </w:rPr>
              <w:t>Active</w:t>
            </w:r>
          </w:p>
        </w:tc>
        <w:tc>
          <w:tcPr>
            <w:tcW w:w="1417" w:type="dxa"/>
          </w:tcPr>
          <w:p>
            <w:pPr>
              <w:pStyle w:val="77"/>
              <w:jc w:val="left"/>
              <w:rPr>
                <w:kern w:val="0"/>
              </w:rPr>
            </w:pPr>
            <w:r>
              <w:rPr>
                <w:kern w:val="0"/>
              </w:rPr>
              <w:t>754</w:t>
            </w:r>
          </w:p>
        </w:tc>
        <w:tc>
          <w:tcPr>
            <w:tcW w:w="1418" w:type="dxa"/>
          </w:tcPr>
          <w:p>
            <w:pPr>
              <w:pStyle w:val="77"/>
              <w:jc w:val="left"/>
              <w:rPr>
                <w:kern w:val="0"/>
              </w:rPr>
            </w:pPr>
            <w:r>
              <w:rPr>
                <w:kern w:val="0"/>
              </w:rPr>
              <w:t>59</w:t>
            </w:r>
          </w:p>
        </w:tc>
        <w:tc>
          <w:tcPr>
            <w:tcW w:w="1276" w:type="dxa"/>
          </w:tcPr>
          <w:p>
            <w:pPr>
              <w:pStyle w:val="77"/>
              <w:jc w:val="left"/>
              <w:rPr>
                <w:kern w:val="0"/>
              </w:rPr>
            </w:pPr>
            <w:r>
              <w:rPr>
                <w:kern w:val="0"/>
              </w:rPr>
              <w:t>2.6</w:t>
            </w:r>
          </w:p>
        </w:tc>
        <w:tc>
          <w:tcPr>
            <w:tcW w:w="2268" w:type="dxa"/>
          </w:tcPr>
          <w:p>
            <w:pPr>
              <w:pStyle w:val="77"/>
              <w:jc w:val="left"/>
              <w:rPr>
                <w:kern w:val="0"/>
              </w:rPr>
            </w:pPr>
            <w:r>
              <w:rPr>
                <w:kern w:val="0"/>
              </w:rPr>
              <w:t>0.90 (0.67–1.21)</w:t>
            </w:r>
          </w:p>
        </w:tc>
        <w:tc>
          <w:tcPr>
            <w:tcW w:w="1275" w:type="dxa"/>
          </w:tcPr>
          <w:p>
            <w:pPr>
              <w:pStyle w:val="77"/>
              <w:jc w:val="left"/>
              <w:rPr>
                <w:kern w:val="0"/>
              </w:rPr>
            </w:pPr>
            <w:r>
              <w:rPr>
                <w:kern w:val="0"/>
              </w:rPr>
              <w:t>0.484</w:t>
            </w:r>
          </w:p>
        </w:tc>
        <w:tc>
          <w:tcPr>
            <w:tcW w:w="2268" w:type="dxa"/>
          </w:tcPr>
          <w:p>
            <w:pPr>
              <w:pStyle w:val="77"/>
              <w:jc w:val="left"/>
              <w:rPr>
                <w:kern w:val="0"/>
              </w:rPr>
            </w:pPr>
            <w:r>
              <w:rPr>
                <w:kern w:val="0"/>
              </w:rPr>
              <w:t>0.87 (0.64–1.18)</w:t>
            </w:r>
          </w:p>
        </w:tc>
        <w:tc>
          <w:tcPr>
            <w:tcW w:w="1218" w:type="dxa"/>
          </w:tcPr>
          <w:p>
            <w:pPr>
              <w:pStyle w:val="77"/>
              <w:jc w:val="left"/>
              <w:rPr>
                <w:kern w:val="0"/>
              </w:rPr>
            </w:pPr>
            <w:r>
              <w:rPr>
                <w:kern w:val="0"/>
              </w:rPr>
              <w:t>0.37</w:t>
            </w:r>
            <w:r>
              <w:rPr>
                <w:rFonts w:hint="eastAsia"/>
                <w:kern w:val="0"/>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trPr>
        <w:tc>
          <w:tcPr>
            <w:tcW w:w="2547" w:type="dxa"/>
          </w:tcPr>
          <w:p>
            <w:pPr>
              <w:pStyle w:val="77"/>
              <w:jc w:val="left"/>
              <w:rPr>
                <w:kern w:val="0"/>
              </w:rPr>
            </w:pPr>
            <w:r>
              <w:rPr>
                <w:kern w:val="0"/>
              </w:rPr>
              <w:t>Highly active</w:t>
            </w:r>
          </w:p>
        </w:tc>
        <w:tc>
          <w:tcPr>
            <w:tcW w:w="1417" w:type="dxa"/>
          </w:tcPr>
          <w:p>
            <w:pPr>
              <w:pStyle w:val="77"/>
              <w:jc w:val="left"/>
              <w:rPr>
                <w:kern w:val="0"/>
              </w:rPr>
            </w:pPr>
            <w:r>
              <w:rPr>
                <w:kern w:val="0"/>
              </w:rPr>
              <w:t>407</w:t>
            </w:r>
          </w:p>
        </w:tc>
        <w:tc>
          <w:tcPr>
            <w:tcW w:w="1418" w:type="dxa"/>
          </w:tcPr>
          <w:p>
            <w:pPr>
              <w:pStyle w:val="77"/>
              <w:jc w:val="left"/>
              <w:rPr>
                <w:kern w:val="0"/>
              </w:rPr>
            </w:pPr>
            <w:r>
              <w:rPr>
                <w:kern w:val="0"/>
              </w:rPr>
              <w:t>26</w:t>
            </w:r>
          </w:p>
        </w:tc>
        <w:tc>
          <w:tcPr>
            <w:tcW w:w="1276" w:type="dxa"/>
          </w:tcPr>
          <w:p>
            <w:pPr>
              <w:pStyle w:val="77"/>
              <w:jc w:val="left"/>
              <w:rPr>
                <w:kern w:val="0"/>
              </w:rPr>
            </w:pPr>
            <w:r>
              <w:rPr>
                <w:kern w:val="0"/>
              </w:rPr>
              <w:t>2</w:t>
            </w:r>
            <w:r>
              <w:rPr>
                <w:rFonts w:hint="eastAsia"/>
                <w:kern w:val="0"/>
              </w:rPr>
              <w:t>.0</w:t>
            </w:r>
          </w:p>
        </w:tc>
        <w:tc>
          <w:tcPr>
            <w:tcW w:w="2268" w:type="dxa"/>
          </w:tcPr>
          <w:p>
            <w:pPr>
              <w:pStyle w:val="77"/>
              <w:jc w:val="left"/>
              <w:rPr>
                <w:kern w:val="0"/>
              </w:rPr>
            </w:pPr>
            <w:r>
              <w:rPr>
                <w:kern w:val="0"/>
              </w:rPr>
              <w:t>0.69 (0.46–1.04)</w:t>
            </w:r>
          </w:p>
        </w:tc>
        <w:tc>
          <w:tcPr>
            <w:tcW w:w="1275" w:type="dxa"/>
          </w:tcPr>
          <w:p>
            <w:pPr>
              <w:pStyle w:val="77"/>
              <w:jc w:val="left"/>
              <w:rPr>
                <w:kern w:val="0"/>
              </w:rPr>
            </w:pPr>
            <w:r>
              <w:rPr>
                <w:kern w:val="0"/>
              </w:rPr>
              <w:t>0.077</w:t>
            </w:r>
          </w:p>
        </w:tc>
        <w:tc>
          <w:tcPr>
            <w:tcW w:w="2268" w:type="dxa"/>
          </w:tcPr>
          <w:p>
            <w:pPr>
              <w:pStyle w:val="77"/>
              <w:jc w:val="left"/>
              <w:rPr>
                <w:kern w:val="0"/>
              </w:rPr>
            </w:pPr>
            <w:r>
              <w:rPr>
                <w:kern w:val="0"/>
              </w:rPr>
              <w:t>0.66 (0.43–1.01)</w:t>
            </w:r>
          </w:p>
        </w:tc>
        <w:tc>
          <w:tcPr>
            <w:tcW w:w="1218" w:type="dxa"/>
          </w:tcPr>
          <w:p>
            <w:pPr>
              <w:pStyle w:val="77"/>
              <w:jc w:val="left"/>
              <w:rPr>
                <w:kern w:val="0"/>
              </w:rPr>
            </w:pPr>
            <w:r>
              <w:rPr>
                <w:kern w:val="0"/>
              </w:rPr>
              <w:t>0.06</w:t>
            </w:r>
            <w:r>
              <w:rPr>
                <w:rFonts w:hint="eastAsia"/>
                <w:kern w:val="0"/>
              </w:rPr>
              <w:t>0</w:t>
            </w:r>
          </w:p>
        </w:tc>
      </w:tr>
    </w:tbl>
    <w:p>
      <w:pPr>
        <w:pStyle w:val="57"/>
        <w:rPr>
          <w:color w:val="000000" w:themeColor="text1"/>
          <w14:textFill>
            <w14:solidFill>
              <w14:schemeClr w14:val="tx1"/>
            </w14:solidFill>
          </w14:textFill>
        </w:rPr>
      </w:pPr>
      <w:r>
        <w:t>HR</w:t>
      </w:r>
      <w:r>
        <w:rPr>
          <w:bCs/>
        </w:rPr>
        <w:t>,</w:t>
      </w:r>
      <w:r>
        <w:rPr>
          <w:b/>
        </w:rPr>
        <w:t xml:space="preserve"> </w:t>
      </w:r>
      <w:r>
        <w:fldChar w:fldCharType="begin"/>
      </w:r>
      <w:r>
        <w:instrText xml:space="preserve"> HYPERLINK "https://en.wikipedia.org/wiki/Hazard_ratio" \t "_blank" </w:instrText>
      </w:r>
      <w:r>
        <w:fldChar w:fldCharType="separate"/>
      </w:r>
      <w:r>
        <w:rPr>
          <w:rStyle w:val="22"/>
          <w:rFonts w:eastAsia="Malgun Gothic"/>
          <w:b w:val="0"/>
          <w:bCs w:val="0"/>
          <w:sz w:val="22"/>
        </w:rPr>
        <w:t>hazard ratio</w:t>
      </w:r>
      <w:r>
        <w:rPr>
          <w:rStyle w:val="22"/>
          <w:rFonts w:eastAsia="Malgun Gothic"/>
          <w:b w:val="0"/>
          <w:bCs w:val="0"/>
          <w:sz w:val="22"/>
        </w:rPr>
        <w:fldChar w:fldCharType="end"/>
      </w:r>
      <w:r>
        <w:rPr>
          <w:rFonts w:eastAsia="Malgun Gothic"/>
        </w:rPr>
        <w:t>; CI,</w:t>
      </w:r>
      <w:r>
        <w:rPr>
          <w:rStyle w:val="26"/>
          <w:rFonts w:eastAsia="Malgun Gothic"/>
          <w:color w:val="000000"/>
          <w:sz w:val="22"/>
        </w:rPr>
        <w:t xml:space="preserve"> </w:t>
      </w:r>
      <w:r>
        <w:rPr>
          <w:rStyle w:val="32"/>
          <w:rFonts w:eastAsia="Malgun Gothic"/>
          <w:color w:val="000000"/>
          <w:sz w:val="22"/>
        </w:rPr>
        <w:t>confidence interval;</w:t>
      </w:r>
      <w:r>
        <w:rPr>
          <w:rFonts w:eastAsia="Malgun Gothic"/>
        </w:rPr>
        <w:t xml:space="preserve"> </w:t>
      </w:r>
      <w:r>
        <w:rPr>
          <w:color w:val="000000" w:themeColor="text1"/>
          <w14:textFill>
            <w14:solidFill>
              <w14:schemeClr w14:val="tx1"/>
            </w14:solidFill>
          </w14:textFill>
        </w:rPr>
        <w:t xml:space="preserve">CVD, cardiovascular disease; </w:t>
      </w:r>
      <w:r>
        <w:t>PYR</w:t>
      </w:r>
      <w:r>
        <w:rPr>
          <w:b/>
        </w:rPr>
        <w:t xml:space="preserve">, </w:t>
      </w:r>
      <w:r>
        <w:rPr>
          <w:rStyle w:val="23"/>
          <w:b w:val="0"/>
          <w:bCs w:val="0"/>
          <w:color w:val="202124"/>
          <w:sz w:val="22"/>
        </w:rPr>
        <w:t>person-years</w:t>
      </w:r>
      <w:r>
        <w:rPr>
          <w:color w:val="202124"/>
        </w:rPr>
        <w:t xml:space="preserve"> at risk; HF, heart failure.</w:t>
      </w:r>
      <w:r>
        <w:rPr>
          <w:rFonts w:hint="eastAsia" w:eastAsia="等线"/>
          <w:color w:val="000000" w:themeColor="text1"/>
          <w14:textFill>
            <w14:solidFill>
              <w14:schemeClr w14:val="tx1"/>
            </w14:solidFill>
          </w14:textFill>
        </w:rPr>
        <w:t xml:space="preserve"> </w:t>
      </w:r>
      <w:r>
        <w:t>The model was adjusted for age, sex, body mass index, hypertension, diabetes, dyslipidemia, chronic kidney disease, chronic obstructive pulmonary disease, malignancy, previous myocardial infarction, peripheral artery disease, vascular disease, prior stroke or transient ischemic attack, osteoporosis, Hospital Frailty Risk Score, Hospital Frailty Risk Score category, Charlson Comorbidity Index, smoking, and alcohol drinking.</w:t>
      </w:r>
    </w:p>
    <w:sectPr>
      <w:pgSz w:w="16838" w:h="11906" w:orient="landscape"/>
      <w:pgMar w:top="1440" w:right="1440" w:bottom="1440" w:left="1701" w:header="851" w:footer="992" w:gutter="0"/>
      <w:cols w:space="425"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20"/>
      </w:pPr>
      <w:r>
        <w:separator/>
      </w:r>
    </w:p>
  </w:endnote>
  <w:endnote w:type="continuationSeparator" w:id="1">
    <w:p>
      <w:pPr>
        <w:spacing w:line="240" w:lineRule="auto"/>
        <w:ind w:firstLine="42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algun Gothic">
    <w:panose1 w:val="020B0503020000020004"/>
    <w:charset w:val="81"/>
    <w:family w:val="auto"/>
    <w:pitch w:val="default"/>
    <w:sig w:usb0="9000002F" w:usb1="29D77CFB" w:usb2="00000012" w:usb3="00000000" w:csb0="00080001" w:csb1="00000000"/>
  </w:font>
  <w:font w:name="Book Antiqua">
    <w:panose1 w:val="02040602050305030304"/>
    <w:charset w:val="00"/>
    <w:family w:val="roman"/>
    <w:pitch w:val="default"/>
    <w:sig w:usb0="00000287" w:usb1="00000000" w:usb2="00000000" w:usb3="00000000" w:csb0="2000009F" w:csb1="DFD70000"/>
  </w:font>
  <w:font w:name="Calibri Light">
    <w:panose1 w:val="020F0302020204030204"/>
    <w:charset w:val="00"/>
    <w:family w:val="swiss"/>
    <w:pitch w:val="default"/>
    <w:sig w:usb0="E4002EFF" w:usb1="C000247B" w:usb2="00000009" w:usb3="00000000" w:csb0="200001FF" w:csb1="00000000"/>
  </w:font>
  <w:font w:name="NimbusRomNo9L">
    <w:panose1 w:val="01010103010101010101"/>
    <w:charset w:val="00"/>
    <w:family w:val="auto"/>
    <w:pitch w:val="default"/>
    <w:sig w:usb0="00000000" w:usb1="00000000" w:usb2="00000000" w:usb3="00000000" w:csb0="00000000" w:csb1="00000000"/>
  </w:font>
  <w:font w:name="Arial">
    <w:panose1 w:val="020B0604020202020204"/>
    <w:charset w:val="00"/>
    <w:family w:val="swiss"/>
    <w:pitch w:val="default"/>
    <w:sig w:usb0="E0002EFF" w:usb1="C000785B" w:usb2="00000009" w:usb3="00000000" w:csb0="400001FF" w:csb1="FFFF0000"/>
  </w:font>
  <w:font w:name="等线">
    <w:panose1 w:val="02010600030101010101"/>
    <w:charset w:val="86"/>
    <w:family w:val="auto"/>
    <w:pitch w:val="default"/>
    <w:sig w:usb0="A00002BF" w:usb1="38CF7CFA" w:usb2="00000016" w:usb3="00000000" w:csb0="0004000F" w:csb1="00000000"/>
  </w:font>
  <w:font w:name="MS Mincho">
    <w:panose1 w:val="02020609040205080304"/>
    <w:charset w:val="80"/>
    <w:family w:val="modern"/>
    <w:pitch w:val="default"/>
    <w:sig w:usb0="A00002BF" w:usb1="68C7FCFB" w:usb2="00000010" w:usb3="00000000" w:csb0="4002009F" w:csb1="DFD7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ind w:firstLine="420"/>
      </w:pPr>
      <w:r>
        <w:separator/>
      </w:r>
    </w:p>
  </w:footnote>
  <w:footnote w:type="continuationSeparator" w:id="1">
    <w:p>
      <w:pPr>
        <w:spacing w:before="0" w:after="0" w:line="240" w:lineRule="auto"/>
        <w:ind w:firstLine="42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D661A69"/>
    <w:multiLevelType w:val="multilevel"/>
    <w:tmpl w:val="4D661A69"/>
    <w:lvl w:ilvl="0" w:tentative="0">
      <w:start w:val="1"/>
      <w:numFmt w:val="decimal"/>
      <w:suff w:val="space"/>
      <w:lvlText w:val="%1."/>
      <w:lvlJc w:val="left"/>
      <w:pPr>
        <w:ind w:left="432" w:hanging="432"/>
      </w:pPr>
    </w:lvl>
    <w:lvl w:ilvl="1" w:tentative="0">
      <w:start w:val="1"/>
      <w:numFmt w:val="decimal"/>
      <w:suff w:val="space"/>
      <w:lvlText w:val="%1.%2"/>
      <w:lvlJc w:val="left"/>
      <w:pPr>
        <w:ind w:left="576" w:hanging="576"/>
      </w:pPr>
    </w:lvl>
    <w:lvl w:ilvl="2" w:tentative="0">
      <w:start w:val="1"/>
      <w:numFmt w:val="decimal"/>
      <w:suff w:val="space"/>
      <w:lvlText w:val="%1.%2.%3"/>
      <w:lvlJc w:val="left"/>
      <w:pPr>
        <w:ind w:left="720" w:hanging="720"/>
      </w:pPr>
    </w:lvl>
    <w:lvl w:ilvl="3" w:tentative="0">
      <w:start w:val="1"/>
      <w:numFmt w:val="decimal"/>
      <w:suff w:val="space"/>
      <w:lvlText w:val="%1.%2.%3.%4"/>
      <w:lvlJc w:val="left"/>
      <w:pPr>
        <w:ind w:left="864" w:hanging="864"/>
      </w:pPr>
    </w:lvl>
    <w:lvl w:ilvl="4" w:tentative="0">
      <w:start w:val="1"/>
      <w:numFmt w:val="decimal"/>
      <w:suff w:val="space"/>
      <w:lvlText w:val="%1.%2.%3.%4.%5"/>
      <w:lvlJc w:val="left"/>
      <w:pPr>
        <w:ind w:left="1008" w:hanging="1008"/>
      </w:pPr>
    </w:lvl>
    <w:lvl w:ilvl="5" w:tentative="0">
      <w:start w:val="1"/>
      <w:numFmt w:val="decimal"/>
      <w:pStyle w:val="7"/>
      <w:lvlText w:val="%1.%2.%3.%4.%5.%6"/>
      <w:lvlJc w:val="left"/>
      <w:pPr>
        <w:ind w:left="1152" w:hanging="1152"/>
      </w:pPr>
    </w:lvl>
    <w:lvl w:ilvl="6" w:tentative="0">
      <w:start w:val="1"/>
      <w:numFmt w:val="decimal"/>
      <w:pStyle w:val="8"/>
      <w:lvlText w:val="%1.%2.%3.%4.%5.%6.%7"/>
      <w:lvlJc w:val="left"/>
      <w:pPr>
        <w:ind w:left="1296" w:hanging="1296"/>
      </w:pPr>
    </w:lvl>
    <w:lvl w:ilvl="7" w:tentative="0">
      <w:start w:val="1"/>
      <w:numFmt w:val="decimal"/>
      <w:pStyle w:val="9"/>
      <w:lvlText w:val="%1.%2.%3.%4.%5.%6.%7.%8"/>
      <w:lvlJc w:val="left"/>
      <w:pPr>
        <w:ind w:left="1440" w:hanging="1440"/>
      </w:pPr>
    </w:lvl>
    <w:lvl w:ilvl="8" w:tentative="0">
      <w:start w:val="1"/>
      <w:numFmt w:val="decimal"/>
      <w:pStyle w:val="10"/>
      <w:lvlText w:val="%1.%2.%3.%4.%5.%6.%7.%8.%9"/>
      <w:lvlJc w:val="left"/>
      <w:pPr>
        <w:ind w:left="1584" w:hanging="1584"/>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800"/>
  <w:displayHorizontalDrawingGridEvery w:val="0"/>
  <w:displayVerticalDrawingGridEvery w:val="2"/>
  <w:noPunctuationKerning w:val="1"/>
  <w:characterSpacingControl w:val="doNotCompress"/>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77499"/>
    <w:rsid w:val="00077499"/>
    <w:rsid w:val="00102143"/>
    <w:rsid w:val="001B4E67"/>
    <w:rsid w:val="001F2636"/>
    <w:rsid w:val="00216A94"/>
    <w:rsid w:val="00242218"/>
    <w:rsid w:val="0029094F"/>
    <w:rsid w:val="002B76ED"/>
    <w:rsid w:val="002E253D"/>
    <w:rsid w:val="0035169B"/>
    <w:rsid w:val="004311CD"/>
    <w:rsid w:val="004514D6"/>
    <w:rsid w:val="005172A9"/>
    <w:rsid w:val="00571D66"/>
    <w:rsid w:val="005C797F"/>
    <w:rsid w:val="006410F0"/>
    <w:rsid w:val="00655EC1"/>
    <w:rsid w:val="00756B50"/>
    <w:rsid w:val="007A32C7"/>
    <w:rsid w:val="007B24BC"/>
    <w:rsid w:val="008A10BC"/>
    <w:rsid w:val="00A45DE1"/>
    <w:rsid w:val="00B039CE"/>
    <w:rsid w:val="00B62B7C"/>
    <w:rsid w:val="00B945CF"/>
    <w:rsid w:val="00C022CC"/>
    <w:rsid w:val="00C31863"/>
    <w:rsid w:val="00D2531A"/>
    <w:rsid w:val="00D25957"/>
    <w:rsid w:val="00D66D55"/>
    <w:rsid w:val="00DA0A8F"/>
    <w:rsid w:val="00FC68A8"/>
    <w:rsid w:val="1724239C"/>
    <w:rsid w:val="40495E9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1" w:semiHidden="0" w:name="heading 1"/>
    <w:lsdException w:qFormat="1" w:uiPriority="9" w:semiHidden="0" w:name="heading 2"/>
    <w:lsdException w:qFormat="1" w:uiPriority="9" w:semiHidden="0" w:name="heading 3"/>
    <w:lsdException w:qFormat="1" w:unhideWhenUsed="0" w:uiPriority="9" w:semiHidden="0" w:name="heading 4"/>
    <w:lsdException w:qFormat="1" w:uiPriority="9" w:semiHidden="0" w:name="heading 5"/>
    <w:lsdException w:qFormat="1" w:uiPriority="9" w:semiHidden="0" w:name="heading 6"/>
    <w:lsdException w:qFormat="1" w:uiPriority="9" w:semiHidden="0" w:name="heading 7"/>
    <w:lsdException w:qFormat="1" w:uiPriority="9" w:semiHidden="0"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uiPriority="99" w:semiHidden="0" w:name="footer"/>
    <w:lsdException w:uiPriority="99" w:name="index heading"/>
    <w:lsdException w:qFormat="1" w:uiPriority="35" w:semiHidden="0"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qFormat="1"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qFormat="1" w:unhideWhenUsed="0" w:uiPriority="99"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after="0" w:line="240" w:lineRule="auto"/>
      <w:ind w:firstLine="200" w:firstLineChars="200"/>
      <w:jc w:val="both"/>
    </w:pPr>
    <w:rPr>
      <w:rFonts w:ascii="Times New Roman" w:hAnsi="Times New Roman" w:eastAsia="Times New Roman" w:cs="Times New Roman"/>
      <w:kern w:val="2"/>
      <w:sz w:val="21"/>
      <w:szCs w:val="21"/>
      <w:lang w:val="en-US" w:eastAsia="zh-CN" w:bidi="ar-SA"/>
    </w:rPr>
  </w:style>
  <w:style w:type="paragraph" w:styleId="2">
    <w:name w:val="heading 1"/>
    <w:basedOn w:val="1"/>
    <w:next w:val="1"/>
    <w:link w:val="47"/>
    <w:qFormat/>
    <w:uiPriority w:val="1"/>
    <w:pPr>
      <w:autoSpaceDE w:val="0"/>
      <w:autoSpaceDN w:val="0"/>
      <w:adjustRightInd w:val="0"/>
      <w:spacing w:before="312" w:beforeLines="100" w:after="312" w:afterLines="100"/>
      <w:ind w:left="431" w:hanging="431" w:firstLineChars="0"/>
      <w:jc w:val="left"/>
      <w:outlineLvl w:val="0"/>
    </w:pPr>
    <w:rPr>
      <w:rFonts w:cs="Book Antiqua"/>
      <w:b/>
      <w:bCs/>
      <w:kern w:val="0"/>
      <w:sz w:val="24"/>
      <w:szCs w:val="20"/>
    </w:rPr>
  </w:style>
  <w:style w:type="paragraph" w:styleId="3">
    <w:name w:val="heading 2"/>
    <w:basedOn w:val="1"/>
    <w:next w:val="1"/>
    <w:link w:val="48"/>
    <w:unhideWhenUsed/>
    <w:qFormat/>
    <w:uiPriority w:val="9"/>
    <w:pPr>
      <w:keepNext/>
      <w:keepLines/>
      <w:spacing w:before="156" w:beforeLines="50" w:after="156" w:afterLines="50"/>
      <w:ind w:left="578" w:hanging="578" w:firstLineChars="0"/>
      <w:outlineLvl w:val="1"/>
    </w:pPr>
    <w:rPr>
      <w:b/>
      <w:bCs/>
      <w:i/>
      <w:sz w:val="22"/>
    </w:rPr>
  </w:style>
  <w:style w:type="paragraph" w:styleId="4">
    <w:name w:val="heading 3"/>
    <w:basedOn w:val="1"/>
    <w:next w:val="1"/>
    <w:link w:val="49"/>
    <w:unhideWhenUsed/>
    <w:qFormat/>
    <w:uiPriority w:val="9"/>
    <w:pPr>
      <w:keepNext/>
      <w:keepLines/>
      <w:spacing w:before="156" w:beforeLines="50" w:after="156" w:afterLines="50"/>
      <w:ind w:firstLine="0" w:firstLineChars="0"/>
      <w:outlineLvl w:val="2"/>
    </w:pPr>
    <w:rPr>
      <w:bCs/>
      <w:i/>
      <w:sz w:val="22"/>
      <w:szCs w:val="32"/>
    </w:rPr>
  </w:style>
  <w:style w:type="paragraph" w:styleId="5">
    <w:name w:val="heading 4"/>
    <w:basedOn w:val="1"/>
    <w:next w:val="1"/>
    <w:link w:val="50"/>
    <w:qFormat/>
    <w:uiPriority w:val="9"/>
    <w:pPr>
      <w:keepNext/>
      <w:keepLines/>
      <w:spacing w:before="280" w:after="290" w:line="376" w:lineRule="auto"/>
      <w:ind w:firstLine="320"/>
      <w:outlineLvl w:val="3"/>
    </w:pPr>
    <w:rPr>
      <w:rFonts w:ascii="Calibri Light" w:hAnsi="Calibri Light" w:eastAsia="NimbusRomNo9L" w:cs="NimbusRomNo9L"/>
      <w:b/>
      <w:bCs/>
      <w:kern w:val="0"/>
      <w:sz w:val="28"/>
      <w:szCs w:val="28"/>
    </w:rPr>
  </w:style>
  <w:style w:type="paragraph" w:styleId="6">
    <w:name w:val="heading 5"/>
    <w:basedOn w:val="1"/>
    <w:next w:val="1"/>
    <w:link w:val="51"/>
    <w:unhideWhenUsed/>
    <w:qFormat/>
    <w:uiPriority w:val="9"/>
    <w:pPr>
      <w:keepNext/>
      <w:keepLines/>
      <w:spacing w:before="280" w:after="290" w:line="376" w:lineRule="auto"/>
      <w:outlineLvl w:val="4"/>
    </w:pPr>
    <w:rPr>
      <w:b/>
      <w:bCs/>
      <w:sz w:val="28"/>
      <w:szCs w:val="28"/>
    </w:rPr>
  </w:style>
  <w:style w:type="paragraph" w:styleId="7">
    <w:name w:val="heading 6"/>
    <w:basedOn w:val="1"/>
    <w:next w:val="1"/>
    <w:link w:val="52"/>
    <w:unhideWhenUsed/>
    <w:qFormat/>
    <w:uiPriority w:val="9"/>
    <w:pPr>
      <w:keepNext/>
      <w:keepLines/>
      <w:numPr>
        <w:ilvl w:val="5"/>
        <w:numId w:val="1"/>
      </w:numPr>
      <w:spacing w:before="240" w:after="64" w:line="320" w:lineRule="auto"/>
      <w:ind w:firstLineChars="0"/>
      <w:outlineLvl w:val="5"/>
    </w:pPr>
    <w:rPr>
      <w:rFonts w:asciiTheme="majorHAnsi" w:hAnsiTheme="majorHAnsi" w:eastAsiaTheme="majorEastAsia" w:cstheme="majorBidi"/>
      <w:b/>
      <w:bCs/>
      <w:sz w:val="24"/>
      <w:szCs w:val="24"/>
    </w:rPr>
  </w:style>
  <w:style w:type="paragraph" w:styleId="8">
    <w:name w:val="heading 7"/>
    <w:basedOn w:val="1"/>
    <w:next w:val="1"/>
    <w:link w:val="53"/>
    <w:unhideWhenUsed/>
    <w:qFormat/>
    <w:uiPriority w:val="9"/>
    <w:pPr>
      <w:keepNext/>
      <w:keepLines/>
      <w:numPr>
        <w:ilvl w:val="6"/>
        <w:numId w:val="1"/>
      </w:numPr>
      <w:spacing w:before="240" w:after="64" w:line="320" w:lineRule="auto"/>
      <w:ind w:firstLineChars="0"/>
      <w:outlineLvl w:val="6"/>
    </w:pPr>
    <w:rPr>
      <w:b/>
      <w:bCs/>
      <w:sz w:val="24"/>
      <w:szCs w:val="24"/>
    </w:rPr>
  </w:style>
  <w:style w:type="paragraph" w:styleId="9">
    <w:name w:val="heading 8"/>
    <w:basedOn w:val="1"/>
    <w:next w:val="1"/>
    <w:link w:val="54"/>
    <w:unhideWhenUsed/>
    <w:qFormat/>
    <w:uiPriority w:val="9"/>
    <w:pPr>
      <w:keepNext/>
      <w:keepLines/>
      <w:numPr>
        <w:ilvl w:val="7"/>
        <w:numId w:val="1"/>
      </w:numPr>
      <w:spacing w:before="240" w:after="64" w:line="320" w:lineRule="auto"/>
      <w:ind w:firstLineChars="0"/>
      <w:outlineLvl w:val="7"/>
    </w:pPr>
    <w:rPr>
      <w:rFonts w:asciiTheme="majorHAnsi" w:hAnsiTheme="majorHAnsi" w:eastAsiaTheme="majorEastAsia" w:cstheme="majorBidi"/>
      <w:sz w:val="24"/>
      <w:szCs w:val="24"/>
    </w:rPr>
  </w:style>
  <w:style w:type="paragraph" w:styleId="10">
    <w:name w:val="heading 9"/>
    <w:basedOn w:val="1"/>
    <w:next w:val="1"/>
    <w:link w:val="55"/>
    <w:semiHidden/>
    <w:unhideWhenUsed/>
    <w:qFormat/>
    <w:uiPriority w:val="9"/>
    <w:pPr>
      <w:keepNext/>
      <w:keepLines/>
      <w:numPr>
        <w:ilvl w:val="8"/>
        <w:numId w:val="1"/>
      </w:numPr>
      <w:spacing w:before="240" w:after="64" w:line="320" w:lineRule="auto"/>
      <w:ind w:firstLineChars="0"/>
      <w:outlineLvl w:val="8"/>
    </w:pPr>
    <w:rPr>
      <w:rFonts w:asciiTheme="majorHAnsi" w:hAnsiTheme="majorHAnsi" w:eastAsiaTheme="majorEastAsia" w:cstheme="majorBidi"/>
    </w:rPr>
  </w:style>
  <w:style w:type="character" w:default="1" w:styleId="21">
    <w:name w:val="Default Paragraph Font"/>
    <w:semiHidden/>
    <w:unhideWhenUsed/>
    <w:uiPriority w:val="1"/>
  </w:style>
  <w:style w:type="table" w:default="1" w:styleId="19">
    <w:name w:val="Normal Table"/>
    <w:semiHidden/>
    <w:unhideWhenUsed/>
    <w:uiPriority w:val="99"/>
    <w:tblPr>
      <w:tblCellMar>
        <w:top w:w="0" w:type="dxa"/>
        <w:left w:w="108" w:type="dxa"/>
        <w:bottom w:w="0" w:type="dxa"/>
        <w:right w:w="108" w:type="dxa"/>
      </w:tblCellMar>
    </w:tblPr>
  </w:style>
  <w:style w:type="paragraph" w:styleId="11">
    <w:name w:val="caption"/>
    <w:basedOn w:val="1"/>
    <w:next w:val="1"/>
    <w:unhideWhenUsed/>
    <w:qFormat/>
    <w:uiPriority w:val="35"/>
    <w:pPr>
      <w:ind w:firstLine="0" w:firstLineChars="0"/>
    </w:pPr>
  </w:style>
  <w:style w:type="paragraph" w:styleId="12">
    <w:name w:val="annotation text"/>
    <w:basedOn w:val="1"/>
    <w:link w:val="66"/>
    <w:semiHidden/>
    <w:unhideWhenUsed/>
    <w:qFormat/>
    <w:uiPriority w:val="99"/>
    <w:pPr>
      <w:jc w:val="left"/>
    </w:pPr>
  </w:style>
  <w:style w:type="paragraph" w:styleId="13">
    <w:name w:val="Body Text"/>
    <w:basedOn w:val="1"/>
    <w:link w:val="79"/>
    <w:qFormat/>
    <w:uiPriority w:val="1"/>
    <w:pPr>
      <w:autoSpaceDE w:val="0"/>
      <w:autoSpaceDN w:val="0"/>
      <w:adjustRightInd w:val="0"/>
      <w:ind w:firstLine="420"/>
    </w:pPr>
    <w:rPr>
      <w:kern w:val="0"/>
    </w:rPr>
  </w:style>
  <w:style w:type="paragraph" w:styleId="14">
    <w:name w:val="Balloon Text"/>
    <w:basedOn w:val="1"/>
    <w:link w:val="65"/>
    <w:semiHidden/>
    <w:unhideWhenUsed/>
    <w:qFormat/>
    <w:uiPriority w:val="99"/>
    <w:rPr>
      <w:sz w:val="18"/>
      <w:szCs w:val="18"/>
    </w:rPr>
  </w:style>
  <w:style w:type="paragraph" w:styleId="15">
    <w:name w:val="footer"/>
    <w:basedOn w:val="1"/>
    <w:link w:val="31"/>
    <w:unhideWhenUsed/>
    <w:uiPriority w:val="99"/>
    <w:pPr>
      <w:tabs>
        <w:tab w:val="center" w:pos="4153"/>
        <w:tab w:val="right" w:pos="8306"/>
      </w:tabs>
      <w:snapToGrid w:val="0"/>
      <w:jc w:val="left"/>
    </w:pPr>
    <w:rPr>
      <w:sz w:val="18"/>
      <w:szCs w:val="18"/>
    </w:rPr>
  </w:style>
  <w:style w:type="paragraph" w:styleId="16">
    <w:name w:val="header"/>
    <w:basedOn w:val="1"/>
    <w:link w:val="30"/>
    <w:unhideWhenUsed/>
    <w:qFormat/>
    <w:uiPriority w:val="99"/>
    <w:pPr>
      <w:pBdr>
        <w:bottom w:val="single" w:color="auto" w:sz="6" w:space="1"/>
      </w:pBdr>
      <w:tabs>
        <w:tab w:val="center" w:pos="4153"/>
        <w:tab w:val="right" w:pos="8306"/>
      </w:tabs>
      <w:snapToGrid w:val="0"/>
      <w:jc w:val="center"/>
    </w:pPr>
    <w:rPr>
      <w:sz w:val="18"/>
      <w:szCs w:val="18"/>
    </w:rPr>
  </w:style>
  <w:style w:type="paragraph" w:styleId="17">
    <w:name w:val="Normal (Web)"/>
    <w:basedOn w:val="1"/>
    <w:unhideWhenUsed/>
    <w:qFormat/>
    <w:uiPriority w:val="99"/>
    <w:pPr>
      <w:spacing w:before="100" w:beforeAutospacing="1" w:after="100" w:afterAutospacing="1"/>
    </w:pPr>
    <w:rPr>
      <w:lang w:eastAsia="en-US"/>
    </w:rPr>
  </w:style>
  <w:style w:type="paragraph" w:styleId="18">
    <w:name w:val="annotation subject"/>
    <w:basedOn w:val="12"/>
    <w:next w:val="12"/>
    <w:link w:val="67"/>
    <w:semiHidden/>
    <w:unhideWhenUsed/>
    <w:qFormat/>
    <w:uiPriority w:val="99"/>
    <w:rPr>
      <w:b/>
      <w:bCs/>
    </w:rPr>
  </w:style>
  <w:style w:type="table" w:styleId="20">
    <w:name w:val="Table Grid"/>
    <w:basedOn w:val="19"/>
    <w:qFormat/>
    <w:uiPriority w:val="59"/>
    <w:pPr>
      <w:spacing w:after="0" w:line="240" w:lineRule="auto"/>
      <w:jc w:val="left"/>
    </w:pPr>
    <w:rPr>
      <w:rFonts w:ascii="等线" w:hAnsi="等线" w:eastAsia="等线" w:cs="Times New Roman"/>
      <w:kern w:val="0"/>
      <w:szCs w:val="20"/>
      <w:lang w:eastAsia="zh-C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2">
    <w:name w:val="Strong"/>
    <w:basedOn w:val="21"/>
    <w:qFormat/>
    <w:uiPriority w:val="22"/>
    <w:rPr>
      <w:b/>
      <w:bCs/>
    </w:rPr>
  </w:style>
  <w:style w:type="character" w:styleId="23">
    <w:name w:val="Emphasis"/>
    <w:basedOn w:val="21"/>
    <w:qFormat/>
    <w:uiPriority w:val="20"/>
    <w:rPr>
      <w:b/>
      <w:bCs/>
    </w:rPr>
  </w:style>
  <w:style w:type="character" w:styleId="24">
    <w:name w:val="line number"/>
    <w:semiHidden/>
    <w:unhideWhenUsed/>
    <w:qFormat/>
    <w:uiPriority w:val="99"/>
  </w:style>
  <w:style w:type="character" w:styleId="25">
    <w:name w:val="Hyperlink"/>
    <w:unhideWhenUsed/>
    <w:qFormat/>
    <w:uiPriority w:val="99"/>
    <w:rPr>
      <w:color w:val="0563C1"/>
      <w:u w:val="single"/>
    </w:rPr>
  </w:style>
  <w:style w:type="character" w:styleId="26">
    <w:name w:val="annotation reference"/>
    <w:basedOn w:val="21"/>
    <w:semiHidden/>
    <w:unhideWhenUsed/>
    <w:qFormat/>
    <w:uiPriority w:val="99"/>
    <w:rPr>
      <w:sz w:val="21"/>
      <w:szCs w:val="21"/>
    </w:rPr>
  </w:style>
  <w:style w:type="paragraph" w:customStyle="1" w:styleId="27">
    <w:name w:val="Default"/>
    <w:uiPriority w:val="0"/>
    <w:pPr>
      <w:widowControl w:val="0"/>
      <w:autoSpaceDE w:val="0"/>
      <w:autoSpaceDN w:val="0"/>
      <w:adjustRightInd w:val="0"/>
      <w:spacing w:after="0" w:line="240" w:lineRule="auto"/>
      <w:jc w:val="left"/>
    </w:pPr>
    <w:rPr>
      <w:rFonts w:ascii="Arial" w:hAnsi="Arial" w:cs="Arial" w:eastAsiaTheme="minorEastAsia"/>
      <w:color w:val="000000"/>
      <w:kern w:val="0"/>
      <w:sz w:val="24"/>
      <w:szCs w:val="24"/>
      <w:lang w:val="en-US" w:eastAsia="ko-KR" w:bidi="ar-SA"/>
    </w:rPr>
  </w:style>
  <w:style w:type="paragraph" w:customStyle="1" w:styleId="28">
    <w:name w:val="EndNote Bibliography"/>
    <w:basedOn w:val="1"/>
    <w:link w:val="35"/>
    <w:qFormat/>
    <w:uiPriority w:val="0"/>
    <w:rPr>
      <w:sz w:val="20"/>
    </w:rPr>
  </w:style>
  <w:style w:type="character" w:customStyle="1" w:styleId="29">
    <w:name w:val="EndNote Bibliography Char"/>
    <w:basedOn w:val="21"/>
    <w:uiPriority w:val="0"/>
    <w:rPr>
      <w:rFonts w:ascii="Malgun Gothic" w:hAnsi="Malgun Gothic" w:eastAsia="Malgun Gothic"/>
    </w:rPr>
  </w:style>
  <w:style w:type="character" w:customStyle="1" w:styleId="30">
    <w:name w:val="页眉 字符"/>
    <w:link w:val="16"/>
    <w:uiPriority w:val="99"/>
    <w:rPr>
      <w:rFonts w:ascii="Times New Roman" w:hAnsi="Times New Roman" w:eastAsia="Times New Roman" w:cs="Times New Roman"/>
      <w:sz w:val="18"/>
      <w:szCs w:val="18"/>
      <w:lang w:eastAsia="zh-CN"/>
    </w:rPr>
  </w:style>
  <w:style w:type="character" w:customStyle="1" w:styleId="31">
    <w:name w:val="页脚 字符"/>
    <w:link w:val="15"/>
    <w:uiPriority w:val="99"/>
    <w:rPr>
      <w:rFonts w:ascii="Times New Roman" w:hAnsi="Times New Roman" w:eastAsia="Times New Roman" w:cs="Times New Roman"/>
      <w:sz w:val="18"/>
      <w:szCs w:val="18"/>
      <w:lang w:eastAsia="zh-CN"/>
    </w:rPr>
  </w:style>
  <w:style w:type="character" w:customStyle="1" w:styleId="32">
    <w:name w:val="sub_tit2"/>
    <w:basedOn w:val="21"/>
    <w:qFormat/>
    <w:uiPriority w:val="0"/>
  </w:style>
  <w:style w:type="paragraph" w:customStyle="1" w:styleId="33">
    <w:name w:val="Abstract"/>
    <w:basedOn w:val="1"/>
    <w:qFormat/>
    <w:uiPriority w:val="0"/>
    <w:pPr>
      <w:ind w:firstLine="0" w:firstLineChars="0"/>
    </w:pPr>
    <w:rPr>
      <w:b/>
      <w:sz w:val="24"/>
      <w:szCs w:val="24"/>
    </w:rPr>
  </w:style>
  <w:style w:type="paragraph" w:customStyle="1" w:styleId="34">
    <w:name w:val="affiliation"/>
    <w:basedOn w:val="1"/>
    <w:next w:val="1"/>
    <w:qFormat/>
    <w:uiPriority w:val="0"/>
    <w:pPr>
      <w:widowControl/>
      <w:overflowPunct w:val="0"/>
      <w:autoSpaceDE w:val="0"/>
      <w:autoSpaceDN w:val="0"/>
      <w:adjustRightInd w:val="0"/>
      <w:spacing w:before="120"/>
      <w:ind w:firstLine="0" w:firstLineChars="0"/>
      <w:jc w:val="left"/>
      <w:textAlignment w:val="baseline"/>
    </w:pPr>
    <w:rPr>
      <w:rFonts w:eastAsia="宋体"/>
      <w:i/>
      <w:kern w:val="0"/>
      <w:sz w:val="24"/>
      <w:szCs w:val="20"/>
      <w:lang w:eastAsia="de-DE"/>
    </w:rPr>
  </w:style>
  <w:style w:type="character" w:customStyle="1" w:styleId="35">
    <w:name w:val="EndNote Bibliography 字符"/>
    <w:basedOn w:val="21"/>
    <w:link w:val="28"/>
    <w:qFormat/>
    <w:uiPriority w:val="0"/>
    <w:rPr>
      <w:rFonts w:ascii="Times New Roman" w:hAnsi="Times New Roman" w:eastAsia="Times New Roman" w:cs="Times New Roman"/>
      <w:szCs w:val="21"/>
      <w:lang w:eastAsia="zh-CN"/>
    </w:rPr>
  </w:style>
  <w:style w:type="paragraph" w:customStyle="1" w:styleId="36">
    <w:name w:val="EndNote Bibliography Title"/>
    <w:basedOn w:val="1"/>
    <w:link w:val="37"/>
    <w:qFormat/>
    <w:uiPriority w:val="0"/>
    <w:pPr>
      <w:jc w:val="center"/>
    </w:pPr>
    <w:rPr>
      <w:sz w:val="20"/>
    </w:rPr>
  </w:style>
  <w:style w:type="character" w:customStyle="1" w:styleId="37">
    <w:name w:val="EndNote Bibliography Title 字符"/>
    <w:basedOn w:val="21"/>
    <w:link w:val="36"/>
    <w:qFormat/>
    <w:uiPriority w:val="0"/>
    <w:rPr>
      <w:rFonts w:ascii="Times New Roman" w:hAnsi="Times New Roman" w:eastAsia="Times New Roman" w:cs="Times New Roman"/>
      <w:szCs w:val="21"/>
      <w:lang w:eastAsia="zh-CN"/>
    </w:rPr>
  </w:style>
  <w:style w:type="paragraph" w:customStyle="1" w:styleId="38">
    <w:name w:val="fax"/>
    <w:basedOn w:val="1"/>
    <w:next w:val="1"/>
    <w:qFormat/>
    <w:uiPriority w:val="0"/>
    <w:pPr>
      <w:widowControl/>
      <w:overflowPunct w:val="0"/>
      <w:autoSpaceDE w:val="0"/>
      <w:autoSpaceDN w:val="0"/>
      <w:adjustRightInd w:val="0"/>
      <w:spacing w:before="120"/>
      <w:ind w:firstLine="0" w:firstLineChars="0"/>
      <w:jc w:val="left"/>
      <w:textAlignment w:val="baseline"/>
    </w:pPr>
    <w:rPr>
      <w:rFonts w:eastAsia="宋体"/>
      <w:kern w:val="0"/>
      <w:sz w:val="20"/>
      <w:szCs w:val="20"/>
      <w:lang w:eastAsia="de-DE"/>
    </w:rPr>
  </w:style>
  <w:style w:type="paragraph" w:customStyle="1" w:styleId="39">
    <w:name w:val="IMR-首页页脚"/>
    <w:basedOn w:val="15"/>
    <w:qFormat/>
    <w:uiPriority w:val="0"/>
    <w:pPr>
      <w:pBdr>
        <w:top w:val="single" w:color="auto" w:sz="4" w:space="5"/>
      </w:pBdr>
      <w:ind w:firstLine="0" w:firstLineChars="0"/>
    </w:pPr>
    <w:rPr>
      <w:sz w:val="16"/>
      <w:szCs w:val="12"/>
    </w:rPr>
  </w:style>
  <w:style w:type="paragraph" w:customStyle="1" w:styleId="40">
    <w:name w:val="Keywords"/>
    <w:basedOn w:val="1"/>
    <w:qFormat/>
    <w:uiPriority w:val="0"/>
    <w:pPr>
      <w:ind w:firstLine="0" w:firstLineChars="0"/>
    </w:pPr>
    <w:rPr>
      <w:rFonts w:eastAsia="宋体"/>
      <w:b/>
    </w:rPr>
  </w:style>
  <w:style w:type="paragraph" w:customStyle="1" w:styleId="41">
    <w:name w:val="phone"/>
    <w:basedOn w:val="1"/>
    <w:next w:val="38"/>
    <w:qFormat/>
    <w:uiPriority w:val="0"/>
    <w:pPr>
      <w:widowControl/>
      <w:overflowPunct w:val="0"/>
      <w:autoSpaceDE w:val="0"/>
      <w:autoSpaceDN w:val="0"/>
      <w:adjustRightInd w:val="0"/>
      <w:spacing w:before="120"/>
      <w:ind w:firstLine="0" w:firstLineChars="0"/>
      <w:jc w:val="left"/>
      <w:textAlignment w:val="baseline"/>
    </w:pPr>
    <w:rPr>
      <w:rFonts w:eastAsia="宋体"/>
      <w:kern w:val="0"/>
      <w:sz w:val="20"/>
      <w:szCs w:val="20"/>
      <w:lang w:eastAsia="de-DE"/>
    </w:rPr>
  </w:style>
  <w:style w:type="paragraph" w:customStyle="1" w:styleId="42">
    <w:name w:val="References"/>
    <w:basedOn w:val="1"/>
    <w:link w:val="43"/>
    <w:qFormat/>
    <w:uiPriority w:val="0"/>
    <w:pPr>
      <w:autoSpaceDE w:val="0"/>
      <w:autoSpaceDN w:val="0"/>
      <w:adjustRightInd w:val="0"/>
      <w:ind w:firstLine="0" w:firstLineChars="0"/>
    </w:pPr>
    <w:rPr>
      <w:b/>
      <w:kern w:val="0"/>
      <w:sz w:val="24"/>
      <w:szCs w:val="24"/>
    </w:rPr>
  </w:style>
  <w:style w:type="character" w:customStyle="1" w:styleId="43">
    <w:name w:val="References 字符"/>
    <w:basedOn w:val="21"/>
    <w:link w:val="42"/>
    <w:qFormat/>
    <w:uiPriority w:val="0"/>
    <w:rPr>
      <w:rFonts w:ascii="Times New Roman" w:hAnsi="Times New Roman" w:eastAsia="Times New Roman" w:cs="Times New Roman"/>
      <w:b/>
      <w:kern w:val="0"/>
      <w:sz w:val="24"/>
      <w:szCs w:val="24"/>
      <w:lang w:eastAsia="zh-CN"/>
    </w:rPr>
  </w:style>
  <w:style w:type="paragraph" w:customStyle="1" w:styleId="44">
    <w:name w:val="Table Paragraph"/>
    <w:basedOn w:val="1"/>
    <w:qFormat/>
    <w:uiPriority w:val="1"/>
    <w:pPr>
      <w:autoSpaceDE w:val="0"/>
      <w:autoSpaceDN w:val="0"/>
      <w:adjustRightInd w:val="0"/>
      <w:ind w:left="133"/>
      <w:jc w:val="center"/>
    </w:pPr>
    <w:rPr>
      <w:rFonts w:ascii="Book Antiqua" w:hAnsi="Book Antiqua" w:cs="Book Antiqua"/>
      <w:kern w:val="0"/>
      <w:sz w:val="24"/>
      <w:szCs w:val="24"/>
    </w:rPr>
  </w:style>
  <w:style w:type="paragraph" w:customStyle="1" w:styleId="45">
    <w:name w:val="url"/>
    <w:basedOn w:val="1"/>
    <w:next w:val="1"/>
    <w:qFormat/>
    <w:uiPriority w:val="0"/>
    <w:pPr>
      <w:widowControl/>
      <w:overflowPunct w:val="0"/>
      <w:autoSpaceDE w:val="0"/>
      <w:autoSpaceDN w:val="0"/>
      <w:adjustRightInd w:val="0"/>
      <w:spacing w:before="120"/>
      <w:ind w:firstLine="0" w:firstLineChars="0"/>
      <w:jc w:val="left"/>
      <w:textAlignment w:val="baseline"/>
    </w:pPr>
    <w:rPr>
      <w:rFonts w:eastAsia="宋体"/>
      <w:kern w:val="0"/>
      <w:sz w:val="20"/>
      <w:szCs w:val="20"/>
      <w:lang w:eastAsia="de-DE"/>
    </w:rPr>
  </w:style>
  <w:style w:type="paragraph" w:customStyle="1" w:styleId="46">
    <w:name w:val="版权信息"/>
    <w:basedOn w:val="1"/>
    <w:qFormat/>
    <w:uiPriority w:val="0"/>
    <w:pPr>
      <w:ind w:firstLine="0" w:firstLineChars="0"/>
    </w:pPr>
  </w:style>
  <w:style w:type="character" w:customStyle="1" w:styleId="47">
    <w:name w:val="标题 1 字符"/>
    <w:link w:val="2"/>
    <w:qFormat/>
    <w:uiPriority w:val="1"/>
    <w:rPr>
      <w:rFonts w:ascii="Times New Roman" w:hAnsi="Times New Roman" w:eastAsia="Times New Roman" w:cs="Book Antiqua"/>
      <w:b/>
      <w:bCs/>
      <w:kern w:val="0"/>
      <w:sz w:val="24"/>
      <w:szCs w:val="20"/>
      <w:lang w:eastAsia="zh-CN"/>
    </w:rPr>
  </w:style>
  <w:style w:type="character" w:customStyle="1" w:styleId="48">
    <w:name w:val="标题 2 字符"/>
    <w:link w:val="3"/>
    <w:qFormat/>
    <w:uiPriority w:val="9"/>
    <w:rPr>
      <w:rFonts w:ascii="Times New Roman" w:hAnsi="Times New Roman" w:eastAsia="Times New Roman" w:cs="Times New Roman"/>
      <w:b/>
      <w:bCs/>
      <w:i/>
      <w:sz w:val="22"/>
      <w:szCs w:val="21"/>
      <w:lang w:eastAsia="zh-CN"/>
    </w:rPr>
  </w:style>
  <w:style w:type="character" w:customStyle="1" w:styleId="49">
    <w:name w:val="标题 3 字符"/>
    <w:link w:val="4"/>
    <w:qFormat/>
    <w:uiPriority w:val="9"/>
    <w:rPr>
      <w:rFonts w:ascii="Times New Roman" w:hAnsi="Times New Roman" w:eastAsia="Times New Roman" w:cs="Times New Roman"/>
      <w:bCs/>
      <w:i/>
      <w:sz w:val="22"/>
      <w:szCs w:val="32"/>
      <w:lang w:eastAsia="zh-CN"/>
    </w:rPr>
  </w:style>
  <w:style w:type="character" w:customStyle="1" w:styleId="50">
    <w:name w:val="标题 4 字符"/>
    <w:link w:val="5"/>
    <w:qFormat/>
    <w:uiPriority w:val="9"/>
    <w:rPr>
      <w:rFonts w:ascii="Calibri Light" w:hAnsi="Calibri Light" w:eastAsia="NimbusRomNo9L" w:cs="NimbusRomNo9L"/>
      <w:b/>
      <w:bCs/>
      <w:kern w:val="0"/>
      <w:sz w:val="28"/>
      <w:szCs w:val="28"/>
      <w:lang w:eastAsia="zh-CN"/>
    </w:rPr>
  </w:style>
  <w:style w:type="character" w:customStyle="1" w:styleId="51">
    <w:name w:val="标题 5 字符"/>
    <w:link w:val="6"/>
    <w:qFormat/>
    <w:uiPriority w:val="9"/>
    <w:rPr>
      <w:rFonts w:ascii="Times New Roman" w:hAnsi="Times New Roman" w:eastAsia="Times New Roman" w:cs="Times New Roman"/>
      <w:b/>
      <w:bCs/>
      <w:sz w:val="28"/>
      <w:szCs w:val="28"/>
      <w:lang w:eastAsia="zh-CN"/>
    </w:rPr>
  </w:style>
  <w:style w:type="character" w:customStyle="1" w:styleId="52">
    <w:name w:val="标题 6 字符"/>
    <w:basedOn w:val="21"/>
    <w:link w:val="7"/>
    <w:qFormat/>
    <w:uiPriority w:val="9"/>
    <w:rPr>
      <w:rFonts w:asciiTheme="majorHAnsi" w:hAnsiTheme="majorHAnsi" w:eastAsiaTheme="majorEastAsia" w:cstheme="majorBidi"/>
      <w:b/>
      <w:bCs/>
      <w:sz w:val="24"/>
      <w:szCs w:val="24"/>
      <w:lang w:eastAsia="zh-CN"/>
    </w:rPr>
  </w:style>
  <w:style w:type="character" w:customStyle="1" w:styleId="53">
    <w:name w:val="标题 7 字符"/>
    <w:basedOn w:val="21"/>
    <w:link w:val="8"/>
    <w:qFormat/>
    <w:uiPriority w:val="9"/>
    <w:rPr>
      <w:rFonts w:ascii="Times New Roman" w:hAnsi="Times New Roman" w:eastAsia="Times New Roman" w:cs="Times New Roman"/>
      <w:b/>
      <w:bCs/>
      <w:sz w:val="24"/>
      <w:szCs w:val="24"/>
      <w:lang w:eastAsia="zh-CN"/>
    </w:rPr>
  </w:style>
  <w:style w:type="character" w:customStyle="1" w:styleId="54">
    <w:name w:val="标题 8 字符"/>
    <w:basedOn w:val="21"/>
    <w:link w:val="9"/>
    <w:qFormat/>
    <w:uiPriority w:val="9"/>
    <w:rPr>
      <w:rFonts w:asciiTheme="majorHAnsi" w:hAnsiTheme="majorHAnsi" w:eastAsiaTheme="majorEastAsia" w:cstheme="majorBidi"/>
      <w:sz w:val="24"/>
      <w:szCs w:val="24"/>
      <w:lang w:eastAsia="zh-CN"/>
    </w:rPr>
  </w:style>
  <w:style w:type="character" w:customStyle="1" w:styleId="55">
    <w:name w:val="标题 9 字符"/>
    <w:basedOn w:val="21"/>
    <w:link w:val="10"/>
    <w:semiHidden/>
    <w:qFormat/>
    <w:uiPriority w:val="9"/>
    <w:rPr>
      <w:rFonts w:asciiTheme="majorHAnsi" w:hAnsiTheme="majorHAnsi" w:eastAsiaTheme="majorEastAsia" w:cstheme="majorBidi"/>
      <w:sz w:val="21"/>
      <w:szCs w:val="21"/>
      <w:lang w:eastAsia="zh-CN"/>
    </w:rPr>
  </w:style>
  <w:style w:type="paragraph" w:customStyle="1" w:styleId="56">
    <w:name w:val="表题"/>
    <w:basedOn w:val="1"/>
    <w:qFormat/>
    <w:uiPriority w:val="0"/>
    <w:pPr>
      <w:adjustRightInd w:val="0"/>
      <w:snapToGrid w:val="0"/>
      <w:spacing w:before="240" w:beforeLines="100" w:after="240" w:afterLines="100"/>
      <w:ind w:left="420" w:leftChars="200" w:firstLine="0" w:firstLineChars="0"/>
      <w:jc w:val="center"/>
    </w:pPr>
    <w:rPr>
      <w:b/>
    </w:rPr>
  </w:style>
  <w:style w:type="paragraph" w:customStyle="1" w:styleId="57">
    <w:name w:val="表注"/>
    <w:basedOn w:val="1"/>
    <w:qFormat/>
    <w:uiPriority w:val="0"/>
    <w:pPr>
      <w:snapToGrid w:val="0"/>
      <w:ind w:firstLine="0" w:firstLineChars="0"/>
    </w:pPr>
  </w:style>
  <w:style w:type="paragraph" w:customStyle="1" w:styleId="58">
    <w:name w:val="参考文献"/>
    <w:basedOn w:val="1"/>
    <w:qFormat/>
    <w:uiPriority w:val="0"/>
    <w:pPr>
      <w:ind w:left="360" w:hanging="360" w:hangingChars="200"/>
    </w:pPr>
    <w:rPr>
      <w:rFonts w:eastAsiaTheme="minorEastAsia" w:cstheme="minorBidi"/>
      <w:sz w:val="18"/>
      <w:szCs w:val="24"/>
    </w:rPr>
  </w:style>
  <w:style w:type="paragraph" w:customStyle="1" w:styleId="59">
    <w:name w:val="稿件类型"/>
    <w:basedOn w:val="1"/>
    <w:qFormat/>
    <w:uiPriority w:val="0"/>
    <w:pPr>
      <w:ind w:firstLine="0" w:firstLineChars="0"/>
      <w:jc w:val="left"/>
    </w:pPr>
    <w:rPr>
      <w:rFonts w:eastAsia="宋体" w:cstheme="minorBidi"/>
      <w:sz w:val="20"/>
    </w:rPr>
  </w:style>
  <w:style w:type="paragraph" w:customStyle="1" w:styleId="60">
    <w:name w:val="关键词"/>
    <w:basedOn w:val="40"/>
    <w:qFormat/>
    <w:uiPriority w:val="0"/>
    <w:rPr>
      <w:rFonts w:eastAsia="Times New Roman"/>
      <w:b w:val="0"/>
    </w:rPr>
  </w:style>
  <w:style w:type="paragraph" w:customStyle="1" w:styleId="61">
    <w:name w:val="机构信息"/>
    <w:basedOn w:val="1"/>
    <w:link w:val="62"/>
    <w:qFormat/>
    <w:uiPriority w:val="0"/>
    <w:pPr>
      <w:ind w:firstLine="0" w:firstLineChars="0"/>
    </w:pPr>
    <w:rPr>
      <w:rFonts w:cstheme="minorBidi"/>
      <w:i/>
    </w:rPr>
  </w:style>
  <w:style w:type="character" w:customStyle="1" w:styleId="62">
    <w:name w:val="机构信息 字符"/>
    <w:link w:val="61"/>
    <w:qFormat/>
    <w:uiPriority w:val="0"/>
    <w:rPr>
      <w:rFonts w:ascii="Times New Roman" w:hAnsi="Times New Roman" w:eastAsia="Times New Roman"/>
      <w:i/>
      <w:sz w:val="21"/>
      <w:szCs w:val="21"/>
      <w:lang w:eastAsia="zh-CN"/>
    </w:rPr>
  </w:style>
  <w:style w:type="paragraph" w:customStyle="1" w:styleId="63">
    <w:name w:val="接收日期"/>
    <w:basedOn w:val="1"/>
    <w:qFormat/>
    <w:uiPriority w:val="0"/>
    <w:pPr>
      <w:ind w:firstLine="0" w:firstLineChars="0"/>
    </w:pPr>
  </w:style>
  <w:style w:type="paragraph" w:styleId="64">
    <w:name w:val="List Paragraph"/>
    <w:basedOn w:val="1"/>
    <w:qFormat/>
    <w:uiPriority w:val="1"/>
    <w:pPr>
      <w:autoSpaceDE w:val="0"/>
      <w:autoSpaceDN w:val="0"/>
      <w:adjustRightInd w:val="0"/>
      <w:spacing w:before="3"/>
      <w:ind w:left="561" w:right="126" w:hanging="431"/>
    </w:pPr>
    <w:rPr>
      <w:rFonts w:ascii="Book Antiqua" w:hAnsi="Book Antiqua" w:cs="Book Antiqua"/>
      <w:kern w:val="0"/>
      <w:sz w:val="24"/>
      <w:szCs w:val="24"/>
    </w:rPr>
  </w:style>
  <w:style w:type="character" w:customStyle="1" w:styleId="65">
    <w:name w:val="批注框文本 字符"/>
    <w:basedOn w:val="21"/>
    <w:link w:val="14"/>
    <w:semiHidden/>
    <w:qFormat/>
    <w:uiPriority w:val="99"/>
    <w:rPr>
      <w:rFonts w:ascii="Times New Roman" w:hAnsi="Times New Roman" w:eastAsia="Times New Roman" w:cs="Times New Roman"/>
      <w:sz w:val="18"/>
      <w:szCs w:val="18"/>
      <w:lang w:eastAsia="zh-CN"/>
    </w:rPr>
  </w:style>
  <w:style w:type="character" w:customStyle="1" w:styleId="66">
    <w:name w:val="批注文字 字符"/>
    <w:basedOn w:val="21"/>
    <w:link w:val="12"/>
    <w:semiHidden/>
    <w:qFormat/>
    <w:uiPriority w:val="99"/>
    <w:rPr>
      <w:rFonts w:ascii="Times New Roman" w:hAnsi="Times New Roman" w:eastAsia="Times New Roman" w:cs="Times New Roman"/>
      <w:sz w:val="21"/>
      <w:szCs w:val="21"/>
      <w:lang w:eastAsia="zh-CN"/>
    </w:rPr>
  </w:style>
  <w:style w:type="character" w:customStyle="1" w:styleId="67">
    <w:name w:val="批注主题 字符"/>
    <w:basedOn w:val="66"/>
    <w:link w:val="18"/>
    <w:semiHidden/>
    <w:qFormat/>
    <w:uiPriority w:val="99"/>
    <w:rPr>
      <w:rFonts w:ascii="Times New Roman" w:hAnsi="Times New Roman" w:eastAsia="Times New Roman" w:cs="Times New Roman"/>
      <w:b/>
      <w:bCs/>
      <w:sz w:val="21"/>
      <w:szCs w:val="21"/>
      <w:lang w:eastAsia="zh-CN"/>
    </w:rPr>
  </w:style>
  <w:style w:type="paragraph" w:customStyle="1" w:styleId="68">
    <w:name w:val="通讯作者"/>
    <w:basedOn w:val="1"/>
    <w:qFormat/>
    <w:uiPriority w:val="0"/>
    <w:pPr>
      <w:ind w:firstLine="0" w:firstLineChars="0"/>
    </w:pPr>
  </w:style>
  <w:style w:type="paragraph" w:customStyle="1" w:styleId="69">
    <w:name w:val="图注"/>
    <w:basedOn w:val="1"/>
    <w:qFormat/>
    <w:uiPriority w:val="0"/>
    <w:pPr>
      <w:ind w:firstLine="0" w:firstLineChars="0"/>
    </w:pPr>
  </w:style>
  <w:style w:type="table" w:customStyle="1" w:styleId="70">
    <w:name w:val="网格表 5 深色 - 着色 11"/>
    <w:basedOn w:val="19"/>
    <w:qFormat/>
    <w:uiPriority w:val="50"/>
    <w:pPr>
      <w:spacing w:after="0" w:line="240" w:lineRule="auto"/>
      <w:jc w:val="left"/>
    </w:pPr>
    <w:rPr>
      <w:rFonts w:ascii="Times New Roman" w:hAnsi="Times New Roman" w:eastAsia="宋体" w:cs="Times New Roman"/>
      <w:kern w:val="0"/>
      <w:szCs w:val="20"/>
      <w:lang w:eastAsia="zh-CN"/>
    </w:rPr>
    <w:tblPr>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Pr>
    <w:tcPr>
      <w:shd w:val="clear" w:color="auto" w:fill="D9E2F3"/>
    </w:tcPr>
    <w:tblStylePr w:type="firstRow">
      <w:rPr>
        <w:b/>
        <w:bCs/>
        <w:color w:val="FFFFFF"/>
      </w:rPr>
      <w:tcPr>
        <w:tcBorders>
          <w:top w:val="single" w:color="FFFFFF" w:sz="4" w:space="0"/>
          <w:left w:val="single" w:color="FFFFFF" w:sz="4" w:space="0"/>
          <w:right w:val="single" w:color="FFFFFF" w:sz="4" w:space="0"/>
          <w:insideH w:val="nil"/>
          <w:insideV w:val="nil"/>
        </w:tcBorders>
        <w:shd w:val="clear" w:color="auto" w:fill="4472C4"/>
      </w:tcPr>
    </w:tblStylePr>
    <w:tblStylePr w:type="lastRow">
      <w:rPr>
        <w:b/>
        <w:bCs/>
        <w:color w:val="FFFFFF"/>
      </w:rPr>
      <w:tcPr>
        <w:tcBorders>
          <w:left w:val="single" w:color="FFFFFF" w:sz="4" w:space="0"/>
          <w:bottom w:val="single" w:color="FFFFFF" w:sz="4" w:space="0"/>
          <w:right w:val="single" w:color="FFFFFF" w:sz="4" w:space="0"/>
          <w:insideH w:val="nil"/>
          <w:insideV w:val="nil"/>
        </w:tcBorders>
        <w:shd w:val="clear" w:color="auto" w:fill="4472C4"/>
      </w:tcPr>
    </w:tblStylePr>
    <w:tblStylePr w:type="firstCol">
      <w:rPr>
        <w:b/>
        <w:bCs/>
        <w:color w:val="FFFFFF"/>
      </w:rPr>
      <w:tcPr>
        <w:tcBorders>
          <w:top w:val="single" w:color="FFFFFF" w:sz="4" w:space="0"/>
          <w:left w:val="single" w:color="FFFFFF" w:sz="4" w:space="0"/>
          <w:bottom w:val="single" w:color="FFFFFF" w:sz="4" w:space="0"/>
          <w:insideV w:val="nil"/>
        </w:tcBorders>
        <w:shd w:val="clear" w:color="auto" w:fill="4472C4"/>
      </w:tcPr>
    </w:tblStylePr>
    <w:tblStylePr w:type="lastCol">
      <w:rPr>
        <w:b/>
        <w:bCs/>
        <w:color w:val="FFFFFF"/>
      </w:rPr>
      <w:tcPr>
        <w:tcBorders>
          <w:top w:val="single" w:color="FFFFFF" w:sz="4" w:space="0"/>
          <w:bottom w:val="single" w:color="FFFFFF" w:sz="4" w:space="0"/>
          <w:right w:val="single" w:color="FFFFFF" w:sz="4" w:space="0"/>
          <w:insideV w:val="nil"/>
        </w:tcBorders>
        <w:shd w:val="clear" w:color="auto" w:fill="4472C4"/>
      </w:tcPr>
    </w:tblStylePr>
    <w:tblStylePr w:type="band1Vert">
      <w:tcPr>
        <w:shd w:val="clear" w:color="auto" w:fill="B4C6E7"/>
      </w:tcPr>
    </w:tblStylePr>
    <w:tblStylePr w:type="band1Horz">
      <w:tcPr>
        <w:shd w:val="clear" w:color="auto" w:fill="B4C6E7"/>
      </w:tcPr>
    </w:tblStylePr>
  </w:style>
  <w:style w:type="table" w:customStyle="1" w:styleId="71">
    <w:name w:val="网格表 5 深色 - 着色 111"/>
    <w:basedOn w:val="19"/>
    <w:qFormat/>
    <w:uiPriority w:val="50"/>
    <w:pPr>
      <w:spacing w:after="0" w:line="240" w:lineRule="auto"/>
      <w:jc w:val="left"/>
    </w:pPr>
    <w:rPr>
      <w:rFonts w:ascii="Times New Roman" w:hAnsi="Times New Roman" w:eastAsia="宋体" w:cs="Times New Roman"/>
      <w:kern w:val="0"/>
      <w:szCs w:val="20"/>
      <w:lang w:eastAsia="zh-CN"/>
    </w:rPr>
    <w:tblPr>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Pr>
    <w:tcPr>
      <w:shd w:val="clear" w:color="auto" w:fill="D9E2F3"/>
    </w:tcPr>
    <w:tblStylePr w:type="firstRow">
      <w:rPr>
        <w:b/>
        <w:bCs/>
        <w:color w:val="FFFFFF"/>
      </w:rPr>
      <w:tcPr>
        <w:tcBorders>
          <w:top w:val="single" w:color="FFFFFF" w:sz="4" w:space="0"/>
          <w:left w:val="single" w:color="FFFFFF" w:sz="4" w:space="0"/>
          <w:right w:val="single" w:color="FFFFFF" w:sz="4" w:space="0"/>
          <w:insideH w:val="nil"/>
          <w:insideV w:val="nil"/>
        </w:tcBorders>
        <w:shd w:val="clear" w:color="auto" w:fill="4472C4"/>
      </w:tcPr>
    </w:tblStylePr>
    <w:tblStylePr w:type="lastRow">
      <w:rPr>
        <w:b/>
        <w:bCs/>
        <w:color w:val="FFFFFF"/>
      </w:rPr>
      <w:tcPr>
        <w:tcBorders>
          <w:left w:val="single" w:color="FFFFFF" w:sz="4" w:space="0"/>
          <w:bottom w:val="single" w:color="FFFFFF" w:sz="4" w:space="0"/>
          <w:right w:val="single" w:color="FFFFFF" w:sz="4" w:space="0"/>
          <w:insideH w:val="nil"/>
          <w:insideV w:val="nil"/>
        </w:tcBorders>
        <w:shd w:val="clear" w:color="auto" w:fill="4472C4"/>
      </w:tcPr>
    </w:tblStylePr>
    <w:tblStylePr w:type="firstCol">
      <w:rPr>
        <w:b/>
        <w:bCs/>
        <w:color w:val="FFFFFF"/>
      </w:rPr>
      <w:tcPr>
        <w:tcBorders>
          <w:top w:val="single" w:color="FFFFFF" w:sz="4" w:space="0"/>
          <w:left w:val="single" w:color="FFFFFF" w:sz="4" w:space="0"/>
          <w:bottom w:val="single" w:color="FFFFFF" w:sz="4" w:space="0"/>
          <w:insideV w:val="nil"/>
        </w:tcBorders>
        <w:shd w:val="clear" w:color="auto" w:fill="4472C4"/>
      </w:tcPr>
    </w:tblStylePr>
    <w:tblStylePr w:type="lastCol">
      <w:rPr>
        <w:b/>
        <w:bCs/>
        <w:color w:val="FFFFFF"/>
      </w:rPr>
      <w:tcPr>
        <w:tcBorders>
          <w:top w:val="single" w:color="FFFFFF" w:sz="4" w:space="0"/>
          <w:bottom w:val="single" w:color="FFFFFF" w:sz="4" w:space="0"/>
          <w:right w:val="single" w:color="FFFFFF" w:sz="4" w:space="0"/>
          <w:insideV w:val="nil"/>
        </w:tcBorders>
        <w:shd w:val="clear" w:color="auto" w:fill="4472C4"/>
      </w:tcPr>
    </w:tblStylePr>
    <w:tblStylePr w:type="band1Vert">
      <w:tcPr>
        <w:shd w:val="clear" w:color="auto" w:fill="B4C6E7"/>
      </w:tcPr>
    </w:tblStylePr>
    <w:tblStylePr w:type="band1Horz">
      <w:tcPr>
        <w:shd w:val="clear" w:color="auto" w:fill="B4C6E7"/>
      </w:tcPr>
    </w:tblStylePr>
  </w:style>
  <w:style w:type="table" w:customStyle="1" w:styleId="72">
    <w:name w:val="网格表 5 深色 - 着色 112"/>
    <w:basedOn w:val="19"/>
    <w:qFormat/>
    <w:uiPriority w:val="50"/>
    <w:pPr>
      <w:spacing w:after="0" w:line="240" w:lineRule="auto"/>
      <w:jc w:val="left"/>
    </w:pPr>
    <w:rPr>
      <w:rFonts w:ascii="Times New Roman" w:hAnsi="Times New Roman" w:eastAsia="宋体" w:cs="Times New Roman"/>
      <w:kern w:val="0"/>
      <w:szCs w:val="20"/>
      <w:lang w:eastAsia="zh-CN"/>
    </w:rPr>
    <w:tblPr>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Pr>
    <w:tcPr>
      <w:shd w:val="clear" w:color="auto" w:fill="D9E2F3"/>
    </w:tcPr>
    <w:tblStylePr w:type="firstRow">
      <w:rPr>
        <w:b/>
        <w:bCs/>
        <w:color w:val="FFFFFF"/>
      </w:rPr>
      <w:tcPr>
        <w:tcBorders>
          <w:top w:val="single" w:color="FFFFFF" w:sz="4" w:space="0"/>
          <w:left w:val="single" w:color="FFFFFF" w:sz="4" w:space="0"/>
          <w:right w:val="single" w:color="FFFFFF" w:sz="4" w:space="0"/>
          <w:insideH w:val="nil"/>
          <w:insideV w:val="nil"/>
        </w:tcBorders>
        <w:shd w:val="clear" w:color="auto" w:fill="4472C4"/>
      </w:tcPr>
    </w:tblStylePr>
    <w:tblStylePr w:type="lastRow">
      <w:rPr>
        <w:b/>
        <w:bCs/>
        <w:color w:val="FFFFFF"/>
      </w:rPr>
      <w:tcPr>
        <w:tcBorders>
          <w:left w:val="single" w:color="FFFFFF" w:sz="4" w:space="0"/>
          <w:bottom w:val="single" w:color="FFFFFF" w:sz="4" w:space="0"/>
          <w:right w:val="single" w:color="FFFFFF" w:sz="4" w:space="0"/>
          <w:insideH w:val="nil"/>
          <w:insideV w:val="nil"/>
        </w:tcBorders>
        <w:shd w:val="clear" w:color="auto" w:fill="4472C4"/>
      </w:tcPr>
    </w:tblStylePr>
    <w:tblStylePr w:type="firstCol">
      <w:rPr>
        <w:b/>
        <w:bCs/>
        <w:color w:val="FFFFFF"/>
      </w:rPr>
      <w:tcPr>
        <w:tcBorders>
          <w:top w:val="single" w:color="FFFFFF" w:sz="4" w:space="0"/>
          <w:left w:val="single" w:color="FFFFFF" w:sz="4" w:space="0"/>
          <w:bottom w:val="single" w:color="FFFFFF" w:sz="4" w:space="0"/>
          <w:insideV w:val="nil"/>
        </w:tcBorders>
        <w:shd w:val="clear" w:color="auto" w:fill="4472C4"/>
      </w:tcPr>
    </w:tblStylePr>
    <w:tblStylePr w:type="lastCol">
      <w:rPr>
        <w:b/>
        <w:bCs/>
        <w:color w:val="FFFFFF"/>
      </w:rPr>
      <w:tcPr>
        <w:tcBorders>
          <w:top w:val="single" w:color="FFFFFF" w:sz="4" w:space="0"/>
          <w:bottom w:val="single" w:color="FFFFFF" w:sz="4" w:space="0"/>
          <w:right w:val="single" w:color="FFFFFF" w:sz="4" w:space="0"/>
          <w:insideV w:val="nil"/>
        </w:tcBorders>
        <w:shd w:val="clear" w:color="auto" w:fill="4472C4"/>
      </w:tcPr>
    </w:tblStylePr>
    <w:tblStylePr w:type="band1Vert">
      <w:tcPr>
        <w:shd w:val="clear" w:color="auto" w:fill="B4C6E7"/>
      </w:tcPr>
    </w:tblStylePr>
    <w:tblStylePr w:type="band1Horz">
      <w:tcPr>
        <w:shd w:val="clear" w:color="auto" w:fill="B4C6E7"/>
      </w:tcPr>
    </w:tblStylePr>
  </w:style>
  <w:style w:type="paragraph" w:customStyle="1" w:styleId="73">
    <w:name w:val="文章标题"/>
    <w:basedOn w:val="1"/>
    <w:link w:val="74"/>
    <w:qFormat/>
    <w:uiPriority w:val="0"/>
    <w:pPr>
      <w:kinsoku w:val="0"/>
      <w:overflowPunct w:val="0"/>
      <w:autoSpaceDE w:val="0"/>
      <w:autoSpaceDN w:val="0"/>
      <w:adjustRightInd w:val="0"/>
      <w:ind w:firstLine="0" w:firstLineChars="0"/>
    </w:pPr>
    <w:rPr>
      <w:rFonts w:cstheme="minorBidi"/>
      <w:b/>
      <w:bCs/>
      <w:spacing w:val="-8"/>
      <w:sz w:val="36"/>
      <w:szCs w:val="36"/>
    </w:rPr>
  </w:style>
  <w:style w:type="character" w:customStyle="1" w:styleId="74">
    <w:name w:val="文章标题 字符"/>
    <w:link w:val="73"/>
    <w:qFormat/>
    <w:uiPriority w:val="0"/>
    <w:rPr>
      <w:rFonts w:ascii="Times New Roman" w:hAnsi="Times New Roman" w:eastAsia="Times New Roman"/>
      <w:b/>
      <w:bCs/>
      <w:spacing w:val="-8"/>
      <w:sz w:val="36"/>
      <w:szCs w:val="36"/>
      <w:lang w:eastAsia="zh-CN"/>
    </w:rPr>
  </w:style>
  <w:style w:type="paragraph" w:customStyle="1" w:styleId="75">
    <w:name w:val="文章内容"/>
    <w:basedOn w:val="1"/>
    <w:link w:val="76"/>
    <w:qFormat/>
    <w:uiPriority w:val="0"/>
    <w:pPr>
      <w:ind w:firstLine="420"/>
    </w:pPr>
    <w:rPr>
      <w:color w:val="000000"/>
    </w:rPr>
  </w:style>
  <w:style w:type="character" w:customStyle="1" w:styleId="76">
    <w:name w:val="文章内容 字符"/>
    <w:link w:val="75"/>
    <w:qFormat/>
    <w:uiPriority w:val="0"/>
    <w:rPr>
      <w:rFonts w:ascii="Times New Roman" w:hAnsi="Times New Roman" w:eastAsia="Times New Roman" w:cs="Times New Roman"/>
      <w:color w:val="000000"/>
      <w:sz w:val="21"/>
      <w:szCs w:val="21"/>
      <w:lang w:eastAsia="zh-CN"/>
    </w:rPr>
  </w:style>
  <w:style w:type="paragraph" w:customStyle="1" w:styleId="77">
    <w:name w:val="摘要"/>
    <w:basedOn w:val="33"/>
    <w:qFormat/>
    <w:uiPriority w:val="0"/>
    <w:rPr>
      <w:b w:val="0"/>
      <w:sz w:val="21"/>
      <w:szCs w:val="21"/>
    </w:rPr>
  </w:style>
  <w:style w:type="character" w:styleId="78">
    <w:name w:val="Placeholder Text"/>
    <w:semiHidden/>
    <w:qFormat/>
    <w:uiPriority w:val="99"/>
    <w:rPr>
      <w:color w:val="808080"/>
    </w:rPr>
  </w:style>
  <w:style w:type="character" w:customStyle="1" w:styleId="79">
    <w:name w:val="正文文本 字符"/>
    <w:link w:val="13"/>
    <w:qFormat/>
    <w:uiPriority w:val="1"/>
    <w:rPr>
      <w:rFonts w:ascii="Times New Roman" w:hAnsi="Times New Roman" w:eastAsia="Times New Roman" w:cs="Times New Roman"/>
      <w:kern w:val="0"/>
      <w:sz w:val="21"/>
      <w:szCs w:val="21"/>
      <w:lang w:eastAsia="zh-CN"/>
    </w:rPr>
  </w:style>
  <w:style w:type="paragraph" w:customStyle="1" w:styleId="80">
    <w:name w:val="致谢部分"/>
    <w:basedOn w:val="13"/>
    <w:link w:val="81"/>
    <w:qFormat/>
    <w:uiPriority w:val="0"/>
    <w:pPr>
      <w:ind w:firstLine="0" w:firstLineChars="0"/>
    </w:pPr>
    <w:rPr>
      <w:b/>
      <w:sz w:val="24"/>
      <w:szCs w:val="24"/>
    </w:rPr>
  </w:style>
  <w:style w:type="character" w:customStyle="1" w:styleId="81">
    <w:name w:val="致谢部分 字符"/>
    <w:basedOn w:val="79"/>
    <w:link w:val="80"/>
    <w:qFormat/>
    <w:uiPriority w:val="0"/>
    <w:rPr>
      <w:rFonts w:ascii="Times New Roman" w:hAnsi="Times New Roman" w:eastAsia="Times New Roman" w:cs="Times New Roman"/>
      <w:b/>
      <w:kern w:val="0"/>
      <w:sz w:val="24"/>
      <w:szCs w:val="24"/>
      <w:lang w:eastAsia="zh-CN"/>
    </w:rPr>
  </w:style>
  <w:style w:type="paragraph" w:customStyle="1" w:styleId="82">
    <w:name w:val="作者信息"/>
    <w:basedOn w:val="1"/>
    <w:qFormat/>
    <w:uiPriority w:val="0"/>
    <w:pPr>
      <w:ind w:firstLine="0" w:firstLineChars="0"/>
    </w:pPr>
    <w:rPr>
      <w:rFonts w:cstheme="minorBidi"/>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맑은 고딕"/>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HP</Company>
  <Pages>14</Pages>
  <Words>2727</Words>
  <Characters>15549</Characters>
  <Lines>129</Lines>
  <Paragraphs>36</Paragraphs>
  <TotalTime>204</TotalTime>
  <ScaleCrop>false</ScaleCrop>
  <LinksUpToDate>false</LinksUpToDate>
  <CharactersWithSpaces>18240</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2021-05-21T03:31:00Z</dcterms:created>
  <dc:creator>정보영(내과학교실)</dc:creator>
  <cp:lastModifiedBy>tongqh</cp:lastModifiedBy>
  <dcterms:modified xsi:type="dcterms:W3CDTF">2022-03-04T05:34:39Z</dcterms:modified>
  <cp:revision>19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EF0D996FB53F4859A1BFEF2A974B7196</vt:lpwstr>
  </property>
</Properties>
</file>