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45EB37" w14:textId="4654D65E" w:rsidR="00725779" w:rsidRDefault="002F60D9" w:rsidP="00725779">
      <w:pPr>
        <w:pStyle w:val="aa"/>
        <w:spacing w:before="312" w:after="312"/>
        <w:ind w:left="420"/>
        <w:rPr>
          <w:rFonts w:eastAsia="宋体"/>
          <w:shd w:val="clear" w:color="auto" w:fill="FFFFFF"/>
        </w:rPr>
      </w:pPr>
      <w:r>
        <w:t>S</w:t>
      </w:r>
      <w:r w:rsidR="00725779" w:rsidRPr="006316DD">
        <w:t>upplementary</w:t>
      </w:r>
      <w:r w:rsidR="00725779" w:rsidRPr="00521C2E">
        <w:t xml:space="preserve"> Table</w:t>
      </w:r>
      <w:r w:rsidR="00725779">
        <w:t xml:space="preserve"> 1</w:t>
      </w:r>
      <w:r w:rsidR="00725779" w:rsidRPr="00521C2E">
        <w:t>.</w:t>
      </w:r>
      <w:r w:rsidR="00725779">
        <w:rPr>
          <w:rFonts w:eastAsia="宋体" w:hint="eastAsia"/>
          <w:shd w:val="clear" w:color="auto" w:fill="FFFFFF"/>
        </w:rPr>
        <w:t xml:space="preserve"> </w:t>
      </w:r>
      <w:r w:rsidR="00320B81">
        <w:rPr>
          <w:rFonts w:eastAsia="宋体" w:hint="eastAsia"/>
          <w:shd w:val="clear" w:color="auto" w:fill="FFFFFF"/>
        </w:rPr>
        <w:t>Risk of bias of included Randomized Controlled Trials</w:t>
      </w:r>
      <w:r w:rsidR="00EA046F">
        <w:rPr>
          <w:rFonts w:eastAsia="宋体" w:hint="eastAsia"/>
          <w:shd w:val="clear" w:color="auto" w:fill="FFFFFF"/>
        </w:rPr>
        <w:t xml:space="preserve"> </w:t>
      </w:r>
      <w:r w:rsidR="00EA046F" w:rsidRPr="00EA046F">
        <w:rPr>
          <w:rFonts w:eastAsia="宋体"/>
          <w:shd w:val="clear" w:color="auto" w:fill="FFFFFF"/>
        </w:rPr>
        <w:t>(Ref. [</w:t>
      </w:r>
      <w:r w:rsidR="00083535">
        <w:rPr>
          <w:rFonts w:eastAsia="宋体"/>
          <w:shd w:val="clear" w:color="auto" w:fill="FFFFFF"/>
        </w:rPr>
        <w:t>1–6</w:t>
      </w:r>
      <w:r w:rsidR="00EA046F" w:rsidRPr="00EA046F">
        <w:rPr>
          <w:rFonts w:eastAsia="宋体"/>
          <w:shd w:val="clear" w:color="auto" w:fill="FFFFFF"/>
        </w:rPr>
        <w:t>]).</w:t>
      </w:r>
    </w:p>
    <w:tbl>
      <w:tblPr>
        <w:tblW w:w="102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134"/>
        <w:gridCol w:w="1417"/>
        <w:gridCol w:w="1418"/>
        <w:gridCol w:w="1276"/>
        <w:gridCol w:w="1275"/>
        <w:gridCol w:w="993"/>
        <w:gridCol w:w="1222"/>
      </w:tblGrid>
      <w:tr w:rsidR="00725779" w:rsidRPr="00DB2CCA" w14:paraId="1992688E" w14:textId="77777777" w:rsidTr="0046586B">
        <w:trPr>
          <w:trHeight w:val="1137"/>
          <w:jc w:val="center"/>
        </w:trPr>
        <w:tc>
          <w:tcPr>
            <w:tcW w:w="1526" w:type="dxa"/>
          </w:tcPr>
          <w:p w14:paraId="4E5D4AD6" w14:textId="77777777" w:rsidR="00725779" w:rsidRDefault="00725779" w:rsidP="002F60D9">
            <w:pPr>
              <w:pStyle w:val="afc"/>
              <w:jc w:val="left"/>
              <w:rPr>
                <w:rFonts w:eastAsia="宋体"/>
                <w:lang w:val="en-AU"/>
              </w:rPr>
            </w:pPr>
          </w:p>
          <w:p w14:paraId="6C0CD3DF" w14:textId="77777777" w:rsidR="00725779" w:rsidRPr="00DB2CCA" w:rsidRDefault="00725779" w:rsidP="002F60D9">
            <w:pPr>
              <w:pStyle w:val="afc"/>
              <w:jc w:val="left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Source</w:t>
            </w:r>
          </w:p>
        </w:tc>
        <w:tc>
          <w:tcPr>
            <w:tcW w:w="1134" w:type="dxa"/>
            <w:noWrap/>
            <w:vAlign w:val="center"/>
          </w:tcPr>
          <w:p w14:paraId="432913F0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random sequence generation</w:t>
            </w:r>
          </w:p>
        </w:tc>
        <w:tc>
          <w:tcPr>
            <w:tcW w:w="1417" w:type="dxa"/>
            <w:noWrap/>
            <w:vAlign w:val="center"/>
          </w:tcPr>
          <w:p w14:paraId="19EEB6D5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allocation concealment</w:t>
            </w:r>
          </w:p>
        </w:tc>
        <w:tc>
          <w:tcPr>
            <w:tcW w:w="1418" w:type="dxa"/>
            <w:noWrap/>
            <w:vAlign w:val="center"/>
          </w:tcPr>
          <w:p w14:paraId="75E8B848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blinding of participants and personnel</w:t>
            </w:r>
          </w:p>
        </w:tc>
        <w:tc>
          <w:tcPr>
            <w:tcW w:w="1276" w:type="dxa"/>
            <w:noWrap/>
            <w:vAlign w:val="center"/>
          </w:tcPr>
          <w:p w14:paraId="7BF2971E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blinding of outcome assessment</w:t>
            </w:r>
          </w:p>
        </w:tc>
        <w:tc>
          <w:tcPr>
            <w:tcW w:w="1275" w:type="dxa"/>
            <w:noWrap/>
            <w:vAlign w:val="center"/>
          </w:tcPr>
          <w:p w14:paraId="249C4892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incomplete outcome data</w:t>
            </w:r>
          </w:p>
        </w:tc>
        <w:tc>
          <w:tcPr>
            <w:tcW w:w="993" w:type="dxa"/>
            <w:noWrap/>
            <w:vAlign w:val="center"/>
          </w:tcPr>
          <w:p w14:paraId="1A98C775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selective reporting</w:t>
            </w:r>
          </w:p>
        </w:tc>
        <w:tc>
          <w:tcPr>
            <w:tcW w:w="1222" w:type="dxa"/>
            <w:noWrap/>
            <w:vAlign w:val="center"/>
          </w:tcPr>
          <w:p w14:paraId="722892BE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O</w:t>
            </w:r>
            <w:r w:rsidRPr="00DB2CCA">
              <w:rPr>
                <w:rFonts w:eastAsia="Calibri" w:hint="eastAsia"/>
                <w:lang w:val="en-AU" w:eastAsia="en-US"/>
              </w:rPr>
              <w:t>ther bias</w:t>
            </w:r>
          </w:p>
        </w:tc>
      </w:tr>
      <w:tr w:rsidR="00725779" w:rsidRPr="00DB2CCA" w14:paraId="5C45648C" w14:textId="77777777" w:rsidTr="0046586B">
        <w:trPr>
          <w:trHeight w:val="416"/>
          <w:jc w:val="center"/>
        </w:trPr>
        <w:tc>
          <w:tcPr>
            <w:tcW w:w="1526" w:type="dxa"/>
          </w:tcPr>
          <w:p w14:paraId="20C1C7DC" w14:textId="7F2774DE" w:rsidR="00725779" w:rsidRPr="00DB2CCA" w:rsidRDefault="00725779" w:rsidP="002F60D9">
            <w:pPr>
              <w:pStyle w:val="afc"/>
              <w:jc w:val="left"/>
              <w:rPr>
                <w:rFonts w:eastAsia="宋体"/>
                <w:lang w:val="en-AU"/>
              </w:rPr>
            </w:pPr>
            <w:r w:rsidRPr="00DB2CCA">
              <w:rPr>
                <w:rFonts w:eastAsia="Calibri"/>
                <w:lang w:val="en-AU" w:eastAsia="en-US"/>
              </w:rPr>
              <w:t xml:space="preserve">Huang </w:t>
            </w:r>
            <w:r w:rsidRPr="00DB2CCA">
              <w:rPr>
                <w:rFonts w:eastAsia="Calibri"/>
                <w:i/>
                <w:lang w:val="en-AU" w:eastAsia="en-US"/>
              </w:rPr>
              <w:t>et al.</w:t>
            </w:r>
            <w:r w:rsidRPr="00DB2CCA">
              <w:rPr>
                <w:rFonts w:eastAsia="Calibri"/>
                <w:lang w:val="en-AU" w:eastAsia="en-US"/>
              </w:rPr>
              <w:t xml:space="preserve"> </w:t>
            </w:r>
            <w:r w:rsidR="00720CFF" w:rsidRPr="00DB2CCA">
              <w:rPr>
                <w:rFonts w:eastAsia="Calibri"/>
                <w:lang w:val="en-AU" w:eastAsia="en-US"/>
              </w:rPr>
              <w:t>[</w:t>
            </w:r>
            <w:r w:rsidR="00720CFF" w:rsidRPr="00DB2CCA">
              <w:rPr>
                <w:rFonts w:eastAsiaTheme="minorEastAsia" w:hint="eastAsia"/>
                <w:lang w:val="en-AU"/>
              </w:rPr>
              <w:t>1</w:t>
            </w:r>
            <w:r w:rsidRPr="00DB2CCA">
              <w:rPr>
                <w:rFonts w:eastAsia="Calibri"/>
                <w:lang w:val="en-AU" w:eastAsia="en-US"/>
              </w:rPr>
              <w:t>]</w:t>
            </w:r>
          </w:p>
        </w:tc>
        <w:tc>
          <w:tcPr>
            <w:tcW w:w="1134" w:type="dxa"/>
            <w:noWrap/>
            <w:vAlign w:val="center"/>
          </w:tcPr>
          <w:p w14:paraId="451D0635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7" w:type="dxa"/>
            <w:noWrap/>
            <w:vAlign w:val="center"/>
          </w:tcPr>
          <w:p w14:paraId="0583FD71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8" w:type="dxa"/>
            <w:noWrap/>
            <w:vAlign w:val="center"/>
          </w:tcPr>
          <w:p w14:paraId="339E97E4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high</w:t>
            </w:r>
          </w:p>
        </w:tc>
        <w:tc>
          <w:tcPr>
            <w:tcW w:w="1276" w:type="dxa"/>
            <w:noWrap/>
            <w:vAlign w:val="center"/>
          </w:tcPr>
          <w:p w14:paraId="6635D660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75" w:type="dxa"/>
            <w:noWrap/>
            <w:vAlign w:val="center"/>
          </w:tcPr>
          <w:p w14:paraId="3A6E04D4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993" w:type="dxa"/>
            <w:noWrap/>
            <w:vAlign w:val="center"/>
          </w:tcPr>
          <w:p w14:paraId="29BC1EB2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22" w:type="dxa"/>
            <w:noWrap/>
            <w:vAlign w:val="center"/>
          </w:tcPr>
          <w:p w14:paraId="30F258CC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</w:tr>
      <w:tr w:rsidR="00725779" w:rsidRPr="00DB2CCA" w14:paraId="65FF6E28" w14:textId="77777777" w:rsidTr="0046586B">
        <w:trPr>
          <w:trHeight w:val="436"/>
          <w:jc w:val="center"/>
        </w:trPr>
        <w:tc>
          <w:tcPr>
            <w:tcW w:w="1526" w:type="dxa"/>
          </w:tcPr>
          <w:p w14:paraId="6D2F31EA" w14:textId="12F317BE" w:rsidR="00725779" w:rsidRPr="00DB2CCA" w:rsidRDefault="00725779" w:rsidP="00720CFF">
            <w:pPr>
              <w:pStyle w:val="afc"/>
              <w:jc w:val="left"/>
              <w:rPr>
                <w:rFonts w:eastAsia="宋体"/>
                <w:lang w:val="en-AU"/>
              </w:rPr>
            </w:pPr>
            <w:r w:rsidRPr="00DB2CCA">
              <w:rPr>
                <w:rFonts w:eastAsia="Calibri"/>
                <w:lang w:val="en-AU" w:eastAsia="en-US"/>
              </w:rPr>
              <w:t xml:space="preserve">Peker </w:t>
            </w:r>
            <w:r w:rsidRPr="00DB2CCA">
              <w:rPr>
                <w:rFonts w:eastAsia="Calibri"/>
                <w:i/>
                <w:lang w:val="en-AU" w:eastAsia="en-US"/>
              </w:rPr>
              <w:t>et al.</w:t>
            </w:r>
            <w:r w:rsidRPr="00DB2CCA">
              <w:rPr>
                <w:rFonts w:eastAsia="Calibri"/>
                <w:lang w:val="en-AU" w:eastAsia="en-US"/>
              </w:rPr>
              <w:t xml:space="preserve"> </w:t>
            </w:r>
            <w:r w:rsidR="00DA3DDE" w:rsidRPr="00DB2CCA">
              <w:rPr>
                <w:rFonts w:eastAsia="Calibri"/>
                <w:lang w:val="en-AU" w:eastAsia="en-US"/>
              </w:rPr>
              <w:t>[</w:t>
            </w:r>
            <w:r w:rsidR="00720CFF" w:rsidRPr="00DB2CCA">
              <w:rPr>
                <w:rFonts w:eastAsiaTheme="minorEastAsia" w:hint="eastAsia"/>
                <w:lang w:val="en-AU"/>
              </w:rPr>
              <w:t>2</w:t>
            </w:r>
            <w:r w:rsidRPr="00DB2CCA">
              <w:rPr>
                <w:rFonts w:eastAsia="Calibri"/>
                <w:lang w:val="en-AU" w:eastAsia="en-US"/>
              </w:rPr>
              <w:t>]</w:t>
            </w:r>
          </w:p>
        </w:tc>
        <w:tc>
          <w:tcPr>
            <w:tcW w:w="1134" w:type="dxa"/>
            <w:noWrap/>
            <w:vAlign w:val="center"/>
          </w:tcPr>
          <w:p w14:paraId="469ABCCB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7" w:type="dxa"/>
            <w:noWrap/>
            <w:vAlign w:val="center"/>
          </w:tcPr>
          <w:p w14:paraId="3949890B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8" w:type="dxa"/>
            <w:noWrap/>
            <w:vAlign w:val="center"/>
          </w:tcPr>
          <w:p w14:paraId="551B47E8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high</w:t>
            </w:r>
          </w:p>
        </w:tc>
        <w:tc>
          <w:tcPr>
            <w:tcW w:w="1276" w:type="dxa"/>
            <w:noWrap/>
            <w:vAlign w:val="center"/>
          </w:tcPr>
          <w:p w14:paraId="12A2721D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75" w:type="dxa"/>
            <w:noWrap/>
            <w:vAlign w:val="center"/>
          </w:tcPr>
          <w:p w14:paraId="7D008C69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993" w:type="dxa"/>
            <w:noWrap/>
            <w:vAlign w:val="center"/>
          </w:tcPr>
          <w:p w14:paraId="19179C19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22" w:type="dxa"/>
            <w:noWrap/>
            <w:vAlign w:val="center"/>
          </w:tcPr>
          <w:p w14:paraId="39CC199D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</w:tr>
      <w:tr w:rsidR="00725779" w:rsidRPr="00DB2CCA" w14:paraId="5D6EE0FD" w14:textId="77777777" w:rsidTr="0046586B">
        <w:trPr>
          <w:trHeight w:val="414"/>
          <w:jc w:val="center"/>
        </w:trPr>
        <w:tc>
          <w:tcPr>
            <w:tcW w:w="1526" w:type="dxa"/>
          </w:tcPr>
          <w:p w14:paraId="1331D15F" w14:textId="35D9F377" w:rsidR="00725779" w:rsidRPr="00DB2CCA" w:rsidRDefault="00725779" w:rsidP="00083535">
            <w:pPr>
              <w:pStyle w:val="afc"/>
              <w:jc w:val="left"/>
              <w:rPr>
                <w:rFonts w:eastAsia="宋体"/>
                <w:lang w:val="en-AU"/>
              </w:rPr>
            </w:pPr>
            <w:r w:rsidRPr="00DB2CCA">
              <w:rPr>
                <w:rFonts w:eastAsia="Calibri"/>
                <w:lang w:val="en-AU" w:eastAsia="en-US"/>
              </w:rPr>
              <w:t xml:space="preserve">Parra </w:t>
            </w:r>
            <w:r w:rsidRPr="00DB2CCA">
              <w:rPr>
                <w:rFonts w:eastAsia="Calibri"/>
                <w:i/>
                <w:lang w:val="en-AU" w:eastAsia="en-US"/>
              </w:rPr>
              <w:t>et al.</w:t>
            </w:r>
            <w:r w:rsidR="00DA3DDE" w:rsidRPr="00DB2CCA">
              <w:rPr>
                <w:rFonts w:eastAsia="Calibri"/>
                <w:lang w:val="en-AU" w:eastAsia="en-US"/>
              </w:rPr>
              <w:t xml:space="preserve"> [</w:t>
            </w:r>
            <w:r w:rsidR="00083535" w:rsidRPr="00DB2CCA">
              <w:rPr>
                <w:rFonts w:eastAsiaTheme="minorEastAsia"/>
                <w:lang w:val="en-AU"/>
              </w:rPr>
              <w:t>4</w:t>
            </w:r>
            <w:r w:rsidRPr="00DB2CCA">
              <w:rPr>
                <w:rFonts w:eastAsia="Calibri"/>
                <w:lang w:val="en-AU" w:eastAsia="en-US"/>
              </w:rPr>
              <w:t>]</w:t>
            </w:r>
          </w:p>
        </w:tc>
        <w:tc>
          <w:tcPr>
            <w:tcW w:w="1134" w:type="dxa"/>
            <w:noWrap/>
            <w:vAlign w:val="center"/>
          </w:tcPr>
          <w:p w14:paraId="7939DF02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7" w:type="dxa"/>
            <w:noWrap/>
            <w:vAlign w:val="center"/>
          </w:tcPr>
          <w:p w14:paraId="3C2D4417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8" w:type="dxa"/>
            <w:noWrap/>
            <w:vAlign w:val="center"/>
          </w:tcPr>
          <w:p w14:paraId="2F9A03A4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high</w:t>
            </w:r>
          </w:p>
        </w:tc>
        <w:tc>
          <w:tcPr>
            <w:tcW w:w="1276" w:type="dxa"/>
            <w:noWrap/>
            <w:vAlign w:val="center"/>
          </w:tcPr>
          <w:p w14:paraId="428A89E3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unclear</w:t>
            </w:r>
          </w:p>
        </w:tc>
        <w:tc>
          <w:tcPr>
            <w:tcW w:w="1275" w:type="dxa"/>
            <w:noWrap/>
            <w:vAlign w:val="center"/>
          </w:tcPr>
          <w:p w14:paraId="57D8A51A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993" w:type="dxa"/>
            <w:noWrap/>
            <w:vAlign w:val="center"/>
          </w:tcPr>
          <w:p w14:paraId="2D42B5E8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22" w:type="dxa"/>
            <w:noWrap/>
            <w:vAlign w:val="center"/>
          </w:tcPr>
          <w:p w14:paraId="7349487D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</w:tr>
      <w:tr w:rsidR="00725779" w:rsidRPr="00DB2CCA" w14:paraId="70C361DD" w14:textId="77777777" w:rsidTr="0046586B">
        <w:trPr>
          <w:trHeight w:val="434"/>
          <w:jc w:val="center"/>
        </w:trPr>
        <w:tc>
          <w:tcPr>
            <w:tcW w:w="1526" w:type="dxa"/>
          </w:tcPr>
          <w:p w14:paraId="01BA343D" w14:textId="13FD3AAF" w:rsidR="00725779" w:rsidRPr="00DB2CCA" w:rsidRDefault="00083535" w:rsidP="00083535">
            <w:pPr>
              <w:pStyle w:val="afc"/>
              <w:jc w:val="left"/>
              <w:rPr>
                <w:rFonts w:eastAsia="宋体"/>
                <w:lang w:val="en-AU"/>
              </w:rPr>
            </w:pPr>
            <w:r w:rsidRPr="00DB2CCA">
              <w:rPr>
                <w:rFonts w:eastAsia="Calibri"/>
                <w:lang w:val="en-AU" w:eastAsia="en-US"/>
              </w:rPr>
              <w:t xml:space="preserve">Traaen </w:t>
            </w:r>
            <w:r w:rsidR="00725779" w:rsidRPr="00DB2CCA">
              <w:rPr>
                <w:rFonts w:eastAsia="Calibri"/>
                <w:i/>
                <w:lang w:val="en-AU" w:eastAsia="en-US"/>
              </w:rPr>
              <w:t>et al.</w:t>
            </w:r>
            <w:r w:rsidR="00725779" w:rsidRPr="00DB2CCA">
              <w:rPr>
                <w:rFonts w:eastAsia="Calibri"/>
                <w:lang w:val="en-AU" w:eastAsia="en-US"/>
              </w:rPr>
              <w:t xml:space="preserve"> </w:t>
            </w:r>
            <w:r w:rsidR="00DA3DDE" w:rsidRPr="00DB2CCA">
              <w:rPr>
                <w:rFonts w:eastAsia="Calibri"/>
                <w:lang w:val="en-AU" w:eastAsia="en-US"/>
              </w:rPr>
              <w:t>[</w:t>
            </w:r>
            <w:r w:rsidRPr="00DB2CCA">
              <w:rPr>
                <w:rFonts w:eastAsiaTheme="minorEastAsia"/>
                <w:lang w:val="en-AU"/>
              </w:rPr>
              <w:t>6</w:t>
            </w:r>
            <w:r w:rsidR="00725779" w:rsidRPr="00DB2CCA">
              <w:rPr>
                <w:rFonts w:eastAsia="Calibri"/>
                <w:lang w:val="en-AU" w:eastAsia="en-US"/>
              </w:rPr>
              <w:t>]</w:t>
            </w:r>
          </w:p>
        </w:tc>
        <w:tc>
          <w:tcPr>
            <w:tcW w:w="1134" w:type="dxa"/>
            <w:noWrap/>
            <w:vAlign w:val="center"/>
          </w:tcPr>
          <w:p w14:paraId="5F72B1F8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7" w:type="dxa"/>
            <w:noWrap/>
            <w:vAlign w:val="center"/>
          </w:tcPr>
          <w:p w14:paraId="4E225E92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8" w:type="dxa"/>
            <w:noWrap/>
            <w:vAlign w:val="center"/>
          </w:tcPr>
          <w:p w14:paraId="1792F1F7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high</w:t>
            </w:r>
          </w:p>
        </w:tc>
        <w:tc>
          <w:tcPr>
            <w:tcW w:w="1276" w:type="dxa"/>
            <w:noWrap/>
            <w:vAlign w:val="center"/>
          </w:tcPr>
          <w:p w14:paraId="7B594BEC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75" w:type="dxa"/>
            <w:noWrap/>
            <w:vAlign w:val="center"/>
          </w:tcPr>
          <w:p w14:paraId="2BC2899B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unclear</w:t>
            </w:r>
          </w:p>
        </w:tc>
        <w:tc>
          <w:tcPr>
            <w:tcW w:w="993" w:type="dxa"/>
            <w:noWrap/>
            <w:vAlign w:val="center"/>
          </w:tcPr>
          <w:p w14:paraId="6125D64C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22" w:type="dxa"/>
            <w:noWrap/>
            <w:vAlign w:val="center"/>
          </w:tcPr>
          <w:p w14:paraId="039B1D65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</w:tr>
      <w:tr w:rsidR="00725779" w:rsidRPr="00DB2CCA" w14:paraId="79F2F572" w14:textId="77777777" w:rsidTr="0046586B">
        <w:trPr>
          <w:trHeight w:val="709"/>
          <w:jc w:val="center"/>
        </w:trPr>
        <w:tc>
          <w:tcPr>
            <w:tcW w:w="1526" w:type="dxa"/>
          </w:tcPr>
          <w:p w14:paraId="128E41A4" w14:textId="3173A5D1" w:rsidR="00725779" w:rsidRPr="00DB2CCA" w:rsidRDefault="00725779" w:rsidP="00083535">
            <w:pPr>
              <w:pStyle w:val="afc"/>
              <w:jc w:val="left"/>
              <w:rPr>
                <w:rFonts w:eastAsia="宋体"/>
                <w:lang w:val="en-AU"/>
              </w:rPr>
            </w:pPr>
            <w:r w:rsidRPr="00DB2CCA">
              <w:rPr>
                <w:rFonts w:eastAsia="Calibri"/>
                <w:lang w:val="en-AU" w:eastAsia="en-US"/>
              </w:rPr>
              <w:t>Sánchez-de-la-Torre</w:t>
            </w:r>
            <w:r w:rsidRPr="00DB2CCA">
              <w:rPr>
                <w:rFonts w:eastAsia="宋体" w:hint="eastAsia"/>
                <w:lang w:val="en-AU"/>
              </w:rPr>
              <w:t xml:space="preserve"> </w:t>
            </w:r>
            <w:r w:rsidRPr="00DB2CCA">
              <w:rPr>
                <w:rFonts w:eastAsia="宋体" w:hint="eastAsia"/>
                <w:i/>
                <w:lang w:val="en-AU"/>
              </w:rPr>
              <w:t>et al.</w:t>
            </w:r>
            <w:r w:rsidRPr="00DB2CCA">
              <w:rPr>
                <w:rFonts w:eastAsia="宋体"/>
                <w:lang w:val="en-AU"/>
              </w:rPr>
              <w:t xml:space="preserve"> </w:t>
            </w:r>
            <w:r w:rsidR="00DA3DDE" w:rsidRPr="00DB2CCA">
              <w:rPr>
                <w:rFonts w:eastAsia="宋体"/>
                <w:lang w:val="en-AU"/>
              </w:rPr>
              <w:t>[</w:t>
            </w:r>
            <w:r w:rsidR="00083535" w:rsidRPr="00DB2CCA">
              <w:rPr>
                <w:rFonts w:eastAsia="宋体"/>
                <w:lang w:val="en-AU"/>
              </w:rPr>
              <w:t>5</w:t>
            </w:r>
            <w:r w:rsidRPr="00DB2CCA">
              <w:rPr>
                <w:rFonts w:eastAsia="宋体"/>
                <w:lang w:val="en-AU"/>
              </w:rPr>
              <w:t>]</w:t>
            </w:r>
          </w:p>
        </w:tc>
        <w:tc>
          <w:tcPr>
            <w:tcW w:w="1134" w:type="dxa"/>
            <w:noWrap/>
            <w:vAlign w:val="center"/>
          </w:tcPr>
          <w:p w14:paraId="7678E8D9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7" w:type="dxa"/>
            <w:noWrap/>
            <w:vAlign w:val="center"/>
          </w:tcPr>
          <w:p w14:paraId="1789B67C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8" w:type="dxa"/>
            <w:noWrap/>
            <w:vAlign w:val="center"/>
          </w:tcPr>
          <w:p w14:paraId="192A6B05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high</w:t>
            </w:r>
          </w:p>
        </w:tc>
        <w:tc>
          <w:tcPr>
            <w:tcW w:w="1276" w:type="dxa"/>
            <w:noWrap/>
            <w:vAlign w:val="center"/>
          </w:tcPr>
          <w:p w14:paraId="0B586C98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75" w:type="dxa"/>
            <w:noWrap/>
            <w:vAlign w:val="center"/>
          </w:tcPr>
          <w:p w14:paraId="5A4ACB86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993" w:type="dxa"/>
            <w:noWrap/>
            <w:vAlign w:val="center"/>
          </w:tcPr>
          <w:p w14:paraId="026EB863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22" w:type="dxa"/>
            <w:noWrap/>
            <w:vAlign w:val="center"/>
          </w:tcPr>
          <w:p w14:paraId="6CA4663C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</w:tr>
      <w:tr w:rsidR="00725779" w14:paraId="7964AC62" w14:textId="77777777" w:rsidTr="0046586B">
        <w:trPr>
          <w:trHeight w:val="509"/>
          <w:jc w:val="center"/>
        </w:trPr>
        <w:tc>
          <w:tcPr>
            <w:tcW w:w="1526" w:type="dxa"/>
          </w:tcPr>
          <w:p w14:paraId="78BF0BAC" w14:textId="098F72A4" w:rsidR="00725779" w:rsidRPr="00DB2CCA" w:rsidRDefault="00725779" w:rsidP="00720CFF">
            <w:pPr>
              <w:pStyle w:val="afc"/>
              <w:jc w:val="left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 xml:space="preserve">McEvoy </w:t>
            </w:r>
            <w:r w:rsidRPr="00DB2CCA">
              <w:rPr>
                <w:rFonts w:eastAsia="宋体" w:hint="eastAsia"/>
                <w:i/>
                <w:lang w:val="en-AU"/>
              </w:rPr>
              <w:t>et al</w:t>
            </w:r>
            <w:r w:rsidRPr="00DB2CCA">
              <w:rPr>
                <w:rFonts w:eastAsia="宋体"/>
                <w:i/>
                <w:lang w:val="en-AU"/>
              </w:rPr>
              <w:t>.</w:t>
            </w:r>
            <w:r w:rsidRPr="00DB2CCA">
              <w:rPr>
                <w:rFonts w:eastAsia="宋体"/>
                <w:lang w:val="en-AU"/>
              </w:rPr>
              <w:t>,</w:t>
            </w:r>
            <w:r w:rsidRPr="00DB2CCA">
              <w:rPr>
                <w:rFonts w:eastAsia="Calibri"/>
                <w:lang w:val="en-AU" w:eastAsia="en-US"/>
              </w:rPr>
              <w:t xml:space="preserve"> </w:t>
            </w:r>
            <w:r w:rsidR="00DA3DDE" w:rsidRPr="00DB2CCA">
              <w:rPr>
                <w:rFonts w:eastAsia="Calibri"/>
                <w:lang w:val="en-AU" w:eastAsia="en-US"/>
              </w:rPr>
              <w:t>[</w:t>
            </w:r>
            <w:r w:rsidR="00720CFF" w:rsidRPr="00DB2CCA">
              <w:rPr>
                <w:rFonts w:eastAsiaTheme="minorEastAsia" w:hint="eastAsia"/>
                <w:lang w:val="en-AU"/>
              </w:rPr>
              <w:t>3</w:t>
            </w:r>
            <w:r w:rsidRPr="00DB2CCA">
              <w:rPr>
                <w:rFonts w:eastAsia="Calibri"/>
                <w:lang w:val="en-AU" w:eastAsia="en-US"/>
              </w:rPr>
              <w:t>]</w:t>
            </w:r>
          </w:p>
        </w:tc>
        <w:tc>
          <w:tcPr>
            <w:tcW w:w="1134" w:type="dxa"/>
            <w:noWrap/>
            <w:vAlign w:val="center"/>
          </w:tcPr>
          <w:p w14:paraId="542FD007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417" w:type="dxa"/>
            <w:noWrap/>
            <w:vAlign w:val="center"/>
          </w:tcPr>
          <w:p w14:paraId="494C70D6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unclear</w:t>
            </w:r>
          </w:p>
        </w:tc>
        <w:tc>
          <w:tcPr>
            <w:tcW w:w="1418" w:type="dxa"/>
            <w:noWrap/>
            <w:vAlign w:val="center"/>
          </w:tcPr>
          <w:p w14:paraId="1491A8D9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high</w:t>
            </w:r>
          </w:p>
        </w:tc>
        <w:tc>
          <w:tcPr>
            <w:tcW w:w="1276" w:type="dxa"/>
            <w:noWrap/>
            <w:vAlign w:val="center"/>
          </w:tcPr>
          <w:p w14:paraId="33073DE9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75" w:type="dxa"/>
            <w:noWrap/>
            <w:vAlign w:val="center"/>
          </w:tcPr>
          <w:p w14:paraId="37DEEC83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993" w:type="dxa"/>
            <w:noWrap/>
            <w:vAlign w:val="center"/>
          </w:tcPr>
          <w:p w14:paraId="7E242165" w14:textId="77777777" w:rsidR="00725779" w:rsidRPr="00DB2CCA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  <w:tc>
          <w:tcPr>
            <w:tcW w:w="1222" w:type="dxa"/>
            <w:noWrap/>
            <w:vAlign w:val="center"/>
          </w:tcPr>
          <w:p w14:paraId="4B222EA7" w14:textId="77777777" w:rsidR="00725779" w:rsidRDefault="00725779" w:rsidP="002F60D9">
            <w:pPr>
              <w:pStyle w:val="afc"/>
              <w:jc w:val="center"/>
              <w:rPr>
                <w:rFonts w:eastAsia="Calibri"/>
                <w:lang w:val="en-AU" w:eastAsia="en-US"/>
              </w:rPr>
            </w:pPr>
            <w:r w:rsidRPr="00DB2CCA">
              <w:rPr>
                <w:rFonts w:eastAsia="Calibri"/>
                <w:lang w:val="en-AU" w:eastAsia="en-US"/>
              </w:rPr>
              <w:t>low</w:t>
            </w:r>
          </w:p>
        </w:tc>
      </w:tr>
    </w:tbl>
    <w:p w14:paraId="26362523" w14:textId="77777777" w:rsidR="00725779" w:rsidRDefault="00725779" w:rsidP="00C1262F">
      <w:pPr>
        <w:ind w:firstLineChars="0" w:firstLine="0"/>
      </w:pPr>
    </w:p>
    <w:p w14:paraId="063B7B2C" w14:textId="20276A22" w:rsidR="00725779" w:rsidRDefault="00725779" w:rsidP="00725779">
      <w:pPr>
        <w:snapToGrid w:val="0"/>
        <w:spacing w:before="120" w:line="288" w:lineRule="auto"/>
        <w:ind w:firstLine="420"/>
        <w:rPr>
          <w:rFonts w:eastAsia="宋体"/>
        </w:rPr>
      </w:pPr>
    </w:p>
    <w:p w14:paraId="2AFD4869" w14:textId="30D86CF5" w:rsidR="00967EFE" w:rsidRDefault="00967EFE" w:rsidP="00967EFE">
      <w:pPr>
        <w:snapToGrid w:val="0"/>
        <w:spacing w:before="120" w:line="288" w:lineRule="auto"/>
        <w:ind w:firstLine="420"/>
        <w:rPr>
          <w:rFonts w:eastAsia="宋体"/>
        </w:rPr>
      </w:pPr>
      <w:r>
        <w:rPr>
          <w:rFonts w:eastAsia="宋体"/>
          <w:noProof/>
        </w:rPr>
        <w:drawing>
          <wp:inline distT="0" distB="0" distL="0" distR="0" wp14:anchorId="24EB59F4" wp14:editId="549EFF58">
            <wp:extent cx="5638800" cy="3553169"/>
            <wp:effectExtent l="0" t="0" r="0" b="9525"/>
            <wp:docPr id="3" name="图片 3" descr="C:\Users\hp\Desktop\Funnel 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Funnel plot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878" b="26698"/>
                    <a:stretch/>
                  </pic:blipFill>
                  <pic:spPr bwMode="auto">
                    <a:xfrm>
                      <a:off x="0" y="0"/>
                      <a:ext cx="5638848" cy="3553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F0F717" w14:textId="77777777" w:rsidR="00725779" w:rsidRPr="00725779" w:rsidRDefault="00725779" w:rsidP="0046586B">
      <w:pPr>
        <w:pStyle w:val="af9"/>
        <w:ind w:firstLine="0"/>
      </w:pPr>
      <w:r w:rsidRPr="00725779">
        <w:t xml:space="preserve">Supplementary </w:t>
      </w:r>
      <w:r w:rsidRPr="00725779">
        <w:rPr>
          <w:bCs/>
        </w:rPr>
        <w:t>Fig. 1.</w:t>
      </w:r>
      <w:r w:rsidRPr="00725779">
        <w:t xml:space="preserve"> Risk of Bias of Included Randomized Controlled Trials.</w:t>
      </w:r>
    </w:p>
    <w:p w14:paraId="6143F85B" w14:textId="77777777" w:rsidR="00725779" w:rsidRDefault="00725779" w:rsidP="00C1262F">
      <w:pPr>
        <w:ind w:firstLineChars="0" w:firstLine="0"/>
        <w:rPr>
          <w:lang w:val="en-CA"/>
        </w:rPr>
      </w:pPr>
    </w:p>
    <w:p w14:paraId="079BB472" w14:textId="77777777" w:rsidR="002F60D9" w:rsidRDefault="002F60D9" w:rsidP="00C1262F">
      <w:pPr>
        <w:ind w:firstLineChars="0" w:firstLine="0"/>
        <w:rPr>
          <w:lang w:val="en-CA"/>
        </w:rPr>
      </w:pPr>
    </w:p>
    <w:p w14:paraId="7B6636C7" w14:textId="0319246D" w:rsidR="002F60D9" w:rsidRDefault="002F60D9" w:rsidP="002F60D9">
      <w:pPr>
        <w:adjustRightInd w:val="0"/>
        <w:snapToGrid w:val="0"/>
        <w:spacing w:line="288" w:lineRule="auto"/>
        <w:ind w:firstLineChars="0" w:firstLine="0"/>
        <w:rPr>
          <w:rFonts w:eastAsia="宋体"/>
          <w:szCs w:val="20"/>
          <w:lang w:val="en-CA"/>
        </w:rPr>
      </w:pPr>
    </w:p>
    <w:p w14:paraId="153307DF" w14:textId="7D49CC9E" w:rsidR="00967EFE" w:rsidRDefault="00967EFE" w:rsidP="002F60D9">
      <w:pPr>
        <w:adjustRightInd w:val="0"/>
        <w:snapToGrid w:val="0"/>
        <w:spacing w:line="288" w:lineRule="auto"/>
        <w:ind w:firstLineChars="0" w:firstLine="0"/>
        <w:rPr>
          <w:rFonts w:eastAsia="宋体"/>
          <w:szCs w:val="20"/>
          <w:lang w:val="en-CA"/>
        </w:rPr>
      </w:pPr>
      <w:r>
        <w:rPr>
          <w:rFonts w:eastAsia="宋体"/>
          <w:noProof/>
          <w:szCs w:val="20"/>
        </w:rPr>
        <w:lastRenderedPageBreak/>
        <w:drawing>
          <wp:inline distT="0" distB="0" distL="0" distR="0" wp14:anchorId="3EE67DA4" wp14:editId="64DCAD68">
            <wp:extent cx="5981449" cy="4048125"/>
            <wp:effectExtent l="0" t="0" r="635" b="0"/>
            <wp:docPr id="4" name="图片 4" descr="C:\Users\hp\Desktop\Supplementary Fig.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Desktop\Supplementary Fig. 2.tif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388"/>
                    <a:stretch/>
                  </pic:blipFill>
                  <pic:spPr bwMode="auto">
                    <a:xfrm>
                      <a:off x="0" y="0"/>
                      <a:ext cx="5984841" cy="4050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50676E" w14:textId="77777777" w:rsidR="002F60D9" w:rsidRPr="00BF4829" w:rsidRDefault="002F60D9" w:rsidP="0046586B">
      <w:pPr>
        <w:pStyle w:val="af9"/>
        <w:ind w:firstLine="0"/>
      </w:pPr>
      <w:r w:rsidRPr="00BF4829">
        <w:t>Supplementary Fig. 2. Sensitivity</w:t>
      </w:r>
      <w:r w:rsidRPr="00BF4829">
        <w:rPr>
          <w:rFonts w:hint="eastAsia"/>
        </w:rPr>
        <w:t xml:space="preserve"> </w:t>
      </w:r>
      <w:r w:rsidRPr="00BF4829">
        <w:t>analysis.</w:t>
      </w:r>
    </w:p>
    <w:p w14:paraId="3DF36CB9" w14:textId="7E3267E4" w:rsidR="00DA3DDE" w:rsidRDefault="00DA3DDE" w:rsidP="00C1262F">
      <w:pPr>
        <w:ind w:firstLineChars="0" w:firstLine="0"/>
        <w:rPr>
          <w:rFonts w:eastAsiaTheme="minorEastAsia"/>
          <w:lang w:val="en-CA"/>
        </w:rPr>
      </w:pPr>
    </w:p>
    <w:p w14:paraId="6EC89E92" w14:textId="77777777" w:rsidR="00083535" w:rsidRPr="00083535" w:rsidRDefault="00083535" w:rsidP="00C1262F">
      <w:pPr>
        <w:ind w:firstLineChars="0" w:firstLine="0"/>
        <w:rPr>
          <w:rFonts w:eastAsiaTheme="minorEastAsia"/>
          <w:lang w:val="en-CA"/>
        </w:rPr>
      </w:pPr>
    </w:p>
    <w:p w14:paraId="6AD08FAE" w14:textId="5B1C0CCB" w:rsidR="00DA3DDE" w:rsidRDefault="00DA3DDE" w:rsidP="00DB2CCA">
      <w:pPr>
        <w:pStyle w:val="aff"/>
        <w:rPr>
          <w:rFonts w:eastAsiaTheme="minorEastAsia"/>
          <w:lang w:val="en-CA"/>
        </w:rPr>
      </w:pPr>
      <w:r>
        <w:rPr>
          <w:lang w:val="en-CA"/>
        </w:rPr>
        <w:t>References</w:t>
      </w:r>
      <w:r w:rsidR="00DB2CCA">
        <w:rPr>
          <w:lang w:val="en-CA"/>
        </w:rPr>
        <w:t>:</w:t>
      </w:r>
    </w:p>
    <w:p w14:paraId="010959CB" w14:textId="1B6C48A4" w:rsidR="002354F4" w:rsidRPr="007C05C5" w:rsidRDefault="00083535" w:rsidP="002354F4">
      <w:pPr>
        <w:pStyle w:val="ac"/>
        <w:rPr>
          <w:szCs w:val="18"/>
        </w:rPr>
      </w:pPr>
      <w:r>
        <w:rPr>
          <w:szCs w:val="18"/>
        </w:rPr>
        <w:t>[</w:t>
      </w:r>
      <w:r w:rsidR="002354F4" w:rsidRPr="007C05C5">
        <w:rPr>
          <w:szCs w:val="18"/>
        </w:rPr>
        <w:t xml:space="preserve">1] Huang Z, Liu Z, Luo </w:t>
      </w:r>
      <w:bookmarkStart w:id="0" w:name="_GoBack"/>
      <w:r w:rsidR="002354F4" w:rsidRPr="007C05C5">
        <w:rPr>
          <w:szCs w:val="18"/>
        </w:rPr>
        <w:t xml:space="preserve">Q, Zhao Q, Zhao Z, Ma X, </w:t>
      </w:r>
      <w:r w:rsidR="002354F4" w:rsidRPr="007C05C5">
        <w:rPr>
          <w:i/>
          <w:szCs w:val="18"/>
        </w:rPr>
        <w:t>et al</w:t>
      </w:r>
      <w:r w:rsidR="002354F4" w:rsidRPr="007C05C5">
        <w:rPr>
          <w:szCs w:val="18"/>
        </w:rPr>
        <w:t>. Long-Term Effects of Continuous Positive Airway Pressure on Blood Pressure and Prognosis in Hypertensive Patients with Coronary Heart Disease and Obstructive Sleep Apnea: a Randomized Controlled Trial. American Journal of Hypertension. 2015; 28: 300–306.</w:t>
      </w:r>
    </w:p>
    <w:p w14:paraId="5EC67A5D" w14:textId="5ABC7CAC" w:rsidR="002354F4" w:rsidRPr="007C05C5" w:rsidRDefault="00083535" w:rsidP="002354F4">
      <w:pPr>
        <w:pStyle w:val="ac"/>
        <w:rPr>
          <w:szCs w:val="18"/>
        </w:rPr>
      </w:pPr>
      <w:r>
        <w:rPr>
          <w:szCs w:val="18"/>
        </w:rPr>
        <w:t>[</w:t>
      </w:r>
      <w:r w:rsidR="002354F4" w:rsidRPr="007C05C5">
        <w:rPr>
          <w:szCs w:val="18"/>
        </w:rPr>
        <w:t xml:space="preserve">2] </w:t>
      </w:r>
      <w:r w:rsidR="002354F4" w:rsidRPr="006F7FB2">
        <w:rPr>
          <w:szCs w:val="18"/>
        </w:rPr>
        <w:t>Peker Y, Glantz H, Eulenburg C, Wegscheider K, Herlitz J, Thunström E.</w:t>
      </w:r>
      <w:r w:rsidR="002354F4" w:rsidRPr="007C05C5">
        <w:rPr>
          <w:szCs w:val="18"/>
        </w:rPr>
        <w:t xml:space="preserve"> </w:t>
      </w:r>
      <w:r w:rsidR="002354F4" w:rsidRPr="0034095D">
        <w:rPr>
          <w:szCs w:val="18"/>
        </w:rPr>
        <w:t>Effect of Positive Airway Pressure on Cardiovascular Outcomes in Coronary Artery Disease Patients with Nonsleepy Obstructive Sleep Apnea. The RICCADSA Randomized Controlled Trial.</w:t>
      </w:r>
      <w:r w:rsidR="002354F4">
        <w:rPr>
          <w:szCs w:val="18"/>
        </w:rPr>
        <w:t xml:space="preserve"> </w:t>
      </w:r>
      <w:r w:rsidRPr="00083535">
        <w:rPr>
          <w:szCs w:val="18"/>
        </w:rPr>
        <w:t>American Journal of Respiratory and Critical Care Medicine</w:t>
      </w:r>
      <w:r w:rsidR="002354F4">
        <w:rPr>
          <w:rFonts w:hint="eastAsia"/>
          <w:szCs w:val="18"/>
        </w:rPr>
        <w:t>.</w:t>
      </w:r>
      <w:r w:rsidR="002354F4">
        <w:rPr>
          <w:szCs w:val="18"/>
        </w:rPr>
        <w:t xml:space="preserve"> 2016</w:t>
      </w:r>
      <w:r w:rsidR="002354F4">
        <w:rPr>
          <w:rFonts w:hint="eastAsia"/>
          <w:szCs w:val="18"/>
        </w:rPr>
        <w:t>;</w:t>
      </w:r>
      <w:r w:rsidR="002354F4" w:rsidRPr="0034095D">
        <w:rPr>
          <w:szCs w:val="18"/>
        </w:rPr>
        <w:t xml:space="preserve"> 194: 613</w:t>
      </w:r>
      <w:r>
        <w:rPr>
          <w:szCs w:val="18"/>
        </w:rPr>
        <w:t>–</w:t>
      </w:r>
      <w:r w:rsidR="002354F4">
        <w:rPr>
          <w:rFonts w:hint="eastAsia"/>
          <w:szCs w:val="18"/>
        </w:rPr>
        <w:t>6</w:t>
      </w:r>
      <w:r w:rsidR="002354F4" w:rsidRPr="0034095D">
        <w:rPr>
          <w:szCs w:val="18"/>
        </w:rPr>
        <w:t>20.</w:t>
      </w:r>
    </w:p>
    <w:p w14:paraId="7F5135C6" w14:textId="67BCDAE9" w:rsidR="002354F4" w:rsidRPr="007C05C5" w:rsidRDefault="00083535" w:rsidP="002354F4">
      <w:pPr>
        <w:pStyle w:val="ac"/>
        <w:rPr>
          <w:szCs w:val="18"/>
        </w:rPr>
      </w:pPr>
      <w:r>
        <w:rPr>
          <w:szCs w:val="18"/>
        </w:rPr>
        <w:t>[</w:t>
      </w:r>
      <w:r w:rsidR="002354F4" w:rsidRPr="007C05C5">
        <w:rPr>
          <w:szCs w:val="18"/>
        </w:rPr>
        <w:t xml:space="preserve">3] McEvoy RD, Antic NA, Heeley E, Luo Y, Ou Q, Zhang X, </w:t>
      </w:r>
      <w:r w:rsidR="002354F4" w:rsidRPr="007C05C5">
        <w:rPr>
          <w:i/>
          <w:szCs w:val="18"/>
        </w:rPr>
        <w:t>et al</w:t>
      </w:r>
      <w:r w:rsidR="002354F4" w:rsidRPr="007C05C5">
        <w:rPr>
          <w:szCs w:val="18"/>
        </w:rPr>
        <w:t>. CPAP for Prevention of Cardiovascular Events in Obstructive Sleep Apnea. New England Journal of Medicine. 2016; 375: 919–931.</w:t>
      </w:r>
    </w:p>
    <w:p w14:paraId="798AC71F" w14:textId="1912A17D" w:rsidR="002354F4" w:rsidRPr="007C05C5" w:rsidRDefault="002354F4" w:rsidP="002354F4">
      <w:pPr>
        <w:pStyle w:val="ac"/>
        <w:rPr>
          <w:szCs w:val="18"/>
        </w:rPr>
      </w:pPr>
      <w:r>
        <w:rPr>
          <w:szCs w:val="18"/>
        </w:rPr>
        <w:t>[</w:t>
      </w:r>
      <w:r w:rsidR="00083535">
        <w:rPr>
          <w:szCs w:val="18"/>
        </w:rPr>
        <w:t>4</w:t>
      </w:r>
      <w:r>
        <w:rPr>
          <w:szCs w:val="18"/>
        </w:rPr>
        <w:t xml:space="preserve">] Parra O, Sánchez-Armengol </w:t>
      </w:r>
      <w:r>
        <w:t>Á</w:t>
      </w:r>
      <w:r w:rsidRPr="007C05C5">
        <w:rPr>
          <w:szCs w:val="18"/>
        </w:rPr>
        <w:t xml:space="preserve">, Capote F, Bonnin M, Arboix A, Campos-Rodríguez F, </w:t>
      </w:r>
      <w:r w:rsidRPr="007C05C5">
        <w:rPr>
          <w:i/>
          <w:szCs w:val="18"/>
        </w:rPr>
        <w:t>et al</w:t>
      </w:r>
      <w:r w:rsidRPr="007C05C5">
        <w:rPr>
          <w:szCs w:val="18"/>
        </w:rPr>
        <w:t>. Efficacy of continuous positive airway pressure treatment on 5-year survival in patients with ischaemic stroke and obstructive sleep apnea: a randomized controlled trial. Journal of Sleep Research. 2015; 24: 47–53.</w:t>
      </w:r>
    </w:p>
    <w:p w14:paraId="5C05F5EF" w14:textId="3128C118" w:rsidR="002354F4" w:rsidRPr="00FA49BE" w:rsidRDefault="002354F4" w:rsidP="002354F4">
      <w:pPr>
        <w:pStyle w:val="ac"/>
        <w:rPr>
          <w:szCs w:val="18"/>
        </w:rPr>
      </w:pPr>
      <w:r w:rsidRPr="00FA49BE">
        <w:rPr>
          <w:szCs w:val="18"/>
        </w:rPr>
        <w:t>[</w:t>
      </w:r>
      <w:r w:rsidR="00083535">
        <w:rPr>
          <w:rFonts w:eastAsia="宋体"/>
          <w:szCs w:val="18"/>
        </w:rPr>
        <w:t>5</w:t>
      </w:r>
      <w:r w:rsidRPr="00FA49BE">
        <w:rPr>
          <w:szCs w:val="18"/>
        </w:rPr>
        <w:t>]</w:t>
      </w:r>
      <w:r w:rsidRPr="00FA49BE">
        <w:rPr>
          <w:rFonts w:hint="eastAsia"/>
          <w:szCs w:val="18"/>
        </w:rPr>
        <w:t xml:space="preserve"> </w:t>
      </w:r>
      <w:r w:rsidRPr="00FA49BE">
        <w:rPr>
          <w:szCs w:val="18"/>
        </w:rPr>
        <w:t xml:space="preserve">Sánchez-de-la-Torre M, Sánchez-de-la-Torre A, Bertran S, </w:t>
      </w:r>
      <w:r w:rsidRPr="00FA49BE">
        <w:rPr>
          <w:i/>
          <w:szCs w:val="18"/>
        </w:rPr>
        <w:t>et al.</w:t>
      </w:r>
      <w:r w:rsidRPr="00FA49BE">
        <w:rPr>
          <w:szCs w:val="18"/>
        </w:rPr>
        <w:t>, Effect of obstructive sleep apnoea and its treatment with continuous positive airway pressure on the prevalence of cardiovascular events in patients with acute coronary syndrome (ISAACC study): a randomised controlled trial. The Lancet Respiratory Medicine</w:t>
      </w:r>
      <w:r>
        <w:rPr>
          <w:szCs w:val="18"/>
        </w:rPr>
        <w:t>. 2020; 8: 359–</w:t>
      </w:r>
      <w:r w:rsidRPr="00FA49BE">
        <w:rPr>
          <w:szCs w:val="18"/>
        </w:rPr>
        <w:t>367.</w:t>
      </w:r>
    </w:p>
    <w:p w14:paraId="6BB8AD76" w14:textId="0BB89E56" w:rsidR="002354F4" w:rsidRDefault="002354F4" w:rsidP="002354F4">
      <w:pPr>
        <w:pStyle w:val="ac"/>
        <w:rPr>
          <w:szCs w:val="18"/>
        </w:rPr>
      </w:pPr>
      <w:r w:rsidRPr="007C05C5">
        <w:rPr>
          <w:szCs w:val="18"/>
        </w:rPr>
        <w:t>[</w:t>
      </w:r>
      <w:r w:rsidR="00083535">
        <w:rPr>
          <w:szCs w:val="18"/>
        </w:rPr>
        <w:t>6</w:t>
      </w:r>
      <w:r w:rsidRPr="007C05C5">
        <w:rPr>
          <w:szCs w:val="18"/>
        </w:rPr>
        <w:t xml:space="preserve">] Traaen GM, Aakerøy L, Hunt </w:t>
      </w:r>
      <w:r>
        <w:rPr>
          <w:szCs w:val="18"/>
        </w:rPr>
        <w:t xml:space="preserve">T, Øverland B, Bendz C, Sande </w:t>
      </w:r>
      <w:r w:rsidRPr="00FA49BE">
        <w:rPr>
          <w:szCs w:val="18"/>
        </w:rPr>
        <w:t>LØ</w:t>
      </w:r>
      <w:r w:rsidRPr="007C05C5">
        <w:rPr>
          <w:szCs w:val="18"/>
        </w:rPr>
        <w:t xml:space="preserve">, </w:t>
      </w:r>
      <w:r w:rsidRPr="007C05C5">
        <w:rPr>
          <w:i/>
          <w:szCs w:val="18"/>
        </w:rPr>
        <w:t>et al</w:t>
      </w:r>
      <w:r w:rsidRPr="007C05C5">
        <w:rPr>
          <w:szCs w:val="18"/>
        </w:rPr>
        <w:t>. Effect of Continuous Positive Airway Pressure on Arrhythmia in Atrial Fibrillation and Sleep Apnea: a Randomized Controlled Trial. American Journal of Respiratory and Critical Care Medicine. 2021; 204: 573–582.</w:t>
      </w:r>
    </w:p>
    <w:bookmarkEnd w:id="0"/>
    <w:p w14:paraId="6BCF0BEC" w14:textId="77777777" w:rsidR="002354F4" w:rsidRPr="00083535" w:rsidRDefault="002354F4" w:rsidP="00C1262F">
      <w:pPr>
        <w:ind w:firstLineChars="0" w:firstLine="0"/>
        <w:rPr>
          <w:rFonts w:eastAsiaTheme="minorEastAsia"/>
          <w:lang w:val="en-CA"/>
        </w:rPr>
      </w:pPr>
    </w:p>
    <w:sectPr w:rsidR="002354F4" w:rsidRPr="00083535" w:rsidSect="0072577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851" w:right="1134" w:bottom="851" w:left="1134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AC17502" w14:textId="77777777" w:rsidR="00264AE7" w:rsidRDefault="00264AE7" w:rsidP="00C1262F">
      <w:pPr>
        <w:ind w:firstLine="420"/>
      </w:pPr>
      <w:r>
        <w:separator/>
      </w:r>
    </w:p>
  </w:endnote>
  <w:endnote w:type="continuationSeparator" w:id="0">
    <w:p w14:paraId="6E7229C8" w14:textId="77777777" w:rsidR="00264AE7" w:rsidRDefault="00264AE7" w:rsidP="00C1262F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00006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4532CC" w14:textId="77777777" w:rsidR="00725779" w:rsidRDefault="00725779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D56B70" w14:textId="77777777" w:rsidR="00725779" w:rsidRDefault="00725779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EA3F574" w14:textId="77777777" w:rsidR="00725779" w:rsidRDefault="00725779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08801D" w14:textId="77777777" w:rsidR="00264AE7" w:rsidRDefault="00264AE7" w:rsidP="00C1262F">
      <w:pPr>
        <w:ind w:firstLine="420"/>
      </w:pPr>
      <w:r>
        <w:separator/>
      </w:r>
    </w:p>
  </w:footnote>
  <w:footnote w:type="continuationSeparator" w:id="0">
    <w:p w14:paraId="080A3489" w14:textId="77777777" w:rsidR="00264AE7" w:rsidRDefault="00264AE7" w:rsidP="00C1262F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B70934" w14:textId="77777777" w:rsidR="00725779" w:rsidRDefault="00725779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8131F2" w14:textId="77777777" w:rsidR="00725779" w:rsidRDefault="00725779" w:rsidP="00725779">
    <w:pPr>
      <w:pStyle w:val="a4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DDEAA3" w14:textId="77777777" w:rsidR="00725779" w:rsidRDefault="00725779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3976CAC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1595"/>
    <w:rsid w:val="00041386"/>
    <w:rsid w:val="00054EEB"/>
    <w:rsid w:val="00083535"/>
    <w:rsid w:val="000F7995"/>
    <w:rsid w:val="002354F4"/>
    <w:rsid w:val="00263027"/>
    <w:rsid w:val="00264AE7"/>
    <w:rsid w:val="00284FA9"/>
    <w:rsid w:val="002B1595"/>
    <w:rsid w:val="002F60D9"/>
    <w:rsid w:val="00320B81"/>
    <w:rsid w:val="00380B53"/>
    <w:rsid w:val="0046586B"/>
    <w:rsid w:val="006B3504"/>
    <w:rsid w:val="00720CFF"/>
    <w:rsid w:val="00725779"/>
    <w:rsid w:val="007C30C4"/>
    <w:rsid w:val="0090122D"/>
    <w:rsid w:val="00944845"/>
    <w:rsid w:val="00967EFE"/>
    <w:rsid w:val="00BD6271"/>
    <w:rsid w:val="00C1262F"/>
    <w:rsid w:val="00C96D27"/>
    <w:rsid w:val="00CC6C9C"/>
    <w:rsid w:val="00CD2E4A"/>
    <w:rsid w:val="00DA3DDE"/>
    <w:rsid w:val="00DB2CCA"/>
    <w:rsid w:val="00EA046F"/>
    <w:rsid w:val="0AD91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BC5748"/>
  <w15:docId w15:val="{FAA4E1BB-E8E8-4383-82E7-ABD2A9F331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262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kern w:val="2"/>
      <w:sz w:val="21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C1262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C1262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C1262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C1262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1262F"/>
    <w:pPr>
      <w:keepNext/>
      <w:keepLines/>
      <w:numPr>
        <w:ilvl w:val="5"/>
        <w:numId w:val="3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1262F"/>
    <w:pPr>
      <w:keepNext/>
      <w:keepLines/>
      <w:numPr>
        <w:ilvl w:val="6"/>
        <w:numId w:val="3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1262F"/>
    <w:pPr>
      <w:keepNext/>
      <w:keepLines/>
      <w:numPr>
        <w:ilvl w:val="7"/>
        <w:numId w:val="3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1262F"/>
    <w:pPr>
      <w:keepNext/>
      <w:keepLines/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126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link w:val="a4"/>
    <w:uiPriority w:val="99"/>
    <w:rsid w:val="00C1262F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26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link w:val="a6"/>
    <w:uiPriority w:val="99"/>
    <w:rsid w:val="00C1262F"/>
    <w:rPr>
      <w:rFonts w:ascii="Times New Roman" w:eastAsia="Times New Roman" w:hAnsi="Times New Roman" w:cs="Times New Roman"/>
      <w:kern w:val="2"/>
      <w:sz w:val="18"/>
      <w:szCs w:val="18"/>
    </w:rPr>
  </w:style>
  <w:style w:type="paragraph" w:customStyle="1" w:styleId="a8">
    <w:name w:val="作者信息"/>
    <w:basedOn w:val="a"/>
    <w:autoRedefine/>
    <w:qFormat/>
    <w:rsid w:val="00C1262F"/>
    <w:pPr>
      <w:ind w:firstLineChars="0" w:firstLine="0"/>
    </w:pPr>
    <w:rPr>
      <w:rFonts w:cstheme="minorBidi"/>
    </w:rPr>
  </w:style>
  <w:style w:type="paragraph" w:customStyle="1" w:styleId="Abstract">
    <w:name w:val="Abstract"/>
    <w:basedOn w:val="a"/>
    <w:autoRedefine/>
    <w:qFormat/>
    <w:rsid w:val="00C1262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C1262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C1262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C1262F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C1262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9">
    <w:name w:val="版权信息"/>
    <w:basedOn w:val="a"/>
    <w:autoRedefine/>
    <w:qFormat/>
    <w:rsid w:val="00C1262F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C1262F"/>
    <w:rPr>
      <w:rFonts w:ascii="Times New Roman" w:eastAsia="Times New Roman" w:hAnsi="Times New Roman" w:cs="Book Antiqua"/>
      <w:b/>
      <w:bCs/>
      <w:sz w:val="24"/>
    </w:rPr>
  </w:style>
  <w:style w:type="character" w:customStyle="1" w:styleId="20">
    <w:name w:val="标题 2 字符"/>
    <w:aliases w:val="二级标题 字符"/>
    <w:link w:val="2"/>
    <w:uiPriority w:val="9"/>
    <w:rsid w:val="00C1262F"/>
    <w:rPr>
      <w:rFonts w:ascii="Times New Roman" w:eastAsia="Times New Roman" w:hAnsi="Times New Roman" w:cs="Times New Roman"/>
      <w:b/>
      <w:bCs/>
      <w:i/>
      <w:kern w:val="2"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C1262F"/>
    <w:rPr>
      <w:rFonts w:ascii="Times New Roman" w:eastAsia="Times New Roman" w:hAnsi="Times New Roman" w:cs="Times New Roman"/>
      <w:bCs/>
      <w:i/>
      <w:kern w:val="2"/>
      <w:sz w:val="22"/>
      <w:szCs w:val="32"/>
    </w:rPr>
  </w:style>
  <w:style w:type="character" w:customStyle="1" w:styleId="40">
    <w:name w:val="标题 4 字符"/>
    <w:link w:val="4"/>
    <w:uiPriority w:val="9"/>
    <w:rsid w:val="00C1262F"/>
    <w:rPr>
      <w:rFonts w:ascii="Calibri Light" w:eastAsia="NimbusRomNo9L" w:hAnsi="Calibri Light" w:cs="NimbusRomNo9L"/>
      <w:b/>
      <w:bCs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C1262F"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C1262F"/>
    <w:rPr>
      <w:rFonts w:ascii="Times New Roman" w:eastAsia="Times New Roman" w:hAnsi="Times New Roman" w:cs="Times New Roman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C1262F"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C1262F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aa">
    <w:name w:val="表题"/>
    <w:basedOn w:val="a"/>
    <w:autoRedefine/>
    <w:qFormat/>
    <w:rsid w:val="00C1262F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b">
    <w:name w:val="表注"/>
    <w:basedOn w:val="a"/>
    <w:autoRedefine/>
    <w:qFormat/>
    <w:rsid w:val="00C1262F"/>
    <w:pPr>
      <w:snapToGrid w:val="0"/>
      <w:ind w:firstLineChars="0" w:firstLine="0"/>
    </w:pPr>
  </w:style>
  <w:style w:type="paragraph" w:customStyle="1" w:styleId="ac">
    <w:name w:val="参考文献"/>
    <w:basedOn w:val="a"/>
    <w:autoRedefine/>
    <w:qFormat/>
    <w:rsid w:val="00C1262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d">
    <w:name w:val="Hyperlink"/>
    <w:uiPriority w:val="99"/>
    <w:unhideWhenUsed/>
    <w:rsid w:val="00C1262F"/>
    <w:rPr>
      <w:color w:val="0563C1"/>
      <w:u w:val="single"/>
    </w:rPr>
  </w:style>
  <w:style w:type="paragraph" w:customStyle="1" w:styleId="ae">
    <w:name w:val="稿件类型"/>
    <w:basedOn w:val="a"/>
    <w:autoRedefine/>
    <w:qFormat/>
    <w:rsid w:val="00C1262F"/>
    <w:pPr>
      <w:adjustRightInd w:val="0"/>
      <w:snapToGrid w:val="0"/>
      <w:ind w:firstLineChars="0" w:firstLine="0"/>
      <w:jc w:val="left"/>
    </w:pPr>
    <w:rPr>
      <w:rFonts w:eastAsia="宋体" w:cstheme="minorBidi"/>
      <w:i/>
      <w:sz w:val="20"/>
    </w:rPr>
  </w:style>
  <w:style w:type="paragraph" w:customStyle="1" w:styleId="af">
    <w:name w:val="关键词"/>
    <w:basedOn w:val="Keywords"/>
    <w:autoRedefine/>
    <w:qFormat/>
    <w:rsid w:val="00C1262F"/>
    <w:rPr>
      <w:rFonts w:eastAsia="Times New Roman"/>
      <w:b w:val="0"/>
    </w:rPr>
  </w:style>
  <w:style w:type="character" w:styleId="af0">
    <w:name w:val="line number"/>
    <w:uiPriority w:val="99"/>
    <w:semiHidden/>
    <w:unhideWhenUsed/>
    <w:rsid w:val="00C1262F"/>
  </w:style>
  <w:style w:type="paragraph" w:customStyle="1" w:styleId="af1">
    <w:name w:val="机构信息"/>
    <w:basedOn w:val="a"/>
    <w:link w:val="af2"/>
    <w:autoRedefine/>
    <w:qFormat/>
    <w:rsid w:val="00C1262F"/>
    <w:pPr>
      <w:ind w:firstLineChars="0" w:firstLine="0"/>
    </w:pPr>
    <w:rPr>
      <w:rFonts w:cstheme="minorBidi"/>
      <w:i/>
    </w:rPr>
  </w:style>
  <w:style w:type="character" w:customStyle="1" w:styleId="af2">
    <w:name w:val="机构信息 字符"/>
    <w:link w:val="af1"/>
    <w:rsid w:val="00C1262F"/>
    <w:rPr>
      <w:rFonts w:ascii="Times New Roman" w:eastAsia="Times New Roman" w:hAnsi="Times New Roman"/>
      <w:i/>
      <w:kern w:val="2"/>
      <w:sz w:val="21"/>
      <w:szCs w:val="21"/>
    </w:rPr>
  </w:style>
  <w:style w:type="paragraph" w:customStyle="1" w:styleId="af3">
    <w:name w:val="接收日期"/>
    <w:basedOn w:val="a"/>
    <w:autoRedefine/>
    <w:qFormat/>
    <w:rsid w:val="00C1262F"/>
    <w:pPr>
      <w:ind w:firstLineChars="0" w:firstLine="0"/>
    </w:pPr>
  </w:style>
  <w:style w:type="paragraph" w:styleId="af4">
    <w:name w:val="List Paragraph"/>
    <w:basedOn w:val="a"/>
    <w:uiPriority w:val="1"/>
    <w:qFormat/>
    <w:rsid w:val="00C1262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5">
    <w:name w:val="Balloon Text"/>
    <w:basedOn w:val="a"/>
    <w:link w:val="af6"/>
    <w:uiPriority w:val="99"/>
    <w:semiHidden/>
    <w:unhideWhenUsed/>
    <w:rsid w:val="00C1262F"/>
    <w:rPr>
      <w:sz w:val="18"/>
      <w:szCs w:val="18"/>
    </w:rPr>
  </w:style>
  <w:style w:type="character" w:customStyle="1" w:styleId="af6">
    <w:name w:val="批注框文本 字符"/>
    <w:basedOn w:val="a0"/>
    <w:link w:val="af5"/>
    <w:uiPriority w:val="99"/>
    <w:semiHidden/>
    <w:rsid w:val="00C1262F"/>
    <w:rPr>
      <w:rFonts w:ascii="Times New Roman" w:eastAsia="Times New Roman" w:hAnsi="Times New Roman" w:cs="Times New Roman"/>
      <w:kern w:val="2"/>
      <w:sz w:val="18"/>
      <w:szCs w:val="18"/>
    </w:rPr>
  </w:style>
  <w:style w:type="paragraph" w:styleId="af7">
    <w:name w:val="caption"/>
    <w:basedOn w:val="a"/>
    <w:next w:val="a"/>
    <w:autoRedefine/>
    <w:uiPriority w:val="35"/>
    <w:unhideWhenUsed/>
    <w:qFormat/>
    <w:rsid w:val="00C1262F"/>
    <w:pPr>
      <w:ind w:firstLineChars="0" w:firstLine="0"/>
    </w:pPr>
  </w:style>
  <w:style w:type="paragraph" w:customStyle="1" w:styleId="af8">
    <w:name w:val="通讯作者"/>
    <w:basedOn w:val="a"/>
    <w:autoRedefine/>
    <w:qFormat/>
    <w:rsid w:val="00C1262F"/>
    <w:pPr>
      <w:ind w:firstLineChars="0" w:firstLine="0"/>
    </w:pPr>
  </w:style>
  <w:style w:type="paragraph" w:customStyle="1" w:styleId="af9">
    <w:name w:val="图注"/>
    <w:basedOn w:val="a"/>
    <w:autoRedefine/>
    <w:qFormat/>
    <w:rsid w:val="00725779"/>
    <w:pPr>
      <w:ind w:firstLineChars="0" w:firstLine="420"/>
    </w:pPr>
    <w:rPr>
      <w:b/>
      <w:lang w:val="en-CA" w:eastAsia="en-CA"/>
    </w:rPr>
  </w:style>
  <w:style w:type="table" w:customStyle="1" w:styleId="5-11">
    <w:name w:val="网格表 5 深色 - 着色 11"/>
    <w:basedOn w:val="a1"/>
    <w:uiPriority w:val="50"/>
    <w:qFormat/>
    <w:rsid w:val="00C1262F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C1262F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C1262F"/>
    <w:rPr>
      <w:rFonts w:ascii="Times New Roman" w:eastAsia="宋体" w:hAnsi="Times New Roman" w:cs="Times New Roma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a">
    <w:name w:val="文章标题"/>
    <w:basedOn w:val="a"/>
    <w:link w:val="afb"/>
    <w:autoRedefine/>
    <w:qFormat/>
    <w:rsid w:val="00C1262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b">
    <w:name w:val="文章标题 字符"/>
    <w:link w:val="afa"/>
    <w:rsid w:val="00C1262F"/>
    <w:rPr>
      <w:rFonts w:ascii="Times New Roman" w:eastAsia="Times New Roman" w:hAnsi="Times New Roman"/>
      <w:b/>
      <w:bCs/>
      <w:spacing w:val="-8"/>
      <w:kern w:val="2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C1262F"/>
  </w:style>
  <w:style w:type="paragraph" w:customStyle="1" w:styleId="afc">
    <w:name w:val="摘要"/>
    <w:basedOn w:val="Abstract"/>
    <w:autoRedefine/>
    <w:qFormat/>
    <w:rsid w:val="00C1262F"/>
    <w:rPr>
      <w:b w:val="0"/>
      <w:sz w:val="21"/>
      <w:szCs w:val="21"/>
    </w:rPr>
  </w:style>
  <w:style w:type="paragraph" w:styleId="afd">
    <w:name w:val="Body Text"/>
    <w:basedOn w:val="a"/>
    <w:link w:val="afe"/>
    <w:autoRedefine/>
    <w:uiPriority w:val="1"/>
    <w:qFormat/>
    <w:rsid w:val="00C1262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e">
    <w:name w:val="正文文本 字符"/>
    <w:link w:val="afd"/>
    <w:uiPriority w:val="1"/>
    <w:rsid w:val="00C1262F"/>
    <w:rPr>
      <w:rFonts w:ascii="Times New Roman" w:eastAsia="Times New Roman" w:hAnsi="Times New Roman" w:cs="Times New Roman"/>
      <w:sz w:val="21"/>
      <w:szCs w:val="21"/>
    </w:rPr>
  </w:style>
  <w:style w:type="paragraph" w:customStyle="1" w:styleId="aff">
    <w:name w:val="致谢部分"/>
    <w:basedOn w:val="afd"/>
    <w:link w:val="aff0"/>
    <w:autoRedefine/>
    <w:qFormat/>
    <w:rsid w:val="00C1262F"/>
    <w:pPr>
      <w:ind w:firstLineChars="0" w:firstLine="0"/>
    </w:pPr>
    <w:rPr>
      <w:b/>
      <w:sz w:val="24"/>
      <w:szCs w:val="24"/>
    </w:rPr>
  </w:style>
  <w:style w:type="character" w:customStyle="1" w:styleId="aff0">
    <w:name w:val="致谢部分 字符"/>
    <w:basedOn w:val="afe"/>
    <w:link w:val="aff"/>
    <w:rsid w:val="00C1262F"/>
    <w:rPr>
      <w:rFonts w:ascii="Times New Roman" w:eastAsia="Times New Roman" w:hAnsi="Times New Roman" w:cs="Times New Roman"/>
      <w:b/>
      <w:sz w:val="24"/>
      <w:szCs w:val="24"/>
    </w:rPr>
  </w:style>
  <w:style w:type="character" w:styleId="aff1">
    <w:name w:val="annotation reference"/>
    <w:basedOn w:val="a0"/>
    <w:uiPriority w:val="99"/>
    <w:unhideWhenUsed/>
    <w:qFormat/>
    <w:rsid w:val="002F60D9"/>
    <w:rPr>
      <w:sz w:val="16"/>
      <w:szCs w:val="16"/>
    </w:rPr>
  </w:style>
  <w:style w:type="paragraph" w:styleId="aff2">
    <w:name w:val="annotation text"/>
    <w:basedOn w:val="a"/>
    <w:link w:val="12"/>
    <w:uiPriority w:val="99"/>
    <w:unhideWhenUsed/>
    <w:qFormat/>
    <w:rsid w:val="002F60D9"/>
    <w:rPr>
      <w:sz w:val="20"/>
      <w:szCs w:val="20"/>
    </w:rPr>
  </w:style>
  <w:style w:type="character" w:customStyle="1" w:styleId="12">
    <w:name w:val="批注文字 字符1"/>
    <w:basedOn w:val="a0"/>
    <w:link w:val="aff2"/>
    <w:uiPriority w:val="99"/>
    <w:qFormat/>
    <w:rsid w:val="002F60D9"/>
    <w:rPr>
      <w:rFonts w:ascii="Times New Roman" w:eastAsia="Times New Roman" w:hAnsi="Times New Roman" w:cs="Times New Roman"/>
      <w:kern w:val="2"/>
    </w:rPr>
  </w:style>
  <w:style w:type="paragraph" w:styleId="aff3">
    <w:name w:val="annotation subject"/>
    <w:basedOn w:val="aff2"/>
    <w:next w:val="aff2"/>
    <w:link w:val="aff4"/>
    <w:uiPriority w:val="99"/>
    <w:semiHidden/>
    <w:unhideWhenUsed/>
    <w:rsid w:val="002F60D9"/>
    <w:rPr>
      <w:b/>
      <w:bCs/>
    </w:rPr>
  </w:style>
  <w:style w:type="character" w:customStyle="1" w:styleId="aff4">
    <w:name w:val="批注主题 字符"/>
    <w:basedOn w:val="12"/>
    <w:link w:val="aff3"/>
    <w:uiPriority w:val="99"/>
    <w:semiHidden/>
    <w:rsid w:val="002F60D9"/>
    <w:rPr>
      <w:rFonts w:ascii="Times New Roman" w:eastAsia="Times New Roman" w:hAnsi="Times New Roman" w:cs="Times New Roman"/>
      <w:b/>
      <w:bCs/>
      <w:kern w:val="2"/>
    </w:rPr>
  </w:style>
  <w:style w:type="character" w:customStyle="1" w:styleId="aff5">
    <w:name w:val="批注文字 字符"/>
    <w:uiPriority w:val="99"/>
    <w:qFormat/>
    <w:rsid w:val="002354F4"/>
    <w:rPr>
      <w:rFonts w:ascii="Times New Roman" w:eastAsia="Times New Roman" w:hAnsi="Times New Roman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3.xml"/><Relationship Id="rId10" Type="http://schemas.openxmlformats.org/officeDocument/2006/relationships/image" Target="media/image2.tiff"/><Relationship Id="rId4" Type="http://schemas.openxmlformats.org/officeDocument/2006/relationships/styles" Target="styles.xml"/><Relationship Id="rId9" Type="http://schemas.openxmlformats.org/officeDocument/2006/relationships/image" Target="media/image1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4654B93-5E5F-45DE-96E4-B44D479234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373</Words>
  <Characters>2127</Characters>
  <Application>Microsoft Office Word</Application>
  <DocSecurity>0</DocSecurity>
  <Lines>17</Lines>
  <Paragraphs>4</Paragraphs>
  <ScaleCrop>false</ScaleCrop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Susie</cp:lastModifiedBy>
  <cp:revision>2</cp:revision>
  <dcterms:created xsi:type="dcterms:W3CDTF">2022-05-18T00:53:00Z</dcterms:created>
  <dcterms:modified xsi:type="dcterms:W3CDTF">2022-05-18T00:53:00Z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1FDB6BA98BB54AFABE7A0478E6DB4461</vt:lpwstr>
  </property>
</Properties>
</file>