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2640" w:rsidRPr="00AB672D" w:rsidRDefault="00AB672D" w:rsidP="0041239A">
      <w:pPr>
        <w:widowControl/>
        <w:adjustRightInd w:val="0"/>
        <w:snapToGrid w:val="0"/>
        <w:ind w:firstLine="482"/>
        <w:jc w:val="center"/>
        <w:rPr>
          <w:b/>
          <w:sz w:val="24"/>
          <w:szCs w:val="24"/>
        </w:rPr>
      </w:pPr>
      <w:bookmarkStart w:id="0" w:name="_GoBack"/>
      <w:r w:rsidRPr="00AB672D">
        <w:rPr>
          <w:b/>
          <w:sz w:val="24"/>
          <w:szCs w:val="24"/>
        </w:rPr>
        <w:t>Supplementary Materials</w:t>
      </w:r>
    </w:p>
    <w:bookmarkEnd w:id="0"/>
    <w:p w:rsidR="00A72640" w:rsidRPr="008A1BDF" w:rsidRDefault="00AB672D" w:rsidP="002C3759">
      <w:pPr>
        <w:pStyle w:val="a5"/>
      </w:pPr>
      <w:r w:rsidRPr="008A1BDF">
        <w:t>Supplementary Table 1. Assessment of evidence within the recurrent restenosis outcome</w:t>
      </w:r>
      <w:r w:rsidR="00DE3E39">
        <w:t>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85"/>
        <w:gridCol w:w="1242"/>
        <w:gridCol w:w="1763"/>
        <w:gridCol w:w="1242"/>
        <w:gridCol w:w="1331"/>
        <w:gridCol w:w="1475"/>
        <w:gridCol w:w="1266"/>
      </w:tblGrid>
      <w:tr w:rsidR="00A72640" w:rsidRPr="008A1BDF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640" w:rsidRPr="008A1BDF" w:rsidRDefault="00AB672D" w:rsidP="0041239A">
            <w:pPr>
              <w:pStyle w:val="a3"/>
              <w:adjustRightInd w:val="0"/>
              <w:snapToGrid w:val="0"/>
              <w:spacing w:before="0" w:beforeAutospacing="0" w:after="0" w:afterAutospacing="0"/>
              <w:ind w:firstLine="361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A1BD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Recurrent Restenosis for </w:t>
            </w:r>
            <w:proofErr w:type="spellStart"/>
            <w:r w:rsidRPr="008A1BD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femoropopliteal</w:t>
            </w:r>
            <w:proofErr w:type="spellEnd"/>
            <w:r w:rsidRPr="008A1BD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in-stent restenosis</w:t>
            </w:r>
          </w:p>
        </w:tc>
      </w:tr>
      <w:tr w:rsidR="00A72640" w:rsidRPr="008A1BDF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640" w:rsidRPr="008A1BDF" w:rsidRDefault="00AB672D" w:rsidP="0041239A">
            <w:pPr>
              <w:adjustRightInd w:val="0"/>
              <w:snapToGrid w:val="0"/>
              <w:ind w:firstLine="321"/>
              <w:rPr>
                <w:sz w:val="16"/>
                <w:szCs w:val="16"/>
              </w:rPr>
            </w:pPr>
            <w:r w:rsidRPr="008A1BDF">
              <w:rPr>
                <w:b/>
                <w:bCs/>
                <w:sz w:val="16"/>
                <w:szCs w:val="16"/>
              </w:rPr>
              <w:t>Patient or population:</w:t>
            </w:r>
            <w:r w:rsidRPr="008A1BDF">
              <w:rPr>
                <w:sz w:val="16"/>
                <w:szCs w:val="16"/>
              </w:rPr>
              <w:t xml:space="preserve"> patients with </w:t>
            </w:r>
            <w:proofErr w:type="spellStart"/>
            <w:r w:rsidRPr="008A1BDF">
              <w:rPr>
                <w:sz w:val="16"/>
                <w:szCs w:val="16"/>
              </w:rPr>
              <w:t>femoropopliteal</w:t>
            </w:r>
            <w:proofErr w:type="spellEnd"/>
            <w:r w:rsidRPr="008A1BDF">
              <w:rPr>
                <w:sz w:val="16"/>
                <w:szCs w:val="16"/>
              </w:rPr>
              <w:t xml:space="preserve"> in-stent restenosis</w:t>
            </w:r>
            <w:r w:rsidRPr="008A1BDF">
              <w:rPr>
                <w:sz w:val="16"/>
                <w:szCs w:val="16"/>
              </w:rPr>
              <w:br/>
            </w:r>
            <w:r w:rsidRPr="008A1BDF">
              <w:rPr>
                <w:b/>
                <w:bCs/>
                <w:sz w:val="16"/>
                <w:szCs w:val="16"/>
              </w:rPr>
              <w:t>Settings:</w:t>
            </w:r>
            <w:r w:rsidRPr="008A1BDF">
              <w:rPr>
                <w:sz w:val="16"/>
                <w:szCs w:val="16"/>
              </w:rPr>
              <w:t xml:space="preserve"> </w:t>
            </w:r>
            <w:r w:rsidRPr="008A1BDF">
              <w:rPr>
                <w:sz w:val="16"/>
                <w:szCs w:val="16"/>
              </w:rPr>
              <w:br/>
            </w:r>
            <w:r w:rsidRPr="008A1BDF">
              <w:rPr>
                <w:b/>
                <w:bCs/>
                <w:sz w:val="16"/>
                <w:szCs w:val="16"/>
              </w:rPr>
              <w:t>Intervention:</w:t>
            </w:r>
            <w:r w:rsidRPr="008A1BDF">
              <w:rPr>
                <w:sz w:val="16"/>
                <w:szCs w:val="16"/>
              </w:rPr>
              <w:t xml:space="preserve"> Paclitaxel-coated balloon angioplasty (PCB group) or</w:t>
            </w:r>
            <w:r w:rsidRPr="008A1BDF">
              <w:rPr>
                <w:sz w:val="16"/>
                <w:szCs w:val="16"/>
              </w:rPr>
              <w:t xml:space="preserve"> </w:t>
            </w:r>
            <w:r w:rsidRPr="008A1BDF">
              <w:rPr>
                <w:sz w:val="16"/>
                <w:szCs w:val="16"/>
              </w:rPr>
              <w:t>uncoated</w:t>
            </w:r>
            <w:r w:rsidRPr="008A1BDF">
              <w:rPr>
                <w:sz w:val="16"/>
                <w:szCs w:val="16"/>
              </w:rPr>
              <w:t xml:space="preserve"> balloon angioplasty (</w:t>
            </w:r>
            <w:r w:rsidRPr="008A1BDF">
              <w:rPr>
                <w:sz w:val="16"/>
                <w:szCs w:val="16"/>
              </w:rPr>
              <w:t>UCB</w:t>
            </w:r>
            <w:r w:rsidRPr="008A1BDF">
              <w:rPr>
                <w:sz w:val="16"/>
                <w:szCs w:val="16"/>
              </w:rPr>
              <w:t xml:space="preserve"> group)</w:t>
            </w:r>
          </w:p>
        </w:tc>
      </w:tr>
      <w:tr w:rsidR="00A72640" w:rsidRPr="008A1BDF"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</w:tcPr>
          <w:p w:rsidR="00A72640" w:rsidRPr="008A1BDF" w:rsidRDefault="00AB672D" w:rsidP="0041239A">
            <w:pPr>
              <w:pStyle w:val="a3"/>
              <w:adjustRightInd w:val="0"/>
              <w:snapToGrid w:val="0"/>
              <w:spacing w:before="0" w:beforeAutospacing="0" w:after="0" w:afterAutospacing="0"/>
              <w:ind w:firstLine="321"/>
              <w:rPr>
                <w:rFonts w:ascii="Times New Roman" w:hAnsi="Times New Roman" w:cs="Times New Roman"/>
                <w:sz w:val="16"/>
                <w:szCs w:val="16"/>
              </w:rPr>
            </w:pPr>
            <w:r w:rsidRPr="008A1BD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Outcomes</w:t>
            </w:r>
          </w:p>
        </w:tc>
        <w:tc>
          <w:tcPr>
            <w:tcW w:w="0" w:type="auto"/>
            <w:gridSpan w:val="2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D3D3D3"/>
          </w:tcPr>
          <w:p w:rsidR="00A72640" w:rsidRPr="008A1BDF" w:rsidRDefault="00AB672D" w:rsidP="0041239A">
            <w:pPr>
              <w:pStyle w:val="a3"/>
              <w:adjustRightInd w:val="0"/>
              <w:snapToGrid w:val="0"/>
              <w:spacing w:before="0" w:beforeAutospacing="0" w:after="0" w:afterAutospacing="0"/>
              <w:ind w:firstLine="321"/>
              <w:rPr>
                <w:rFonts w:ascii="Times New Roman" w:hAnsi="Times New Roman" w:cs="Times New Roman"/>
                <w:sz w:val="16"/>
                <w:szCs w:val="16"/>
              </w:rPr>
            </w:pPr>
            <w:r w:rsidRPr="008A1BD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Illustrative comparative risks* (95% CI)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</w:tcPr>
          <w:p w:rsidR="00A72640" w:rsidRPr="008A1BDF" w:rsidRDefault="00AB672D" w:rsidP="0041239A">
            <w:pPr>
              <w:pStyle w:val="a3"/>
              <w:adjustRightInd w:val="0"/>
              <w:snapToGrid w:val="0"/>
              <w:spacing w:before="0" w:beforeAutospacing="0" w:after="0" w:afterAutospacing="0"/>
              <w:ind w:firstLine="321"/>
              <w:rPr>
                <w:rFonts w:ascii="Times New Roman" w:hAnsi="Times New Roman" w:cs="Times New Roman"/>
                <w:sz w:val="16"/>
                <w:szCs w:val="16"/>
              </w:rPr>
            </w:pPr>
            <w:r w:rsidRPr="008A1BD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Relative effect</w:t>
            </w:r>
            <w:r w:rsidRPr="008A1BD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br/>
              <w:t>(95% CI)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</w:tcPr>
          <w:p w:rsidR="00A72640" w:rsidRPr="008A1BDF" w:rsidRDefault="00AB672D" w:rsidP="0041239A">
            <w:pPr>
              <w:pStyle w:val="a3"/>
              <w:adjustRightInd w:val="0"/>
              <w:snapToGrid w:val="0"/>
              <w:spacing w:before="0" w:beforeAutospacing="0" w:after="0" w:afterAutospacing="0"/>
              <w:ind w:firstLine="321"/>
              <w:rPr>
                <w:rFonts w:ascii="Times New Roman" w:hAnsi="Times New Roman" w:cs="Times New Roman"/>
                <w:sz w:val="16"/>
                <w:szCs w:val="16"/>
              </w:rPr>
            </w:pPr>
            <w:r w:rsidRPr="008A1BD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 of Participants</w:t>
            </w:r>
            <w:r w:rsidRPr="008A1BD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br/>
              <w:t>(studies)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</w:tcPr>
          <w:p w:rsidR="00A72640" w:rsidRPr="008A1BDF" w:rsidRDefault="00AB672D" w:rsidP="0041239A">
            <w:pPr>
              <w:pStyle w:val="a3"/>
              <w:adjustRightInd w:val="0"/>
              <w:snapToGrid w:val="0"/>
              <w:spacing w:before="0" w:beforeAutospacing="0" w:after="0" w:afterAutospacing="0"/>
              <w:ind w:firstLine="321"/>
              <w:rPr>
                <w:rFonts w:ascii="Times New Roman" w:hAnsi="Times New Roman" w:cs="Times New Roman"/>
                <w:sz w:val="16"/>
                <w:szCs w:val="16"/>
              </w:rPr>
            </w:pPr>
            <w:r w:rsidRPr="008A1BD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Quality of the evidence</w:t>
            </w:r>
            <w:r w:rsidRPr="008A1BD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br/>
              <w:t>(GRADE)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</w:tcPr>
          <w:p w:rsidR="00A72640" w:rsidRPr="008A1BDF" w:rsidRDefault="00AB672D" w:rsidP="0041239A">
            <w:pPr>
              <w:pStyle w:val="a3"/>
              <w:adjustRightInd w:val="0"/>
              <w:snapToGrid w:val="0"/>
              <w:spacing w:before="0" w:beforeAutospacing="0" w:after="0" w:afterAutospacing="0"/>
              <w:ind w:firstLine="321"/>
              <w:rPr>
                <w:rFonts w:ascii="Times New Roman" w:hAnsi="Times New Roman" w:cs="Times New Roman"/>
                <w:sz w:val="16"/>
                <w:szCs w:val="16"/>
              </w:rPr>
            </w:pPr>
            <w:r w:rsidRPr="008A1BD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Comments</w:t>
            </w:r>
          </w:p>
        </w:tc>
      </w:tr>
      <w:tr w:rsidR="00A72640" w:rsidRPr="008A1BDF"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3D3D3"/>
          </w:tcPr>
          <w:p w:rsidR="00A72640" w:rsidRPr="008A1BDF" w:rsidRDefault="00AB672D" w:rsidP="0041239A">
            <w:pPr>
              <w:pStyle w:val="a3"/>
              <w:adjustRightInd w:val="0"/>
              <w:snapToGrid w:val="0"/>
              <w:spacing w:before="0" w:beforeAutospacing="0" w:after="0" w:afterAutospacing="0"/>
              <w:ind w:firstLine="320"/>
              <w:rPr>
                <w:rFonts w:ascii="Times New Roman" w:hAnsi="Times New Roman" w:cs="Times New Roman"/>
                <w:sz w:val="16"/>
                <w:szCs w:val="16"/>
              </w:rPr>
            </w:pPr>
            <w:r w:rsidRPr="008A1BDF">
              <w:rPr>
                <w:rFonts w:ascii="Times New Roman" w:hAnsi="Times New Roman" w:cs="Times New Roman"/>
                <w:sz w:val="16"/>
                <w:szCs w:val="16"/>
              </w:rPr>
              <w:t>Assumed risk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3D3D3"/>
          </w:tcPr>
          <w:p w:rsidR="00A72640" w:rsidRPr="008A1BDF" w:rsidRDefault="00AB672D" w:rsidP="0041239A">
            <w:pPr>
              <w:pStyle w:val="a3"/>
              <w:adjustRightInd w:val="0"/>
              <w:snapToGrid w:val="0"/>
              <w:spacing w:before="0" w:beforeAutospacing="0" w:after="0" w:afterAutospacing="0"/>
              <w:ind w:firstLine="320"/>
              <w:rPr>
                <w:rFonts w:ascii="Times New Roman" w:hAnsi="Times New Roman" w:cs="Times New Roman"/>
                <w:sz w:val="16"/>
                <w:szCs w:val="16"/>
              </w:rPr>
            </w:pPr>
            <w:r w:rsidRPr="008A1BDF">
              <w:rPr>
                <w:rFonts w:ascii="Times New Roman" w:hAnsi="Times New Roman" w:cs="Times New Roman"/>
                <w:sz w:val="16"/>
                <w:szCs w:val="16"/>
              </w:rPr>
              <w:t>Corresponding risk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D3D3D3"/>
          </w:tcPr>
          <w:p w:rsidR="00A72640" w:rsidRPr="008A1BDF" w:rsidRDefault="00AB672D" w:rsidP="0041239A">
            <w:pPr>
              <w:pStyle w:val="a3"/>
              <w:adjustRightInd w:val="0"/>
              <w:snapToGrid w:val="0"/>
              <w:spacing w:before="0" w:beforeAutospacing="0" w:after="0" w:afterAutospacing="0"/>
              <w:ind w:firstLine="321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A1BD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D3D3D3"/>
          </w:tcPr>
          <w:p w:rsidR="00A72640" w:rsidRPr="008A1BDF" w:rsidRDefault="00AB672D" w:rsidP="0041239A">
            <w:pPr>
              <w:pStyle w:val="a3"/>
              <w:adjustRightInd w:val="0"/>
              <w:snapToGrid w:val="0"/>
              <w:spacing w:before="0" w:beforeAutospacing="0" w:after="0" w:afterAutospacing="0"/>
              <w:ind w:firstLine="321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A1BD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Recurrent Restenosis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1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400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400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400"/>
              <w:rPr>
                <w:sz w:val="20"/>
                <w:szCs w:val="20"/>
              </w:rPr>
            </w:pPr>
          </w:p>
        </w:tc>
      </w:tr>
      <w:tr w:rsidR="00A72640" w:rsidRPr="008A1BDF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A72640" w:rsidRPr="008A1BDF" w:rsidRDefault="00AB672D" w:rsidP="0041239A">
            <w:pPr>
              <w:pStyle w:val="a3"/>
              <w:adjustRightInd w:val="0"/>
              <w:snapToGrid w:val="0"/>
              <w:spacing w:before="0" w:beforeAutospacing="0" w:after="0" w:afterAutospacing="0"/>
              <w:ind w:firstLine="321"/>
              <w:rPr>
                <w:rFonts w:ascii="Times New Roman" w:hAnsi="Times New Roman" w:cs="Times New Roman"/>
                <w:sz w:val="16"/>
                <w:szCs w:val="16"/>
              </w:rPr>
            </w:pPr>
            <w:r w:rsidRPr="008A1BD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recurrent restenosis (6 months)</w:t>
            </w:r>
            <w:r w:rsidRPr="008A1BDF">
              <w:rPr>
                <w:rFonts w:ascii="Times New Roman" w:hAnsi="Times New Roman" w:cs="Times New Roman"/>
                <w:sz w:val="16"/>
                <w:szCs w:val="16"/>
              </w:rPr>
              <w:br/>
              <w:t>Follow-up: 6 months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640" w:rsidRPr="008A1BDF" w:rsidRDefault="00AB672D" w:rsidP="0041239A">
            <w:pPr>
              <w:pStyle w:val="a3"/>
              <w:adjustRightInd w:val="0"/>
              <w:snapToGrid w:val="0"/>
              <w:spacing w:before="0" w:beforeAutospacing="0" w:after="0" w:afterAutospacing="0"/>
              <w:ind w:firstLine="321"/>
              <w:rPr>
                <w:rFonts w:ascii="Times New Roman" w:hAnsi="Times New Roman" w:cs="Times New Roman"/>
                <w:sz w:val="16"/>
                <w:szCs w:val="16"/>
              </w:rPr>
            </w:pPr>
            <w:r w:rsidRPr="008A1BD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Study population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A72640" w:rsidRPr="008A1BDF" w:rsidRDefault="00AB672D" w:rsidP="0041239A">
            <w:pPr>
              <w:pStyle w:val="a3"/>
              <w:adjustRightInd w:val="0"/>
              <w:snapToGrid w:val="0"/>
              <w:spacing w:before="0" w:beforeAutospacing="0" w:after="0" w:afterAutospacing="0"/>
              <w:ind w:firstLine="321"/>
              <w:rPr>
                <w:rFonts w:ascii="Times New Roman" w:hAnsi="Times New Roman" w:cs="Times New Roman"/>
                <w:sz w:val="16"/>
                <w:szCs w:val="16"/>
              </w:rPr>
            </w:pPr>
            <w:r w:rsidRPr="008A1BD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OR 0·23 </w:t>
            </w:r>
            <w:r w:rsidRPr="008A1BDF">
              <w:rPr>
                <w:rFonts w:ascii="Times New Roman" w:hAnsi="Times New Roman" w:cs="Times New Roman"/>
                <w:sz w:val="16"/>
                <w:szCs w:val="16"/>
              </w:rPr>
              <w:br/>
              <w:t>(0·13 to 0·38)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A72640" w:rsidRPr="008A1BDF" w:rsidRDefault="00AB672D" w:rsidP="0041239A">
            <w:pPr>
              <w:pStyle w:val="a3"/>
              <w:adjustRightInd w:val="0"/>
              <w:snapToGrid w:val="0"/>
              <w:spacing w:before="0" w:beforeAutospacing="0" w:after="0" w:afterAutospacing="0"/>
              <w:ind w:firstLine="320"/>
              <w:rPr>
                <w:rFonts w:ascii="Times New Roman" w:hAnsi="Times New Roman" w:cs="Times New Roman"/>
                <w:sz w:val="16"/>
                <w:szCs w:val="16"/>
              </w:rPr>
            </w:pPr>
            <w:r w:rsidRPr="008A1BDF">
              <w:rPr>
                <w:rFonts w:ascii="Times New Roman" w:hAnsi="Times New Roman" w:cs="Times New Roman"/>
                <w:sz w:val="16"/>
                <w:szCs w:val="16"/>
              </w:rPr>
              <w:t>281</w:t>
            </w:r>
            <w:r w:rsidRPr="008A1BDF">
              <w:rPr>
                <w:rFonts w:ascii="Times New Roman" w:hAnsi="Times New Roman" w:cs="Times New Roman"/>
                <w:sz w:val="16"/>
                <w:szCs w:val="16"/>
              </w:rPr>
              <w:br/>
              <w:t>(4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A72640" w:rsidRPr="008A1BDF" w:rsidRDefault="00AB672D" w:rsidP="0041239A">
            <w:pPr>
              <w:pStyle w:val="a3"/>
              <w:adjustRightInd w:val="0"/>
              <w:snapToGrid w:val="0"/>
              <w:spacing w:before="0" w:beforeAutospacing="0" w:after="0" w:afterAutospacing="0"/>
              <w:ind w:firstLine="320"/>
              <w:rPr>
                <w:rFonts w:ascii="Times New Roman" w:hAnsi="Times New Roman" w:cs="Times New Roman"/>
                <w:sz w:val="16"/>
                <w:szCs w:val="16"/>
              </w:rPr>
            </w:pPr>
            <w:r w:rsidRPr="008A1BDF">
              <w:rPr>
                <w:rFonts w:hint="eastAsia"/>
                <w:sz w:val="16"/>
                <w:szCs w:val="16"/>
              </w:rPr>
              <w:t>⊕⊕⊕⊕</w:t>
            </w:r>
            <w:r w:rsidRPr="008A1BDF">
              <w:rPr>
                <w:rFonts w:ascii="Times New Roman" w:hAnsi="Times New Roman" w:cs="Times New Roman"/>
                <w:sz w:val="16"/>
                <w:szCs w:val="16"/>
              </w:rPr>
              <w:br/>
            </w:r>
            <w:r w:rsidRPr="008A1BD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high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D3D3D3"/>
          </w:tcPr>
          <w:p w:rsidR="00A72640" w:rsidRPr="008A1BDF" w:rsidRDefault="00AB672D" w:rsidP="0041239A">
            <w:pPr>
              <w:pStyle w:val="a3"/>
              <w:adjustRightInd w:val="0"/>
              <w:snapToGrid w:val="0"/>
              <w:spacing w:before="0" w:beforeAutospacing="0" w:after="0" w:afterAutospacing="0"/>
              <w:ind w:firstLine="321"/>
              <w:rPr>
                <w:rFonts w:ascii="Times New Roman" w:hAnsi="Times New Roman" w:cs="Times New Roman"/>
                <w:sz w:val="16"/>
                <w:szCs w:val="16"/>
              </w:rPr>
            </w:pPr>
            <w:r w:rsidRPr="008A1BD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561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</w:tcPr>
          <w:p w:rsidR="00A72640" w:rsidRPr="008A1BDF" w:rsidRDefault="00AB672D" w:rsidP="0041239A">
            <w:pPr>
              <w:pStyle w:val="a3"/>
              <w:adjustRightInd w:val="0"/>
              <w:snapToGrid w:val="0"/>
              <w:spacing w:before="0" w:beforeAutospacing="0" w:after="0" w:afterAutospacing="0"/>
              <w:ind w:firstLine="321"/>
              <w:rPr>
                <w:rFonts w:ascii="Times New Roman" w:hAnsi="Times New Roman" w:cs="Times New Roman"/>
                <w:sz w:val="16"/>
                <w:szCs w:val="16"/>
              </w:rPr>
            </w:pPr>
            <w:r w:rsidRPr="008A1BD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227 per 1000</w:t>
            </w:r>
            <w:r w:rsidRPr="008A1BDF">
              <w:rPr>
                <w:rFonts w:ascii="Times New Roman" w:hAnsi="Times New Roman" w:cs="Times New Roman"/>
                <w:sz w:val="16"/>
                <w:szCs w:val="16"/>
              </w:rPr>
              <w:br/>
              <w:t>(142 to 327)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640" w:rsidRPr="008A1BDF" w:rsidRDefault="00AB672D" w:rsidP="0041239A">
            <w:pPr>
              <w:pStyle w:val="a3"/>
              <w:adjustRightInd w:val="0"/>
              <w:snapToGrid w:val="0"/>
              <w:spacing w:before="0" w:beforeAutospacing="0" w:after="0" w:afterAutospacing="0"/>
              <w:ind w:firstLine="321"/>
              <w:rPr>
                <w:rFonts w:ascii="Times New Roman" w:hAnsi="Times New Roman" w:cs="Times New Roman"/>
                <w:sz w:val="16"/>
                <w:szCs w:val="16"/>
              </w:rPr>
            </w:pPr>
            <w:r w:rsidRPr="008A1BD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D3D3D3"/>
          </w:tcPr>
          <w:p w:rsidR="00A72640" w:rsidRPr="008A1BDF" w:rsidRDefault="00AB672D" w:rsidP="0041239A">
            <w:pPr>
              <w:pStyle w:val="a3"/>
              <w:adjustRightInd w:val="0"/>
              <w:snapToGrid w:val="0"/>
              <w:spacing w:before="0" w:beforeAutospacing="0" w:after="0" w:afterAutospacing="0"/>
              <w:ind w:firstLine="321"/>
              <w:rPr>
                <w:rFonts w:ascii="Times New Roman" w:hAnsi="Times New Roman" w:cs="Times New Roman"/>
                <w:sz w:val="16"/>
                <w:szCs w:val="16"/>
              </w:rPr>
            </w:pPr>
            <w:r w:rsidRPr="008A1BD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593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</w:tcPr>
          <w:p w:rsidR="00A72640" w:rsidRPr="008A1BDF" w:rsidRDefault="00AB672D" w:rsidP="0041239A">
            <w:pPr>
              <w:pStyle w:val="a3"/>
              <w:adjustRightInd w:val="0"/>
              <w:snapToGrid w:val="0"/>
              <w:spacing w:before="0" w:beforeAutospacing="0" w:after="0" w:afterAutospacing="0"/>
              <w:ind w:firstLine="321"/>
              <w:rPr>
                <w:rFonts w:ascii="Times New Roman" w:hAnsi="Times New Roman" w:cs="Times New Roman"/>
                <w:sz w:val="16"/>
                <w:szCs w:val="16"/>
              </w:rPr>
            </w:pPr>
            <w:r w:rsidRPr="008A1BD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251 per 1000</w:t>
            </w:r>
            <w:r w:rsidRPr="008A1BDF">
              <w:rPr>
                <w:rFonts w:ascii="Times New Roman" w:hAnsi="Times New Roman" w:cs="Times New Roman"/>
                <w:sz w:val="16"/>
                <w:szCs w:val="16"/>
              </w:rPr>
              <w:br/>
              <w:t>(159 to 356)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A72640" w:rsidRPr="008A1BDF" w:rsidRDefault="00AB672D" w:rsidP="0041239A">
            <w:pPr>
              <w:pStyle w:val="a3"/>
              <w:adjustRightInd w:val="0"/>
              <w:snapToGrid w:val="0"/>
              <w:spacing w:before="0" w:beforeAutospacing="0" w:after="0" w:afterAutospacing="0"/>
              <w:ind w:firstLine="321"/>
              <w:rPr>
                <w:rFonts w:ascii="Times New Roman" w:hAnsi="Times New Roman" w:cs="Times New Roman"/>
                <w:sz w:val="16"/>
                <w:szCs w:val="16"/>
              </w:rPr>
            </w:pPr>
            <w:r w:rsidRPr="008A1BD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recurrent restenosis (12 months)</w:t>
            </w:r>
            <w:r w:rsidRPr="008A1BDF">
              <w:rPr>
                <w:rFonts w:ascii="Times New Roman" w:hAnsi="Times New Roman" w:cs="Times New Roman"/>
                <w:sz w:val="16"/>
                <w:szCs w:val="16"/>
              </w:rPr>
              <w:br/>
              <w:t>Follow-up: 12 months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640" w:rsidRPr="008A1BDF" w:rsidRDefault="00AB672D" w:rsidP="0041239A">
            <w:pPr>
              <w:pStyle w:val="a3"/>
              <w:adjustRightInd w:val="0"/>
              <w:snapToGrid w:val="0"/>
              <w:spacing w:before="0" w:beforeAutospacing="0" w:after="0" w:afterAutospacing="0"/>
              <w:ind w:firstLine="321"/>
              <w:rPr>
                <w:rFonts w:ascii="Times New Roman" w:hAnsi="Times New Roman" w:cs="Times New Roman"/>
                <w:sz w:val="16"/>
                <w:szCs w:val="16"/>
              </w:rPr>
            </w:pPr>
            <w:r w:rsidRPr="008A1BD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Study population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A72640" w:rsidRPr="008A1BDF" w:rsidRDefault="00AB672D" w:rsidP="0041239A">
            <w:pPr>
              <w:pStyle w:val="a3"/>
              <w:adjustRightInd w:val="0"/>
              <w:snapToGrid w:val="0"/>
              <w:spacing w:before="0" w:beforeAutospacing="0" w:after="0" w:afterAutospacing="0"/>
              <w:ind w:firstLine="321"/>
              <w:rPr>
                <w:rFonts w:ascii="Times New Roman" w:hAnsi="Times New Roman" w:cs="Times New Roman"/>
                <w:sz w:val="16"/>
                <w:szCs w:val="16"/>
              </w:rPr>
            </w:pPr>
            <w:r w:rsidRPr="008A1BD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OR 0·18 </w:t>
            </w:r>
            <w:r w:rsidRPr="008A1BDF">
              <w:rPr>
                <w:rFonts w:ascii="Times New Roman" w:hAnsi="Times New Roman" w:cs="Times New Roman"/>
                <w:sz w:val="16"/>
                <w:szCs w:val="16"/>
              </w:rPr>
              <w:br/>
              <w:t>(0·1 to 0·34)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A72640" w:rsidRPr="008A1BDF" w:rsidRDefault="00AB672D" w:rsidP="0041239A">
            <w:pPr>
              <w:pStyle w:val="a3"/>
              <w:adjustRightInd w:val="0"/>
              <w:snapToGrid w:val="0"/>
              <w:spacing w:before="0" w:beforeAutospacing="0" w:after="0" w:afterAutospacing="0"/>
              <w:ind w:firstLine="320"/>
              <w:rPr>
                <w:rFonts w:ascii="Times New Roman" w:hAnsi="Times New Roman" w:cs="Times New Roman"/>
                <w:sz w:val="16"/>
                <w:szCs w:val="16"/>
              </w:rPr>
            </w:pPr>
            <w:r w:rsidRPr="008A1BDF">
              <w:rPr>
                <w:rFonts w:ascii="Times New Roman" w:hAnsi="Times New Roman" w:cs="Times New Roman"/>
                <w:sz w:val="16"/>
                <w:szCs w:val="16"/>
              </w:rPr>
              <w:t>224</w:t>
            </w:r>
            <w:r w:rsidRPr="008A1BDF">
              <w:rPr>
                <w:rFonts w:ascii="Times New Roman" w:hAnsi="Times New Roman" w:cs="Times New Roman"/>
                <w:sz w:val="16"/>
                <w:szCs w:val="16"/>
              </w:rPr>
              <w:br/>
              <w:t>(3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A72640" w:rsidRPr="008A1BDF" w:rsidRDefault="00AB672D" w:rsidP="0041239A">
            <w:pPr>
              <w:pStyle w:val="a3"/>
              <w:adjustRightInd w:val="0"/>
              <w:snapToGrid w:val="0"/>
              <w:spacing w:before="0" w:beforeAutospacing="0" w:after="0" w:afterAutospacing="0"/>
              <w:ind w:firstLine="320"/>
              <w:rPr>
                <w:rFonts w:ascii="Times New Roman" w:hAnsi="Times New Roman" w:cs="Times New Roman"/>
                <w:sz w:val="16"/>
                <w:szCs w:val="16"/>
              </w:rPr>
            </w:pPr>
            <w:r w:rsidRPr="008A1BDF">
              <w:rPr>
                <w:rFonts w:hint="eastAsia"/>
                <w:sz w:val="16"/>
                <w:szCs w:val="16"/>
              </w:rPr>
              <w:t>⊕⊕⊕</w:t>
            </w:r>
            <w:r w:rsidRPr="008A1BDF">
              <w:rPr>
                <w:rFonts w:ascii="Cambria Math" w:hAnsi="Cambria Math" w:cs="Cambria Math"/>
                <w:sz w:val="16"/>
                <w:szCs w:val="16"/>
              </w:rPr>
              <w:t>⊝</w:t>
            </w:r>
            <w:r w:rsidRPr="008A1BDF">
              <w:rPr>
                <w:rFonts w:ascii="Times New Roman" w:hAnsi="Times New Roman" w:cs="Times New Roman"/>
                <w:sz w:val="16"/>
                <w:szCs w:val="16"/>
              </w:rPr>
              <w:br/>
            </w:r>
            <w:r w:rsidRPr="008A1BD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moderate</w:t>
            </w:r>
            <w:r w:rsidRPr="008A1BD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D3D3D3"/>
          </w:tcPr>
          <w:p w:rsidR="00A72640" w:rsidRPr="008A1BDF" w:rsidRDefault="00AB672D" w:rsidP="0041239A">
            <w:pPr>
              <w:pStyle w:val="a3"/>
              <w:adjustRightInd w:val="0"/>
              <w:snapToGrid w:val="0"/>
              <w:spacing w:before="0" w:beforeAutospacing="0" w:after="0" w:afterAutospacing="0"/>
              <w:ind w:firstLine="321"/>
              <w:rPr>
                <w:rFonts w:ascii="Times New Roman" w:hAnsi="Times New Roman" w:cs="Times New Roman"/>
                <w:sz w:val="16"/>
                <w:szCs w:val="16"/>
              </w:rPr>
            </w:pPr>
            <w:r w:rsidRPr="008A1BD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709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</w:tcPr>
          <w:p w:rsidR="00A72640" w:rsidRPr="008A1BDF" w:rsidRDefault="00AB672D" w:rsidP="0041239A">
            <w:pPr>
              <w:pStyle w:val="a3"/>
              <w:adjustRightInd w:val="0"/>
              <w:snapToGrid w:val="0"/>
              <w:spacing w:before="0" w:beforeAutospacing="0" w:after="0" w:afterAutospacing="0"/>
              <w:ind w:firstLine="321"/>
              <w:rPr>
                <w:rFonts w:ascii="Times New Roman" w:hAnsi="Times New Roman" w:cs="Times New Roman"/>
                <w:sz w:val="16"/>
                <w:szCs w:val="16"/>
              </w:rPr>
            </w:pPr>
            <w:r w:rsidRPr="008A1BD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305 per 1000</w:t>
            </w:r>
            <w:r w:rsidRPr="008A1BDF">
              <w:rPr>
                <w:rFonts w:ascii="Times New Roman" w:hAnsi="Times New Roman" w:cs="Times New Roman"/>
                <w:sz w:val="16"/>
                <w:szCs w:val="16"/>
              </w:rPr>
              <w:br/>
              <w:t>(196 to 453)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640" w:rsidRPr="008A1BDF" w:rsidRDefault="00AB672D" w:rsidP="0041239A">
            <w:pPr>
              <w:pStyle w:val="a3"/>
              <w:adjustRightInd w:val="0"/>
              <w:snapToGrid w:val="0"/>
              <w:spacing w:before="0" w:beforeAutospacing="0" w:after="0" w:afterAutospacing="0"/>
              <w:ind w:firstLine="321"/>
              <w:rPr>
                <w:rFonts w:ascii="Times New Roman" w:hAnsi="Times New Roman" w:cs="Times New Roman"/>
                <w:sz w:val="16"/>
                <w:szCs w:val="16"/>
              </w:rPr>
            </w:pPr>
            <w:r w:rsidRPr="008A1BD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D3D3D3"/>
          </w:tcPr>
          <w:p w:rsidR="00A72640" w:rsidRPr="008A1BDF" w:rsidRDefault="00AB672D" w:rsidP="0041239A">
            <w:pPr>
              <w:pStyle w:val="a3"/>
              <w:adjustRightInd w:val="0"/>
              <w:snapToGrid w:val="0"/>
              <w:spacing w:before="0" w:beforeAutospacing="0" w:after="0" w:afterAutospacing="0"/>
              <w:ind w:firstLine="321"/>
              <w:rPr>
                <w:rFonts w:ascii="Times New Roman" w:hAnsi="Times New Roman" w:cs="Times New Roman"/>
                <w:sz w:val="16"/>
                <w:szCs w:val="16"/>
              </w:rPr>
            </w:pPr>
            <w:r w:rsidRPr="008A1BD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667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</w:tcPr>
          <w:p w:rsidR="00A72640" w:rsidRPr="008A1BDF" w:rsidRDefault="00AB672D" w:rsidP="0041239A">
            <w:pPr>
              <w:pStyle w:val="a3"/>
              <w:adjustRightInd w:val="0"/>
              <w:snapToGrid w:val="0"/>
              <w:spacing w:before="0" w:beforeAutospacing="0" w:after="0" w:afterAutospacing="0"/>
              <w:ind w:firstLine="321"/>
              <w:rPr>
                <w:rFonts w:ascii="Times New Roman" w:hAnsi="Times New Roman" w:cs="Times New Roman"/>
                <w:sz w:val="16"/>
                <w:szCs w:val="16"/>
              </w:rPr>
            </w:pPr>
            <w:r w:rsidRPr="008A1BD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265 per </w:t>
            </w:r>
            <w:r w:rsidRPr="008A1BD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1000</w:t>
            </w:r>
            <w:r w:rsidRPr="008A1BDF">
              <w:rPr>
                <w:rFonts w:ascii="Times New Roman" w:hAnsi="Times New Roman" w:cs="Times New Roman"/>
                <w:sz w:val="16"/>
                <w:szCs w:val="16"/>
              </w:rPr>
              <w:br/>
              <w:t>(167 to 405)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:rsidR="00A72640" w:rsidRPr="008A1BDF" w:rsidRDefault="00AB672D" w:rsidP="0041239A">
            <w:pPr>
              <w:adjustRightInd w:val="0"/>
              <w:snapToGrid w:val="0"/>
              <w:ind w:firstLine="320"/>
              <w:rPr>
                <w:sz w:val="16"/>
                <w:szCs w:val="16"/>
              </w:rPr>
            </w:pPr>
            <w:r w:rsidRPr="008A1BDF">
              <w:rPr>
                <w:sz w:val="16"/>
                <w:szCs w:val="16"/>
              </w:rPr>
              <w:t xml:space="preserve">*The basis for the </w:t>
            </w:r>
            <w:r w:rsidRPr="008A1BDF">
              <w:rPr>
                <w:b/>
                <w:bCs/>
                <w:sz w:val="16"/>
                <w:szCs w:val="16"/>
              </w:rPr>
              <w:t>assumed risk</w:t>
            </w:r>
            <w:r w:rsidRPr="008A1BDF">
              <w:rPr>
                <w:sz w:val="16"/>
                <w:szCs w:val="16"/>
              </w:rPr>
              <w:t xml:space="preserve"> (e.g. the median control group risk across studies) is provided in footnotes. The </w:t>
            </w:r>
            <w:r w:rsidRPr="008A1BDF">
              <w:rPr>
                <w:b/>
                <w:bCs/>
                <w:sz w:val="16"/>
                <w:szCs w:val="16"/>
              </w:rPr>
              <w:t>corresponding risk</w:t>
            </w:r>
            <w:r w:rsidRPr="008A1BDF">
              <w:rPr>
                <w:sz w:val="16"/>
                <w:szCs w:val="16"/>
              </w:rPr>
              <w:t xml:space="preserve"> (and its 95% confidence interval) is based on the assumed risk in the comparison group and the </w:t>
            </w:r>
            <w:r w:rsidRPr="008A1BDF">
              <w:rPr>
                <w:b/>
                <w:bCs/>
                <w:sz w:val="16"/>
                <w:szCs w:val="16"/>
              </w:rPr>
              <w:t>relative effect</w:t>
            </w:r>
            <w:r w:rsidRPr="008A1BDF">
              <w:rPr>
                <w:sz w:val="16"/>
                <w:szCs w:val="16"/>
              </w:rPr>
              <w:t xml:space="preserve"> of the intervention (and its 95% CI).</w:t>
            </w:r>
            <w:r w:rsidRPr="008A1BDF">
              <w:rPr>
                <w:sz w:val="16"/>
                <w:szCs w:val="16"/>
              </w:rPr>
              <w:br/>
            </w:r>
            <w:r w:rsidRPr="008A1BDF">
              <w:rPr>
                <w:sz w:val="16"/>
                <w:szCs w:val="16"/>
              </w:rPr>
              <w:br/>
            </w:r>
            <w:r w:rsidRPr="008A1BDF">
              <w:rPr>
                <w:b/>
                <w:bCs/>
                <w:sz w:val="16"/>
                <w:szCs w:val="16"/>
              </w:rPr>
              <w:t>CI:</w:t>
            </w:r>
            <w:r w:rsidRPr="008A1BDF">
              <w:rPr>
                <w:sz w:val="16"/>
                <w:szCs w:val="16"/>
              </w:rPr>
              <w:t xml:space="preserve"> Confidence interval; </w:t>
            </w:r>
            <w:r w:rsidRPr="008A1BDF">
              <w:rPr>
                <w:b/>
                <w:bCs/>
                <w:sz w:val="16"/>
                <w:szCs w:val="16"/>
              </w:rPr>
              <w:t>OR:</w:t>
            </w:r>
            <w:r w:rsidRPr="008A1BDF">
              <w:rPr>
                <w:sz w:val="16"/>
                <w:szCs w:val="16"/>
              </w:rPr>
              <w:t xml:space="preserve"> Odds ratio; </w:t>
            </w:r>
          </w:p>
        </w:tc>
      </w:tr>
      <w:tr w:rsidR="00A72640" w:rsidRPr="008A1BDF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:rsidR="00A72640" w:rsidRPr="008A1BDF" w:rsidRDefault="00AB672D" w:rsidP="0041239A">
            <w:pPr>
              <w:adjustRightInd w:val="0"/>
              <w:snapToGrid w:val="0"/>
              <w:ind w:firstLine="320"/>
              <w:rPr>
                <w:sz w:val="16"/>
                <w:szCs w:val="16"/>
              </w:rPr>
            </w:pPr>
            <w:r w:rsidRPr="008A1BDF">
              <w:rPr>
                <w:sz w:val="16"/>
                <w:szCs w:val="16"/>
              </w:rPr>
              <w:t>GRADE Working Group grades of evidence</w:t>
            </w:r>
            <w:r w:rsidRPr="008A1BDF">
              <w:rPr>
                <w:sz w:val="16"/>
                <w:szCs w:val="16"/>
              </w:rPr>
              <w:br/>
            </w:r>
            <w:r w:rsidRPr="008A1BDF">
              <w:rPr>
                <w:b/>
                <w:bCs/>
                <w:sz w:val="16"/>
                <w:szCs w:val="16"/>
              </w:rPr>
              <w:t>High quality:</w:t>
            </w:r>
            <w:r w:rsidRPr="008A1BDF">
              <w:rPr>
                <w:sz w:val="16"/>
                <w:szCs w:val="16"/>
              </w:rPr>
              <w:t xml:space="preserve"> Further research is very unlikely to change our confidence in the estimate of effect. </w:t>
            </w:r>
            <w:r w:rsidRPr="008A1BDF">
              <w:rPr>
                <w:sz w:val="16"/>
                <w:szCs w:val="16"/>
              </w:rPr>
              <w:br/>
            </w:r>
            <w:r w:rsidRPr="008A1BDF">
              <w:rPr>
                <w:b/>
                <w:bCs/>
                <w:sz w:val="16"/>
                <w:szCs w:val="16"/>
              </w:rPr>
              <w:t>Moderate quality:</w:t>
            </w:r>
            <w:r w:rsidRPr="008A1BDF">
              <w:rPr>
                <w:sz w:val="16"/>
                <w:szCs w:val="16"/>
              </w:rPr>
              <w:t xml:space="preserve"> </w:t>
            </w:r>
            <w:r w:rsidRPr="008A1BDF">
              <w:rPr>
                <w:sz w:val="16"/>
                <w:szCs w:val="16"/>
              </w:rPr>
              <w:t>Further research is likely to have an important impact on our confidence in the estimate of effect and may change the estimate.</w:t>
            </w:r>
            <w:r w:rsidRPr="008A1BDF">
              <w:rPr>
                <w:sz w:val="16"/>
                <w:szCs w:val="16"/>
              </w:rPr>
              <w:br/>
            </w:r>
            <w:r w:rsidRPr="008A1BDF">
              <w:rPr>
                <w:b/>
                <w:bCs/>
                <w:sz w:val="16"/>
                <w:szCs w:val="16"/>
              </w:rPr>
              <w:t>Low quality:</w:t>
            </w:r>
            <w:r w:rsidRPr="008A1BDF">
              <w:rPr>
                <w:sz w:val="16"/>
                <w:szCs w:val="16"/>
              </w:rPr>
              <w:t xml:space="preserve"> Further research is very likely to have an important impact on our confidence in the estimate of effect and is like</w:t>
            </w:r>
            <w:r w:rsidRPr="008A1BDF">
              <w:rPr>
                <w:sz w:val="16"/>
                <w:szCs w:val="16"/>
              </w:rPr>
              <w:t>ly to change the estimate.</w:t>
            </w:r>
            <w:r w:rsidRPr="008A1BDF">
              <w:rPr>
                <w:sz w:val="16"/>
                <w:szCs w:val="16"/>
              </w:rPr>
              <w:br/>
            </w:r>
            <w:r w:rsidRPr="008A1BDF">
              <w:rPr>
                <w:b/>
                <w:bCs/>
                <w:sz w:val="16"/>
                <w:szCs w:val="16"/>
              </w:rPr>
              <w:t>Very low quality:</w:t>
            </w:r>
            <w:r w:rsidRPr="008A1BDF">
              <w:rPr>
                <w:sz w:val="16"/>
                <w:szCs w:val="16"/>
              </w:rPr>
              <w:t xml:space="preserve"> We are very uncertain about the estimate.</w:t>
            </w:r>
          </w:p>
        </w:tc>
      </w:tr>
      <w:tr w:rsidR="00A72640" w:rsidRPr="008A1BDF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:rsidR="00A72640" w:rsidRPr="008A1BDF" w:rsidRDefault="00AB672D" w:rsidP="0041239A">
            <w:pPr>
              <w:adjustRightInd w:val="0"/>
              <w:snapToGrid w:val="0"/>
              <w:ind w:firstLine="320"/>
              <w:rPr>
                <w:sz w:val="16"/>
                <w:szCs w:val="16"/>
              </w:rPr>
            </w:pPr>
            <w:r w:rsidRPr="008A1BDF">
              <w:rPr>
                <w:sz w:val="16"/>
                <w:szCs w:val="16"/>
                <w:vertAlign w:val="superscript"/>
              </w:rPr>
              <w:t>1</w:t>
            </w:r>
            <w:r w:rsidRPr="008A1BDF">
              <w:rPr>
                <w:sz w:val="16"/>
                <w:szCs w:val="16"/>
              </w:rPr>
              <w:t xml:space="preserve"> The DEBATE-ISR trial has a bias in the process, which may cause an error in the results.</w:t>
            </w:r>
          </w:p>
        </w:tc>
      </w:tr>
    </w:tbl>
    <w:p w:rsidR="00A72640" w:rsidRDefault="00A72640" w:rsidP="0041239A">
      <w:pPr>
        <w:adjustRightInd w:val="0"/>
        <w:snapToGrid w:val="0"/>
        <w:ind w:firstLine="420"/>
        <w:rPr>
          <w:rFonts w:eastAsia="宋体"/>
        </w:rPr>
      </w:pPr>
    </w:p>
    <w:p w:rsidR="009541F4" w:rsidRDefault="009541F4" w:rsidP="0041239A">
      <w:pPr>
        <w:adjustRightInd w:val="0"/>
        <w:snapToGrid w:val="0"/>
        <w:ind w:firstLine="420"/>
        <w:rPr>
          <w:rFonts w:eastAsia="宋体"/>
        </w:rPr>
      </w:pPr>
    </w:p>
    <w:p w:rsidR="00A72640" w:rsidRPr="008A1BDF" w:rsidRDefault="00AB672D" w:rsidP="002C3759">
      <w:pPr>
        <w:pStyle w:val="a5"/>
        <w:rPr>
          <w:rFonts w:eastAsia="宋体"/>
        </w:rPr>
      </w:pPr>
      <w:r w:rsidRPr="008A1BDF">
        <w:rPr>
          <w:rFonts w:eastAsia="宋体"/>
        </w:rPr>
        <w:t xml:space="preserve">Supplementary Table 2. Assessment of evidence within the primary patency </w:t>
      </w:r>
      <w:r w:rsidRPr="008A1BDF">
        <w:rPr>
          <w:rFonts w:eastAsia="宋体"/>
        </w:rPr>
        <w:t>outcome</w:t>
      </w:r>
      <w:r w:rsidR="009541F4">
        <w:rPr>
          <w:rFonts w:eastAsia="宋体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06"/>
        <w:gridCol w:w="1299"/>
        <w:gridCol w:w="1734"/>
        <w:gridCol w:w="1254"/>
        <w:gridCol w:w="1344"/>
        <w:gridCol w:w="1492"/>
        <w:gridCol w:w="1275"/>
      </w:tblGrid>
      <w:tr w:rsidR="00A72640" w:rsidRPr="008A1BDF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61"/>
              <w:jc w:val="left"/>
              <w:rPr>
                <w:rFonts w:eastAsia="宋体"/>
                <w:b/>
                <w:bCs/>
                <w:sz w:val="18"/>
                <w:szCs w:val="18"/>
              </w:rPr>
            </w:pPr>
            <w:r w:rsidRPr="008A1BDF">
              <w:rPr>
                <w:rFonts w:eastAsia="宋体"/>
                <w:b/>
                <w:bCs/>
                <w:sz w:val="18"/>
                <w:szCs w:val="18"/>
              </w:rPr>
              <w:t xml:space="preserve">Primary Patency for </w:t>
            </w:r>
            <w:proofErr w:type="spellStart"/>
            <w:r w:rsidRPr="008A1BDF">
              <w:rPr>
                <w:rFonts w:eastAsia="宋体"/>
                <w:b/>
                <w:bCs/>
                <w:sz w:val="18"/>
                <w:szCs w:val="18"/>
              </w:rPr>
              <w:t>femoropopliteal</w:t>
            </w:r>
            <w:proofErr w:type="spellEnd"/>
            <w:r w:rsidRPr="008A1BDF">
              <w:rPr>
                <w:rFonts w:eastAsia="宋体"/>
                <w:b/>
                <w:bCs/>
                <w:sz w:val="18"/>
                <w:szCs w:val="18"/>
              </w:rPr>
              <w:t xml:space="preserve"> in-stent restenosis</w:t>
            </w:r>
          </w:p>
        </w:tc>
      </w:tr>
      <w:tr w:rsidR="00A72640" w:rsidRPr="008A1BDF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640" w:rsidRPr="008A1BDF" w:rsidRDefault="00AB672D" w:rsidP="0041239A">
            <w:pPr>
              <w:adjustRightInd w:val="0"/>
              <w:snapToGrid w:val="0"/>
              <w:ind w:firstLine="321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Patient or population:</w:t>
            </w:r>
            <w:r w:rsidRPr="008A1BDF">
              <w:rPr>
                <w:rFonts w:eastAsia="宋体"/>
                <w:sz w:val="16"/>
                <w:szCs w:val="16"/>
              </w:rPr>
              <w:t xml:space="preserve"> patients with </w:t>
            </w:r>
            <w:proofErr w:type="spellStart"/>
            <w:r w:rsidRPr="008A1BDF">
              <w:rPr>
                <w:rFonts w:eastAsia="宋体"/>
                <w:sz w:val="16"/>
                <w:szCs w:val="16"/>
              </w:rPr>
              <w:t>femoropopliteal</w:t>
            </w:r>
            <w:proofErr w:type="spellEnd"/>
            <w:r w:rsidRPr="008A1BDF">
              <w:rPr>
                <w:rFonts w:eastAsia="宋体"/>
                <w:sz w:val="16"/>
                <w:szCs w:val="16"/>
              </w:rPr>
              <w:t xml:space="preserve"> in-stent restenosis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Settings:</w:t>
            </w:r>
            <w:r w:rsidRPr="008A1BDF">
              <w:rPr>
                <w:rFonts w:eastAsia="宋体"/>
                <w:sz w:val="16"/>
                <w:szCs w:val="16"/>
              </w:rPr>
              <w:t xml:space="preserve"> 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Intervention:</w:t>
            </w:r>
            <w:r w:rsidRPr="008A1BDF">
              <w:rPr>
                <w:rFonts w:eastAsia="宋体"/>
                <w:sz w:val="16"/>
                <w:szCs w:val="16"/>
              </w:rPr>
              <w:t xml:space="preserve"> </w:t>
            </w:r>
            <w:r w:rsidRPr="008A1BDF">
              <w:rPr>
                <w:sz w:val="16"/>
                <w:szCs w:val="16"/>
              </w:rPr>
              <w:t xml:space="preserve">Paclitaxel-coated balloon angioplasty (PCB group) or </w:t>
            </w:r>
            <w:r w:rsidRPr="008A1BDF">
              <w:rPr>
                <w:sz w:val="16"/>
                <w:szCs w:val="16"/>
              </w:rPr>
              <w:t>uncoated</w:t>
            </w:r>
            <w:r w:rsidRPr="008A1BDF">
              <w:rPr>
                <w:sz w:val="16"/>
                <w:szCs w:val="16"/>
              </w:rPr>
              <w:t xml:space="preserve"> balloon angioplasty (</w:t>
            </w:r>
            <w:r w:rsidRPr="008A1BDF">
              <w:rPr>
                <w:sz w:val="16"/>
                <w:szCs w:val="16"/>
              </w:rPr>
              <w:t>UCB</w:t>
            </w:r>
            <w:r w:rsidRPr="008A1BDF">
              <w:rPr>
                <w:sz w:val="16"/>
                <w:szCs w:val="16"/>
              </w:rPr>
              <w:t xml:space="preserve"> group)</w:t>
            </w:r>
          </w:p>
        </w:tc>
      </w:tr>
      <w:tr w:rsidR="00A72640" w:rsidRPr="008A1BDF"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Outcomes</w:t>
            </w:r>
          </w:p>
        </w:tc>
        <w:tc>
          <w:tcPr>
            <w:tcW w:w="0" w:type="auto"/>
            <w:gridSpan w:val="2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Illustrative comparative risks* (95% CI)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Relative effect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br/>
              <w:t>(95% CI)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No of Participants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br/>
              <w:t>(studies)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Quality of the evidence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br/>
              <w:t>(GRADE)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Comments</w:t>
            </w:r>
          </w:p>
        </w:tc>
      </w:tr>
      <w:tr w:rsidR="00A72640" w:rsidRPr="008A1BDF"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sz w:val="16"/>
                <w:szCs w:val="16"/>
              </w:rPr>
              <w:t>Assumed risk</w:t>
            </w:r>
          </w:p>
        </w:tc>
        <w:tc>
          <w:tcPr>
            <w:tcW w:w="0" w:type="auto"/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sz w:val="16"/>
                <w:szCs w:val="16"/>
              </w:rPr>
              <w:t>Corresponding risk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b/>
                <w:bCs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b/>
                <w:bCs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Primary Patency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1"/>
              <w:rPr>
                <w:rFonts w:eastAsia="宋体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40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40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400"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A72640" w:rsidRPr="008A1BDF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primary patency (12 months)</w:t>
            </w:r>
            <w:r w:rsidRPr="008A1BDF">
              <w:rPr>
                <w:rFonts w:eastAsia="宋体"/>
                <w:sz w:val="16"/>
                <w:szCs w:val="16"/>
              </w:rPr>
              <w:br/>
              <w:t xml:space="preserve">Follow-up: </w:t>
            </w:r>
            <w:r w:rsidRPr="008A1BDF">
              <w:rPr>
                <w:rFonts w:eastAsia="宋体"/>
                <w:sz w:val="16"/>
                <w:szCs w:val="16"/>
              </w:rPr>
              <w:t>12 months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Study population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 xml:space="preserve">OR 3·5 </w:t>
            </w:r>
            <w:r w:rsidRPr="008A1BDF">
              <w:rPr>
                <w:rFonts w:eastAsia="宋体"/>
                <w:sz w:val="16"/>
                <w:szCs w:val="16"/>
              </w:rPr>
              <w:br/>
              <w:t>(1·65 to 7·4)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sz w:val="16"/>
                <w:szCs w:val="16"/>
              </w:rPr>
              <w:t>156</w:t>
            </w:r>
            <w:r w:rsidRPr="008A1BDF">
              <w:rPr>
                <w:rFonts w:eastAsia="宋体"/>
                <w:sz w:val="16"/>
                <w:szCs w:val="16"/>
              </w:rPr>
              <w:br/>
              <w:t>(3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ascii="宋体" w:eastAsia="宋体" w:hAnsi="宋体" w:cs="宋体" w:hint="eastAsia"/>
                <w:sz w:val="16"/>
                <w:szCs w:val="16"/>
              </w:rPr>
              <w:t>⊕⊕⊕</w:t>
            </w:r>
            <w:r w:rsidRPr="008A1BDF">
              <w:rPr>
                <w:rFonts w:ascii="Cambria Math" w:eastAsia="宋体" w:hAnsi="Cambria Math" w:cs="Cambria Math"/>
                <w:sz w:val="16"/>
                <w:szCs w:val="16"/>
              </w:rPr>
              <w:t>⊝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moderate</w:t>
            </w:r>
            <w:r w:rsidRPr="008A1BDF">
              <w:rPr>
                <w:rFonts w:eastAsia="宋体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459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748 per 1000</w:t>
            </w:r>
            <w:r w:rsidRPr="008A1BDF">
              <w:rPr>
                <w:rFonts w:eastAsia="宋体"/>
                <w:sz w:val="16"/>
                <w:szCs w:val="16"/>
              </w:rPr>
              <w:br/>
              <w:t>(583 to 863)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478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762 per 1000</w:t>
            </w:r>
            <w:r w:rsidRPr="008A1BDF">
              <w:rPr>
                <w:rFonts w:eastAsia="宋体"/>
                <w:sz w:val="16"/>
                <w:szCs w:val="16"/>
              </w:rPr>
              <w:br/>
              <w:t>(602 to 871)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B672D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sz w:val="16"/>
                <w:szCs w:val="16"/>
              </w:rPr>
              <w:t xml:space="preserve">*The basis for the 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assumed risk</w:t>
            </w:r>
            <w:r w:rsidRPr="008A1BDF">
              <w:rPr>
                <w:rFonts w:eastAsia="宋体"/>
                <w:sz w:val="16"/>
                <w:szCs w:val="16"/>
              </w:rPr>
              <w:t xml:space="preserve"> (e.g. the median control group risk across studies) is provided in footnotes. The 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corresponding risk</w:t>
            </w:r>
            <w:r w:rsidRPr="008A1BDF">
              <w:rPr>
                <w:rFonts w:eastAsia="宋体"/>
                <w:sz w:val="16"/>
                <w:szCs w:val="16"/>
              </w:rPr>
              <w:t xml:space="preserve"> (and its 95% confidence interval) is based on the assumed risk in the comparison group and the 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relative effect</w:t>
            </w:r>
            <w:r w:rsidRPr="008A1BDF">
              <w:rPr>
                <w:rFonts w:eastAsia="宋体"/>
                <w:sz w:val="16"/>
                <w:szCs w:val="16"/>
              </w:rPr>
              <w:t xml:space="preserve"> of the intervention (and its 95% CI).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CI:</w:t>
            </w:r>
            <w:r w:rsidRPr="008A1BDF">
              <w:rPr>
                <w:rFonts w:eastAsia="宋体"/>
                <w:sz w:val="16"/>
                <w:szCs w:val="16"/>
              </w:rPr>
              <w:t xml:space="preserve"> Confidence interval; 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OR:</w:t>
            </w:r>
            <w:r w:rsidRPr="008A1BDF">
              <w:rPr>
                <w:rFonts w:eastAsia="宋体"/>
                <w:sz w:val="16"/>
                <w:szCs w:val="16"/>
              </w:rPr>
              <w:t xml:space="preserve"> Odds ratio; </w:t>
            </w:r>
          </w:p>
        </w:tc>
      </w:tr>
      <w:tr w:rsidR="00A72640" w:rsidRPr="008A1BDF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B672D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sz w:val="16"/>
                <w:szCs w:val="16"/>
              </w:rPr>
              <w:t>GRADE Working Group grades of evidence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High quality:</w:t>
            </w:r>
            <w:r w:rsidRPr="008A1BDF">
              <w:rPr>
                <w:rFonts w:eastAsia="宋体"/>
                <w:sz w:val="16"/>
                <w:szCs w:val="16"/>
              </w:rPr>
              <w:t xml:space="preserve"> Further research is very unlikely to change our confidence in the estimate of effect. 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Moderate quality:</w:t>
            </w:r>
            <w:r w:rsidRPr="008A1BDF">
              <w:rPr>
                <w:rFonts w:eastAsia="宋体"/>
                <w:sz w:val="16"/>
                <w:szCs w:val="16"/>
              </w:rPr>
              <w:t xml:space="preserve"> Further research is likely to have an important impact on </w:t>
            </w:r>
            <w:r w:rsidRPr="008A1BDF">
              <w:rPr>
                <w:rFonts w:eastAsia="宋体"/>
                <w:sz w:val="16"/>
                <w:szCs w:val="16"/>
              </w:rPr>
              <w:t>our confidence in the estimate of effect and may change the estimate.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Low quality:</w:t>
            </w:r>
            <w:r w:rsidRPr="008A1BDF">
              <w:rPr>
                <w:rFonts w:eastAsia="宋体"/>
                <w:sz w:val="16"/>
                <w:szCs w:val="16"/>
              </w:rPr>
              <w:t xml:space="preserve"> Further research is very likely to have an important impact on our confidence in the estimate of effect and is likely to change the estimate.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Very low quality:</w:t>
            </w:r>
            <w:r w:rsidRPr="008A1BDF">
              <w:rPr>
                <w:rFonts w:eastAsia="宋体"/>
                <w:sz w:val="16"/>
                <w:szCs w:val="16"/>
              </w:rPr>
              <w:t xml:space="preserve"> We are very u</w:t>
            </w:r>
            <w:r w:rsidRPr="008A1BDF">
              <w:rPr>
                <w:rFonts w:eastAsia="宋体"/>
                <w:sz w:val="16"/>
                <w:szCs w:val="16"/>
              </w:rPr>
              <w:t>ncertain about the estimate.</w:t>
            </w:r>
          </w:p>
        </w:tc>
      </w:tr>
      <w:tr w:rsidR="00A72640" w:rsidRPr="008A1BDF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B672D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sz w:val="16"/>
                <w:szCs w:val="16"/>
                <w:vertAlign w:val="superscript"/>
              </w:rPr>
              <w:lastRenderedPageBreak/>
              <w:t>1</w:t>
            </w:r>
            <w:r w:rsidRPr="008A1BDF">
              <w:rPr>
                <w:rFonts w:eastAsia="宋体"/>
                <w:sz w:val="16"/>
                <w:szCs w:val="16"/>
              </w:rPr>
              <w:t xml:space="preserve"> The PACUBA study contained a few number of participants in the 12-month follow-up, which may cause a low precision ratio.</w:t>
            </w:r>
          </w:p>
        </w:tc>
      </w:tr>
    </w:tbl>
    <w:p w:rsidR="00A72640" w:rsidRDefault="00A72640" w:rsidP="0041239A">
      <w:pPr>
        <w:adjustRightInd w:val="0"/>
        <w:snapToGrid w:val="0"/>
        <w:ind w:firstLine="420"/>
        <w:rPr>
          <w:rFonts w:eastAsia="宋体"/>
        </w:rPr>
      </w:pPr>
    </w:p>
    <w:p w:rsidR="005A1B46" w:rsidRDefault="005A1B46" w:rsidP="0041239A">
      <w:pPr>
        <w:adjustRightInd w:val="0"/>
        <w:snapToGrid w:val="0"/>
        <w:ind w:firstLine="420"/>
        <w:rPr>
          <w:rFonts w:eastAsia="宋体"/>
        </w:rPr>
      </w:pPr>
    </w:p>
    <w:p w:rsidR="00A72640" w:rsidRPr="008A1BDF" w:rsidRDefault="00AB672D" w:rsidP="002C3759">
      <w:pPr>
        <w:pStyle w:val="a5"/>
        <w:rPr>
          <w:rFonts w:eastAsia="宋体"/>
        </w:rPr>
      </w:pPr>
      <w:r w:rsidRPr="008A1BDF">
        <w:rPr>
          <w:rFonts w:eastAsia="宋体"/>
        </w:rPr>
        <w:t>Supplementary Table 3. Assessment of evidence within the freedom from TLR outcome</w:t>
      </w:r>
      <w:r w:rsidR="005A1B46">
        <w:rPr>
          <w:rFonts w:eastAsia="宋体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94"/>
        <w:gridCol w:w="1252"/>
        <w:gridCol w:w="1750"/>
        <w:gridCol w:w="1241"/>
        <w:gridCol w:w="1329"/>
        <w:gridCol w:w="1473"/>
        <w:gridCol w:w="1265"/>
      </w:tblGrid>
      <w:tr w:rsidR="00A72640" w:rsidRPr="008A1BDF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61"/>
              <w:jc w:val="left"/>
              <w:rPr>
                <w:rFonts w:eastAsia="宋体"/>
                <w:b/>
                <w:bCs/>
                <w:sz w:val="18"/>
                <w:szCs w:val="18"/>
              </w:rPr>
            </w:pPr>
            <w:r w:rsidRPr="008A1BDF">
              <w:rPr>
                <w:rFonts w:eastAsia="宋体"/>
                <w:b/>
                <w:bCs/>
                <w:sz w:val="18"/>
                <w:szCs w:val="18"/>
              </w:rPr>
              <w:t xml:space="preserve">Freedom From TLR </w:t>
            </w:r>
            <w:r w:rsidRPr="008A1BDF">
              <w:rPr>
                <w:rFonts w:eastAsia="宋体"/>
                <w:b/>
                <w:bCs/>
                <w:sz w:val="18"/>
                <w:szCs w:val="18"/>
              </w:rPr>
              <w:t xml:space="preserve">for </w:t>
            </w:r>
            <w:proofErr w:type="spellStart"/>
            <w:r w:rsidRPr="008A1BDF">
              <w:rPr>
                <w:rFonts w:eastAsia="宋体"/>
                <w:b/>
                <w:bCs/>
                <w:sz w:val="18"/>
                <w:szCs w:val="18"/>
              </w:rPr>
              <w:t>femoropopliteal</w:t>
            </w:r>
            <w:proofErr w:type="spellEnd"/>
            <w:r w:rsidRPr="008A1BDF">
              <w:rPr>
                <w:rFonts w:eastAsia="宋体"/>
                <w:b/>
                <w:bCs/>
                <w:sz w:val="18"/>
                <w:szCs w:val="18"/>
              </w:rPr>
              <w:t xml:space="preserve"> in-stent restenosis</w:t>
            </w:r>
          </w:p>
        </w:tc>
      </w:tr>
      <w:tr w:rsidR="00A72640" w:rsidRPr="008A1BDF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640" w:rsidRPr="008A1BDF" w:rsidRDefault="00AB672D" w:rsidP="0041239A">
            <w:pPr>
              <w:adjustRightInd w:val="0"/>
              <w:snapToGrid w:val="0"/>
              <w:ind w:firstLine="321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Patient or population:</w:t>
            </w:r>
            <w:r w:rsidRPr="008A1BDF">
              <w:rPr>
                <w:rFonts w:eastAsia="宋体"/>
                <w:sz w:val="16"/>
                <w:szCs w:val="16"/>
              </w:rPr>
              <w:t xml:space="preserve"> patients with </w:t>
            </w:r>
            <w:proofErr w:type="spellStart"/>
            <w:r w:rsidRPr="008A1BDF">
              <w:rPr>
                <w:rFonts w:eastAsia="宋体"/>
                <w:sz w:val="16"/>
                <w:szCs w:val="16"/>
              </w:rPr>
              <w:t>femoropopliteal</w:t>
            </w:r>
            <w:proofErr w:type="spellEnd"/>
            <w:r w:rsidRPr="008A1BDF">
              <w:rPr>
                <w:rFonts w:eastAsia="宋体"/>
                <w:sz w:val="16"/>
                <w:szCs w:val="16"/>
              </w:rPr>
              <w:t xml:space="preserve"> in-stent restenosis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Settings:</w:t>
            </w:r>
            <w:r w:rsidRPr="008A1BDF">
              <w:rPr>
                <w:rFonts w:eastAsia="宋体"/>
                <w:sz w:val="16"/>
                <w:szCs w:val="16"/>
              </w:rPr>
              <w:t xml:space="preserve"> 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Intervention:</w:t>
            </w:r>
            <w:r w:rsidRPr="008A1BDF">
              <w:rPr>
                <w:rFonts w:eastAsia="宋体"/>
                <w:sz w:val="16"/>
                <w:szCs w:val="16"/>
              </w:rPr>
              <w:t xml:space="preserve"> </w:t>
            </w:r>
            <w:r w:rsidRPr="008A1BDF">
              <w:rPr>
                <w:sz w:val="16"/>
                <w:szCs w:val="16"/>
              </w:rPr>
              <w:t xml:space="preserve">Paclitaxel-coated balloon angioplasty (PCB group) or </w:t>
            </w:r>
            <w:r w:rsidRPr="008A1BDF">
              <w:rPr>
                <w:sz w:val="16"/>
                <w:szCs w:val="16"/>
              </w:rPr>
              <w:t>uncoated</w:t>
            </w:r>
            <w:r w:rsidRPr="008A1BDF">
              <w:rPr>
                <w:sz w:val="16"/>
                <w:szCs w:val="16"/>
              </w:rPr>
              <w:t xml:space="preserve"> balloon angioplasty (</w:t>
            </w:r>
            <w:r w:rsidRPr="008A1BDF">
              <w:rPr>
                <w:sz w:val="16"/>
                <w:szCs w:val="16"/>
              </w:rPr>
              <w:t>UCB</w:t>
            </w:r>
            <w:r w:rsidRPr="008A1BDF">
              <w:rPr>
                <w:sz w:val="16"/>
                <w:szCs w:val="16"/>
              </w:rPr>
              <w:t xml:space="preserve"> group)</w:t>
            </w:r>
          </w:p>
        </w:tc>
      </w:tr>
      <w:tr w:rsidR="00A72640" w:rsidRPr="008A1BDF"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Outcomes</w:t>
            </w:r>
          </w:p>
        </w:tc>
        <w:tc>
          <w:tcPr>
            <w:tcW w:w="0" w:type="auto"/>
            <w:gridSpan w:val="2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 xml:space="preserve">Illustrative 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comparative risks* (95% CI)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Relative effect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br/>
              <w:t>(95% CI)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No of Participants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br/>
              <w:t>(studies)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Quality of the evidence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br/>
              <w:t>(GRADE)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Comments</w:t>
            </w:r>
          </w:p>
        </w:tc>
      </w:tr>
      <w:tr w:rsidR="00A72640" w:rsidRPr="008A1BDF"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sz w:val="16"/>
                <w:szCs w:val="16"/>
              </w:rPr>
              <w:t>Assumed risk</w:t>
            </w:r>
          </w:p>
        </w:tc>
        <w:tc>
          <w:tcPr>
            <w:tcW w:w="0" w:type="auto"/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sz w:val="16"/>
                <w:szCs w:val="16"/>
              </w:rPr>
              <w:t>Corresponding risk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b/>
                <w:bCs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b/>
                <w:bCs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Freedom From TLR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1"/>
              <w:rPr>
                <w:rFonts w:eastAsia="宋体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40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40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400"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A72640" w:rsidRPr="008A1BDF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Freedom from TLR (6 months)</w:t>
            </w:r>
            <w:r w:rsidRPr="008A1BDF">
              <w:rPr>
                <w:rFonts w:eastAsia="宋体"/>
                <w:sz w:val="16"/>
                <w:szCs w:val="16"/>
              </w:rPr>
              <w:br/>
              <w:t>Follow-up: 6 months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 xml:space="preserve">Study 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population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 xml:space="preserve">OR 2.55 </w:t>
            </w:r>
            <w:r w:rsidRPr="008A1BDF">
              <w:rPr>
                <w:rFonts w:eastAsia="宋体"/>
                <w:sz w:val="16"/>
                <w:szCs w:val="16"/>
              </w:rPr>
              <w:br/>
              <w:t>(1.25 to 5.19)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sz w:val="16"/>
                <w:szCs w:val="16"/>
              </w:rPr>
              <w:t>391</w:t>
            </w:r>
            <w:r w:rsidRPr="008A1BDF">
              <w:rPr>
                <w:rFonts w:eastAsia="宋体"/>
                <w:sz w:val="16"/>
                <w:szCs w:val="16"/>
              </w:rPr>
              <w:br/>
              <w:t>(5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ascii="宋体" w:eastAsia="宋体" w:hAnsi="宋体" w:cs="宋体" w:hint="eastAsia"/>
                <w:sz w:val="16"/>
                <w:szCs w:val="16"/>
              </w:rPr>
              <w:t>⊕⊕⊕</w:t>
            </w:r>
            <w:r w:rsidRPr="008A1BDF">
              <w:rPr>
                <w:rFonts w:ascii="Cambria Math" w:eastAsia="宋体" w:hAnsi="Cambria Math" w:cs="Cambria Math"/>
                <w:sz w:val="16"/>
                <w:szCs w:val="16"/>
              </w:rPr>
              <w:t>⊝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moderate</w:t>
            </w:r>
            <w:r w:rsidRPr="008A1BDF">
              <w:rPr>
                <w:rFonts w:eastAsia="宋体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839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930 per 1000</w:t>
            </w:r>
            <w:r w:rsidRPr="008A1BDF">
              <w:rPr>
                <w:rFonts w:eastAsia="宋体"/>
                <w:sz w:val="16"/>
                <w:szCs w:val="16"/>
              </w:rPr>
              <w:br/>
              <w:t>(867 to 964)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839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930 per 1000</w:t>
            </w:r>
            <w:r w:rsidRPr="008A1BDF">
              <w:rPr>
                <w:rFonts w:eastAsia="宋体"/>
                <w:sz w:val="16"/>
                <w:szCs w:val="16"/>
              </w:rPr>
              <w:br/>
              <w:t>(867 to 964)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Freedom From TLR (12 months)</w:t>
            </w:r>
            <w:r w:rsidRPr="008A1BDF">
              <w:rPr>
                <w:rFonts w:eastAsia="宋体"/>
                <w:sz w:val="16"/>
                <w:szCs w:val="16"/>
              </w:rPr>
              <w:br/>
              <w:t>Follow-up: 12 months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Study population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 xml:space="preserve">OR 4.02 </w:t>
            </w:r>
            <w:r w:rsidRPr="008A1BDF">
              <w:rPr>
                <w:rFonts w:eastAsia="宋体"/>
                <w:sz w:val="16"/>
                <w:szCs w:val="16"/>
              </w:rPr>
              <w:br/>
              <w:t xml:space="preserve">(2.55 </w:t>
            </w:r>
            <w:r w:rsidRPr="008A1BDF">
              <w:rPr>
                <w:rFonts w:eastAsia="宋体"/>
                <w:sz w:val="16"/>
                <w:szCs w:val="16"/>
              </w:rPr>
              <w:t>to 6.34)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sz w:val="16"/>
                <w:szCs w:val="16"/>
              </w:rPr>
              <w:t>475</w:t>
            </w:r>
            <w:r w:rsidRPr="008A1BDF">
              <w:rPr>
                <w:rFonts w:eastAsia="宋体"/>
                <w:sz w:val="16"/>
                <w:szCs w:val="16"/>
              </w:rPr>
              <w:br/>
              <w:t>(7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ascii="宋体" w:eastAsia="宋体" w:hAnsi="宋体" w:cs="宋体" w:hint="eastAsia"/>
                <w:sz w:val="16"/>
                <w:szCs w:val="16"/>
              </w:rPr>
              <w:t>⊕⊕⊕</w:t>
            </w:r>
            <w:r w:rsidRPr="008A1BDF">
              <w:rPr>
                <w:rFonts w:ascii="Cambria Math" w:eastAsia="宋体" w:hAnsi="Cambria Math" w:cs="Cambria Math"/>
                <w:sz w:val="16"/>
                <w:szCs w:val="16"/>
              </w:rPr>
              <w:t>⊝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moderate</w:t>
            </w:r>
            <w:r w:rsidRPr="008A1BDF">
              <w:rPr>
                <w:rFonts w:eastAsia="宋体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613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834 per 1000</w:t>
            </w:r>
            <w:r w:rsidRPr="008A1BDF">
              <w:rPr>
                <w:rFonts w:eastAsia="宋体"/>
                <w:sz w:val="16"/>
                <w:szCs w:val="16"/>
              </w:rPr>
              <w:br/>
              <w:t>(724 to 944)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625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850 per 1000</w:t>
            </w:r>
            <w:r w:rsidRPr="008A1BDF">
              <w:rPr>
                <w:rFonts w:eastAsia="宋体"/>
                <w:sz w:val="16"/>
                <w:szCs w:val="16"/>
              </w:rPr>
              <w:br/>
              <w:t>(737 to 962)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B672D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sz w:val="16"/>
                <w:szCs w:val="16"/>
              </w:rPr>
              <w:t xml:space="preserve">*The basis for the 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assumed risk</w:t>
            </w:r>
            <w:r w:rsidRPr="008A1BDF">
              <w:rPr>
                <w:rFonts w:eastAsia="宋体"/>
                <w:sz w:val="16"/>
                <w:szCs w:val="16"/>
              </w:rPr>
              <w:t xml:space="preserve"> (e.g. the median control group risk across studies) is provided in footnotes. The 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corresponding risk</w:t>
            </w:r>
            <w:r w:rsidRPr="008A1BDF">
              <w:rPr>
                <w:rFonts w:eastAsia="宋体"/>
                <w:sz w:val="16"/>
                <w:szCs w:val="16"/>
              </w:rPr>
              <w:t xml:space="preserve"> (and its 95% confidence interval) is based on the assumed risk in the comparison group and the 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relative effect</w:t>
            </w:r>
            <w:r w:rsidRPr="008A1BDF">
              <w:rPr>
                <w:rFonts w:eastAsia="宋体"/>
                <w:sz w:val="16"/>
                <w:szCs w:val="16"/>
              </w:rPr>
              <w:t xml:space="preserve"> of the intervention (and its 95% CI).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CI:</w:t>
            </w:r>
            <w:r w:rsidRPr="008A1BDF">
              <w:rPr>
                <w:rFonts w:eastAsia="宋体"/>
                <w:sz w:val="16"/>
                <w:szCs w:val="16"/>
              </w:rPr>
              <w:t xml:space="preserve"> Confidence interval; 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RR:</w:t>
            </w:r>
            <w:r w:rsidRPr="008A1BDF">
              <w:rPr>
                <w:rFonts w:eastAsia="宋体"/>
                <w:sz w:val="16"/>
                <w:szCs w:val="16"/>
              </w:rPr>
              <w:t xml:space="preserve"> Risk ratio; 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OR:</w:t>
            </w:r>
            <w:r w:rsidRPr="008A1BDF">
              <w:rPr>
                <w:rFonts w:eastAsia="宋体"/>
                <w:sz w:val="16"/>
                <w:szCs w:val="16"/>
              </w:rPr>
              <w:t xml:space="preserve"> Odds ratio; </w:t>
            </w:r>
          </w:p>
        </w:tc>
      </w:tr>
      <w:tr w:rsidR="00A72640" w:rsidRPr="008A1BDF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B672D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sz w:val="16"/>
                <w:szCs w:val="16"/>
              </w:rPr>
              <w:t>GRADE Working Group grades of evidence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High quality:</w:t>
            </w:r>
            <w:r w:rsidRPr="008A1BDF">
              <w:rPr>
                <w:rFonts w:eastAsia="宋体"/>
                <w:sz w:val="16"/>
                <w:szCs w:val="16"/>
              </w:rPr>
              <w:t xml:space="preserve"> Further research is very unlikely to change our confidence in the estimate of effect. 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Moderate quality:</w:t>
            </w:r>
            <w:r w:rsidRPr="008A1BDF">
              <w:rPr>
                <w:rFonts w:eastAsia="宋体"/>
                <w:sz w:val="16"/>
                <w:szCs w:val="16"/>
              </w:rPr>
              <w:t xml:space="preserve"> Further research is likely to have an impo</w:t>
            </w:r>
            <w:r w:rsidRPr="008A1BDF">
              <w:rPr>
                <w:rFonts w:eastAsia="宋体"/>
                <w:sz w:val="16"/>
                <w:szCs w:val="16"/>
              </w:rPr>
              <w:t>rtant impact on our confidence in the estimate of effect and may change the estimate.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Low quality:</w:t>
            </w:r>
            <w:r w:rsidRPr="008A1BDF">
              <w:rPr>
                <w:rFonts w:eastAsia="宋体"/>
                <w:sz w:val="16"/>
                <w:szCs w:val="16"/>
              </w:rPr>
              <w:t xml:space="preserve"> Further research is very likely to have an important impact on our confidence in the estimate of effect and is likely to change the estimate.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Very low qualit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y:</w:t>
            </w:r>
            <w:r w:rsidRPr="008A1BDF">
              <w:rPr>
                <w:rFonts w:eastAsia="宋体"/>
                <w:sz w:val="16"/>
                <w:szCs w:val="16"/>
              </w:rPr>
              <w:t xml:space="preserve"> We are very uncertain about the estimate.</w:t>
            </w:r>
          </w:p>
        </w:tc>
      </w:tr>
      <w:tr w:rsidR="00A72640" w:rsidRPr="008A1BDF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B672D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sz w:val="16"/>
                <w:szCs w:val="16"/>
                <w:vertAlign w:val="superscript"/>
              </w:rPr>
              <w:t>1</w:t>
            </w:r>
            <w:r w:rsidRPr="008A1BDF">
              <w:rPr>
                <w:rFonts w:eastAsia="宋体"/>
                <w:sz w:val="16"/>
                <w:szCs w:val="16"/>
              </w:rPr>
              <w:t xml:space="preserve"> Result of FAIR trial is not consistent with others.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sz w:val="16"/>
                <w:szCs w:val="16"/>
                <w:vertAlign w:val="superscript"/>
              </w:rPr>
              <w:t>2</w:t>
            </w:r>
            <w:r w:rsidRPr="008A1BDF">
              <w:rPr>
                <w:rFonts w:eastAsia="宋体"/>
                <w:sz w:val="16"/>
                <w:szCs w:val="16"/>
              </w:rPr>
              <w:t xml:space="preserve"> The DEBATE-ISR trial has a bias in the process, which may cause an error in the results. </w:t>
            </w:r>
          </w:p>
        </w:tc>
      </w:tr>
    </w:tbl>
    <w:p w:rsidR="00A72640" w:rsidRDefault="00A72640" w:rsidP="0041239A">
      <w:pPr>
        <w:adjustRightInd w:val="0"/>
        <w:snapToGrid w:val="0"/>
        <w:ind w:firstLine="420"/>
        <w:rPr>
          <w:rFonts w:eastAsia="宋体"/>
        </w:rPr>
      </w:pPr>
    </w:p>
    <w:p w:rsidR="005A1B46" w:rsidRPr="008A1BDF" w:rsidRDefault="005A1B46" w:rsidP="0041239A">
      <w:pPr>
        <w:adjustRightInd w:val="0"/>
        <w:snapToGrid w:val="0"/>
        <w:ind w:firstLine="420"/>
        <w:rPr>
          <w:rFonts w:eastAsia="宋体" w:hint="eastAsia"/>
        </w:rPr>
      </w:pPr>
    </w:p>
    <w:p w:rsidR="00A72640" w:rsidRPr="008A1BDF" w:rsidRDefault="00AB672D" w:rsidP="002C3759">
      <w:pPr>
        <w:pStyle w:val="a5"/>
        <w:rPr>
          <w:rFonts w:eastAsia="宋体"/>
        </w:rPr>
      </w:pPr>
      <w:r w:rsidRPr="008A1BDF">
        <w:rPr>
          <w:rFonts w:eastAsia="宋体"/>
        </w:rPr>
        <w:t xml:space="preserve">Supplementary Table 4. Assessment of evidence within the </w:t>
      </w:r>
      <w:r w:rsidRPr="008A1BDF">
        <w:rPr>
          <w:rFonts w:eastAsia="宋体"/>
        </w:rPr>
        <w:t>clinical improvement outcome</w:t>
      </w:r>
      <w:r w:rsidR="005A1B46">
        <w:rPr>
          <w:rFonts w:eastAsia="宋体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910"/>
        <w:gridCol w:w="1230"/>
        <w:gridCol w:w="1767"/>
        <w:gridCol w:w="1238"/>
        <w:gridCol w:w="1326"/>
        <w:gridCol w:w="1470"/>
        <w:gridCol w:w="1263"/>
      </w:tblGrid>
      <w:tr w:rsidR="00A72640" w:rsidRPr="008A1BDF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61"/>
              <w:jc w:val="left"/>
              <w:rPr>
                <w:rFonts w:eastAsia="宋体"/>
                <w:b/>
                <w:bCs/>
                <w:sz w:val="18"/>
                <w:szCs w:val="18"/>
              </w:rPr>
            </w:pPr>
            <w:r w:rsidRPr="008A1BDF">
              <w:rPr>
                <w:rFonts w:eastAsia="宋体"/>
                <w:b/>
                <w:bCs/>
                <w:sz w:val="18"/>
                <w:szCs w:val="18"/>
              </w:rPr>
              <w:t xml:space="preserve">Clinical Improvement for </w:t>
            </w:r>
            <w:proofErr w:type="spellStart"/>
            <w:r w:rsidRPr="008A1BDF">
              <w:rPr>
                <w:rFonts w:eastAsia="宋体"/>
                <w:b/>
                <w:bCs/>
                <w:sz w:val="18"/>
                <w:szCs w:val="18"/>
              </w:rPr>
              <w:t>femoropopliteal</w:t>
            </w:r>
            <w:proofErr w:type="spellEnd"/>
            <w:r w:rsidRPr="008A1BDF">
              <w:rPr>
                <w:rFonts w:eastAsia="宋体"/>
                <w:b/>
                <w:bCs/>
                <w:sz w:val="18"/>
                <w:szCs w:val="18"/>
              </w:rPr>
              <w:t xml:space="preserve"> in-stent restenosis</w:t>
            </w:r>
          </w:p>
        </w:tc>
      </w:tr>
      <w:tr w:rsidR="00A72640" w:rsidRPr="008A1BDF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640" w:rsidRPr="008A1BDF" w:rsidRDefault="00AB672D" w:rsidP="0041239A">
            <w:pPr>
              <w:adjustRightInd w:val="0"/>
              <w:snapToGrid w:val="0"/>
              <w:ind w:firstLine="321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Patient or population:</w:t>
            </w:r>
            <w:r w:rsidRPr="008A1BDF">
              <w:rPr>
                <w:rFonts w:eastAsia="宋体"/>
                <w:sz w:val="16"/>
                <w:szCs w:val="16"/>
              </w:rPr>
              <w:t xml:space="preserve"> patients with </w:t>
            </w:r>
            <w:proofErr w:type="spellStart"/>
            <w:r w:rsidRPr="008A1BDF">
              <w:rPr>
                <w:rFonts w:eastAsia="宋体"/>
                <w:sz w:val="16"/>
                <w:szCs w:val="16"/>
              </w:rPr>
              <w:t>femoropopliteal</w:t>
            </w:r>
            <w:proofErr w:type="spellEnd"/>
            <w:r w:rsidRPr="008A1BDF">
              <w:rPr>
                <w:rFonts w:eastAsia="宋体"/>
                <w:sz w:val="16"/>
                <w:szCs w:val="16"/>
              </w:rPr>
              <w:t xml:space="preserve"> in-stent restenosis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Settings:</w:t>
            </w:r>
            <w:r w:rsidRPr="008A1BDF">
              <w:rPr>
                <w:rFonts w:eastAsia="宋体"/>
                <w:sz w:val="16"/>
                <w:szCs w:val="16"/>
              </w:rPr>
              <w:t xml:space="preserve"> 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Intervention:</w:t>
            </w:r>
            <w:r w:rsidRPr="008A1BDF">
              <w:rPr>
                <w:rFonts w:eastAsia="宋体"/>
                <w:sz w:val="16"/>
                <w:szCs w:val="16"/>
              </w:rPr>
              <w:t xml:space="preserve"> </w:t>
            </w:r>
            <w:r w:rsidRPr="008A1BDF">
              <w:rPr>
                <w:sz w:val="16"/>
                <w:szCs w:val="16"/>
              </w:rPr>
              <w:t xml:space="preserve">Paclitaxel-coated balloon angioplasty (PCB group) or </w:t>
            </w:r>
            <w:r w:rsidRPr="008A1BDF">
              <w:rPr>
                <w:sz w:val="16"/>
                <w:szCs w:val="16"/>
              </w:rPr>
              <w:t>uncoated</w:t>
            </w:r>
            <w:r w:rsidRPr="008A1BDF">
              <w:rPr>
                <w:sz w:val="16"/>
                <w:szCs w:val="16"/>
              </w:rPr>
              <w:t xml:space="preserve"> balloon angioplasty (</w:t>
            </w:r>
            <w:r w:rsidRPr="008A1BDF">
              <w:rPr>
                <w:sz w:val="16"/>
                <w:szCs w:val="16"/>
              </w:rPr>
              <w:t>UCB</w:t>
            </w:r>
            <w:r w:rsidRPr="008A1BDF">
              <w:rPr>
                <w:sz w:val="16"/>
                <w:szCs w:val="16"/>
              </w:rPr>
              <w:t xml:space="preserve"> group)</w:t>
            </w:r>
          </w:p>
        </w:tc>
      </w:tr>
      <w:tr w:rsidR="00A72640" w:rsidRPr="008A1BDF"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Outcomes</w:t>
            </w:r>
          </w:p>
        </w:tc>
        <w:tc>
          <w:tcPr>
            <w:tcW w:w="0" w:type="auto"/>
            <w:gridSpan w:val="2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Illustrative comparative risks* (95% CI)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Relative effect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br/>
              <w:t>(95% CI)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No of Participants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br/>
              <w:t>(studies)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Quality of the evidence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br/>
              <w:t>(GRADE)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Comments</w:t>
            </w:r>
          </w:p>
        </w:tc>
      </w:tr>
      <w:tr w:rsidR="00A72640" w:rsidRPr="008A1BDF"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sz w:val="16"/>
                <w:szCs w:val="16"/>
              </w:rPr>
              <w:t>Assumed risk</w:t>
            </w:r>
          </w:p>
        </w:tc>
        <w:tc>
          <w:tcPr>
            <w:tcW w:w="0" w:type="auto"/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sz w:val="16"/>
                <w:szCs w:val="16"/>
              </w:rPr>
              <w:t>Corresponding risk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b/>
                <w:bCs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b/>
                <w:bCs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Clinical Improvement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1"/>
              <w:rPr>
                <w:rFonts w:eastAsia="宋体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40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40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400"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A72640" w:rsidRPr="008A1BDF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clinical improvement (6 months)</w:t>
            </w:r>
            <w:r w:rsidRPr="008A1BDF">
              <w:rPr>
                <w:rFonts w:eastAsia="宋体"/>
                <w:sz w:val="16"/>
                <w:szCs w:val="16"/>
              </w:rPr>
              <w:br/>
              <w:t>Follow-up: 6 months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Study population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 xml:space="preserve">OR 1·86 </w:t>
            </w:r>
            <w:r w:rsidRPr="008A1BDF">
              <w:rPr>
                <w:rFonts w:eastAsia="宋体"/>
                <w:sz w:val="16"/>
                <w:szCs w:val="16"/>
              </w:rPr>
              <w:br/>
              <w:t>(1·1 to 3·16)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sz w:val="16"/>
                <w:szCs w:val="16"/>
              </w:rPr>
              <w:t>276</w:t>
            </w:r>
            <w:r w:rsidRPr="008A1BDF">
              <w:rPr>
                <w:rFonts w:eastAsia="宋体"/>
                <w:sz w:val="16"/>
                <w:szCs w:val="16"/>
              </w:rPr>
              <w:br/>
              <w:t>(4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ascii="宋体" w:eastAsia="宋体" w:hAnsi="宋体" w:cs="宋体" w:hint="eastAsia"/>
                <w:sz w:val="16"/>
                <w:szCs w:val="16"/>
              </w:rPr>
              <w:t>⊕⊕⊕⊕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high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479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631 per 1000</w:t>
            </w:r>
            <w:r w:rsidRPr="008A1BDF">
              <w:rPr>
                <w:rFonts w:eastAsia="宋体"/>
                <w:sz w:val="16"/>
                <w:szCs w:val="16"/>
              </w:rPr>
              <w:br/>
              <w:t>(503 to 744)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567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709 per 1000</w:t>
            </w:r>
            <w:r w:rsidRPr="008A1BDF">
              <w:rPr>
                <w:rFonts w:eastAsia="宋体"/>
                <w:sz w:val="16"/>
                <w:szCs w:val="16"/>
              </w:rPr>
              <w:br/>
              <w:t>(590 to 805)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 xml:space="preserve">clinical improvement (12 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months)</w:t>
            </w:r>
            <w:r w:rsidRPr="008A1BDF">
              <w:rPr>
                <w:rFonts w:eastAsia="宋体"/>
                <w:sz w:val="16"/>
                <w:szCs w:val="16"/>
              </w:rPr>
              <w:br/>
              <w:t>Follow-up: 12 months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Study population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 xml:space="preserve">OR 2·38 </w:t>
            </w:r>
            <w:r w:rsidRPr="008A1BDF">
              <w:rPr>
                <w:rFonts w:eastAsia="宋体"/>
                <w:sz w:val="16"/>
                <w:szCs w:val="16"/>
              </w:rPr>
              <w:br/>
              <w:t>(1·49 to 3·8)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sz w:val="16"/>
                <w:szCs w:val="16"/>
              </w:rPr>
              <w:t>337</w:t>
            </w:r>
            <w:r w:rsidRPr="008A1BDF">
              <w:rPr>
                <w:rFonts w:eastAsia="宋体"/>
                <w:sz w:val="16"/>
                <w:szCs w:val="16"/>
              </w:rPr>
              <w:br/>
              <w:t>(5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ascii="宋体" w:eastAsia="宋体" w:hAnsi="宋体" w:cs="宋体" w:hint="eastAsia"/>
                <w:sz w:val="16"/>
                <w:szCs w:val="16"/>
              </w:rPr>
              <w:t>⊕⊕</w:t>
            </w:r>
            <w:r w:rsidRPr="008A1BDF">
              <w:rPr>
                <w:rFonts w:ascii="Cambria Math" w:eastAsia="宋体" w:hAnsi="Cambria Math" w:cs="Cambria Math"/>
                <w:sz w:val="16"/>
                <w:szCs w:val="16"/>
              </w:rPr>
              <w:t>⊝⊝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low</w:t>
            </w:r>
            <w:r w:rsidRPr="008A1BDF">
              <w:rPr>
                <w:rFonts w:eastAsia="宋体"/>
                <w:sz w:val="16"/>
                <w:szCs w:val="16"/>
                <w:vertAlign w:val="superscript"/>
              </w:rPr>
              <w:t>1,2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540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736 per 1000</w:t>
            </w:r>
            <w:r w:rsidRPr="008A1BDF">
              <w:rPr>
                <w:rFonts w:eastAsia="宋体"/>
                <w:sz w:val="16"/>
                <w:szCs w:val="16"/>
              </w:rPr>
              <w:br/>
              <w:t>(636 to 817)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523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723 per 1000</w:t>
            </w:r>
            <w:r w:rsidRPr="008A1BDF">
              <w:rPr>
                <w:rFonts w:eastAsia="宋体"/>
                <w:sz w:val="16"/>
                <w:szCs w:val="16"/>
              </w:rPr>
              <w:br/>
              <w:t>(620 to 806)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B672D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sz w:val="16"/>
                <w:szCs w:val="16"/>
              </w:rPr>
              <w:lastRenderedPageBreak/>
              <w:t xml:space="preserve">*The basis for the 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assumed risk</w:t>
            </w:r>
            <w:r w:rsidRPr="008A1BDF">
              <w:rPr>
                <w:rFonts w:eastAsia="宋体"/>
                <w:sz w:val="16"/>
                <w:szCs w:val="16"/>
              </w:rPr>
              <w:t xml:space="preserve"> (e.g. the median control group risk across studies) is provided in footnotes. The 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corresponding risk</w:t>
            </w:r>
            <w:r w:rsidRPr="008A1BDF">
              <w:rPr>
                <w:rFonts w:eastAsia="宋体"/>
                <w:sz w:val="16"/>
                <w:szCs w:val="16"/>
              </w:rPr>
              <w:t xml:space="preserve"> (and its 95% confidence interval) is based on the assumed risk in the comparison group and the 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relative effect</w:t>
            </w:r>
            <w:r w:rsidRPr="008A1BDF">
              <w:rPr>
                <w:rFonts w:eastAsia="宋体"/>
                <w:sz w:val="16"/>
                <w:szCs w:val="16"/>
              </w:rPr>
              <w:t xml:space="preserve"> of the intervention (and its 95% CI).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CI:</w:t>
            </w:r>
            <w:r w:rsidRPr="008A1BDF">
              <w:rPr>
                <w:rFonts w:eastAsia="宋体"/>
                <w:sz w:val="16"/>
                <w:szCs w:val="16"/>
              </w:rPr>
              <w:t xml:space="preserve"> Confidence interval; 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OR:</w:t>
            </w:r>
            <w:r w:rsidRPr="008A1BDF">
              <w:rPr>
                <w:rFonts w:eastAsia="宋体"/>
                <w:sz w:val="16"/>
                <w:szCs w:val="16"/>
              </w:rPr>
              <w:t xml:space="preserve"> Odds ratio; </w:t>
            </w:r>
          </w:p>
        </w:tc>
      </w:tr>
      <w:tr w:rsidR="00A72640" w:rsidRPr="008A1BDF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B672D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sz w:val="16"/>
                <w:szCs w:val="16"/>
              </w:rPr>
              <w:t>GRADE Working Group grades of evidence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High quality:</w:t>
            </w:r>
            <w:r w:rsidRPr="008A1BDF">
              <w:rPr>
                <w:rFonts w:eastAsia="宋体"/>
                <w:sz w:val="16"/>
                <w:szCs w:val="16"/>
              </w:rPr>
              <w:t xml:space="preserve"> Further research is very unlikely to change our confidence in the estimate of effect. 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Moderate quality:</w:t>
            </w:r>
            <w:r w:rsidRPr="008A1BDF">
              <w:rPr>
                <w:rFonts w:eastAsia="宋体"/>
                <w:sz w:val="16"/>
                <w:szCs w:val="16"/>
              </w:rPr>
              <w:t xml:space="preserve"> Further research is likely to have an important impact on </w:t>
            </w:r>
            <w:r w:rsidRPr="008A1BDF">
              <w:rPr>
                <w:rFonts w:eastAsia="宋体"/>
                <w:sz w:val="16"/>
                <w:szCs w:val="16"/>
              </w:rPr>
              <w:t>our confidence in the estimate of effect and may change the estimate.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Low quality:</w:t>
            </w:r>
            <w:r w:rsidRPr="008A1BDF">
              <w:rPr>
                <w:rFonts w:eastAsia="宋体"/>
                <w:sz w:val="16"/>
                <w:szCs w:val="16"/>
              </w:rPr>
              <w:t xml:space="preserve"> Further research is very likely to have an important impact on our confidence in the estimate of effect and is likely to change the estimate.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Very low quality:</w:t>
            </w:r>
            <w:r w:rsidRPr="008A1BDF">
              <w:rPr>
                <w:rFonts w:eastAsia="宋体"/>
                <w:sz w:val="16"/>
                <w:szCs w:val="16"/>
              </w:rPr>
              <w:t xml:space="preserve"> We are very u</w:t>
            </w:r>
            <w:r w:rsidRPr="008A1BDF">
              <w:rPr>
                <w:rFonts w:eastAsia="宋体"/>
                <w:sz w:val="16"/>
                <w:szCs w:val="16"/>
              </w:rPr>
              <w:t>ncertain about the estimate.</w:t>
            </w:r>
          </w:p>
        </w:tc>
      </w:tr>
      <w:tr w:rsidR="00A72640" w:rsidRPr="008A1BDF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B672D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sz w:val="16"/>
                <w:szCs w:val="16"/>
                <w:vertAlign w:val="superscript"/>
              </w:rPr>
              <w:t>1</w:t>
            </w:r>
            <w:r w:rsidRPr="008A1BDF">
              <w:rPr>
                <w:rFonts w:eastAsia="宋体"/>
                <w:sz w:val="16"/>
                <w:szCs w:val="16"/>
              </w:rPr>
              <w:t xml:space="preserve"> The DEBATE-ISR trial has a bias in the process, which may cause an error in the results. 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sz w:val="16"/>
                <w:szCs w:val="16"/>
                <w:vertAlign w:val="superscript"/>
              </w:rPr>
              <w:t>2</w:t>
            </w:r>
            <w:r w:rsidRPr="008A1BDF">
              <w:rPr>
                <w:rFonts w:eastAsia="宋体"/>
                <w:sz w:val="16"/>
                <w:szCs w:val="16"/>
              </w:rPr>
              <w:t xml:space="preserve"> Results of FAIR trial and Liao trial are a little different from those of the other three trials.</w:t>
            </w:r>
          </w:p>
        </w:tc>
      </w:tr>
    </w:tbl>
    <w:p w:rsidR="00A72640" w:rsidRDefault="00A72640" w:rsidP="0041239A">
      <w:pPr>
        <w:adjustRightInd w:val="0"/>
        <w:snapToGrid w:val="0"/>
        <w:ind w:firstLine="420"/>
        <w:rPr>
          <w:rFonts w:eastAsia="宋体"/>
        </w:rPr>
      </w:pPr>
    </w:p>
    <w:p w:rsidR="005A1B46" w:rsidRPr="008A1BDF" w:rsidRDefault="005A1B46" w:rsidP="0041239A">
      <w:pPr>
        <w:adjustRightInd w:val="0"/>
        <w:snapToGrid w:val="0"/>
        <w:ind w:firstLine="420"/>
        <w:rPr>
          <w:rFonts w:eastAsia="宋体" w:hint="eastAsia"/>
        </w:rPr>
      </w:pPr>
    </w:p>
    <w:p w:rsidR="00A72640" w:rsidRPr="008A1BDF" w:rsidRDefault="00AB672D" w:rsidP="002C3759">
      <w:pPr>
        <w:pStyle w:val="a5"/>
        <w:rPr>
          <w:rFonts w:eastAsia="宋体"/>
        </w:rPr>
      </w:pPr>
      <w:r w:rsidRPr="008A1BDF">
        <w:rPr>
          <w:rFonts w:eastAsia="宋体"/>
        </w:rPr>
        <w:t xml:space="preserve">Supplementary Table 5. </w:t>
      </w:r>
      <w:r w:rsidRPr="008A1BDF">
        <w:rPr>
          <w:rFonts w:eastAsia="宋体"/>
        </w:rPr>
        <w:t>Assessment of evidence within the ABI outcome</w:t>
      </w:r>
      <w:r w:rsidR="005A1B46">
        <w:rPr>
          <w:rFonts w:eastAsia="宋体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49"/>
        <w:gridCol w:w="1177"/>
        <w:gridCol w:w="2593"/>
        <w:gridCol w:w="1191"/>
        <w:gridCol w:w="1269"/>
        <w:gridCol w:w="1401"/>
        <w:gridCol w:w="1224"/>
      </w:tblGrid>
      <w:tr w:rsidR="00A72640" w:rsidRPr="008A1BDF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61"/>
              <w:jc w:val="left"/>
              <w:rPr>
                <w:rFonts w:eastAsia="宋体"/>
                <w:b/>
                <w:bCs/>
                <w:sz w:val="18"/>
                <w:szCs w:val="18"/>
              </w:rPr>
            </w:pPr>
            <w:r w:rsidRPr="008A1BDF">
              <w:rPr>
                <w:rFonts w:eastAsia="宋体"/>
                <w:b/>
                <w:bCs/>
                <w:sz w:val="18"/>
                <w:szCs w:val="18"/>
              </w:rPr>
              <w:t xml:space="preserve">ABI for </w:t>
            </w:r>
            <w:proofErr w:type="spellStart"/>
            <w:r w:rsidRPr="008A1BDF">
              <w:rPr>
                <w:rFonts w:eastAsia="宋体"/>
                <w:b/>
                <w:bCs/>
                <w:sz w:val="18"/>
                <w:szCs w:val="18"/>
              </w:rPr>
              <w:t>femoropopliteal</w:t>
            </w:r>
            <w:proofErr w:type="spellEnd"/>
            <w:r w:rsidRPr="008A1BDF">
              <w:rPr>
                <w:rFonts w:eastAsia="宋体"/>
                <w:b/>
                <w:bCs/>
                <w:sz w:val="18"/>
                <w:szCs w:val="18"/>
              </w:rPr>
              <w:t xml:space="preserve"> in-stent restenosis</w:t>
            </w:r>
          </w:p>
        </w:tc>
      </w:tr>
      <w:tr w:rsidR="00A72640" w:rsidRPr="008A1BDF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640" w:rsidRPr="008A1BDF" w:rsidRDefault="00AB672D" w:rsidP="0041239A">
            <w:pPr>
              <w:adjustRightInd w:val="0"/>
              <w:snapToGrid w:val="0"/>
              <w:ind w:firstLine="321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Patient or population:</w:t>
            </w:r>
            <w:r w:rsidRPr="008A1BDF">
              <w:rPr>
                <w:rFonts w:eastAsia="宋体"/>
                <w:sz w:val="16"/>
                <w:szCs w:val="16"/>
              </w:rPr>
              <w:t xml:space="preserve"> patients with </w:t>
            </w:r>
            <w:proofErr w:type="spellStart"/>
            <w:r w:rsidRPr="008A1BDF">
              <w:rPr>
                <w:rFonts w:eastAsia="宋体"/>
                <w:sz w:val="16"/>
                <w:szCs w:val="16"/>
              </w:rPr>
              <w:t>femoropopliteal</w:t>
            </w:r>
            <w:proofErr w:type="spellEnd"/>
            <w:r w:rsidRPr="008A1BDF">
              <w:rPr>
                <w:rFonts w:eastAsia="宋体"/>
                <w:sz w:val="16"/>
                <w:szCs w:val="16"/>
              </w:rPr>
              <w:t xml:space="preserve"> in-stent restenosis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Settings:</w:t>
            </w:r>
            <w:r w:rsidRPr="008A1BDF">
              <w:rPr>
                <w:rFonts w:eastAsia="宋体"/>
                <w:sz w:val="16"/>
                <w:szCs w:val="16"/>
              </w:rPr>
              <w:t xml:space="preserve"> 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Intervention:</w:t>
            </w:r>
            <w:r w:rsidRPr="008A1BDF">
              <w:rPr>
                <w:rFonts w:eastAsia="宋体"/>
                <w:sz w:val="16"/>
                <w:szCs w:val="16"/>
              </w:rPr>
              <w:t xml:space="preserve"> </w:t>
            </w:r>
            <w:r w:rsidRPr="008A1BDF">
              <w:rPr>
                <w:sz w:val="16"/>
                <w:szCs w:val="16"/>
              </w:rPr>
              <w:t xml:space="preserve">Paclitaxel-coated balloon angioplasty (PCB group) or </w:t>
            </w:r>
            <w:r w:rsidRPr="008A1BDF">
              <w:rPr>
                <w:sz w:val="16"/>
                <w:szCs w:val="16"/>
              </w:rPr>
              <w:t>uncoated</w:t>
            </w:r>
            <w:r w:rsidRPr="008A1BDF">
              <w:rPr>
                <w:sz w:val="16"/>
                <w:szCs w:val="16"/>
              </w:rPr>
              <w:t xml:space="preserve"> balloon angioplasty (</w:t>
            </w:r>
            <w:r w:rsidRPr="008A1BDF">
              <w:rPr>
                <w:sz w:val="16"/>
                <w:szCs w:val="16"/>
              </w:rPr>
              <w:t>UCB</w:t>
            </w:r>
            <w:r w:rsidRPr="008A1BDF">
              <w:rPr>
                <w:sz w:val="16"/>
                <w:szCs w:val="16"/>
              </w:rPr>
              <w:t xml:space="preserve"> group)</w:t>
            </w:r>
          </w:p>
        </w:tc>
      </w:tr>
      <w:tr w:rsidR="00A72640" w:rsidRPr="008A1BDF"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Outcomes</w:t>
            </w:r>
          </w:p>
        </w:tc>
        <w:tc>
          <w:tcPr>
            <w:tcW w:w="0" w:type="auto"/>
            <w:gridSpan w:val="2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Illustrative comparative risks* (95% CI)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Relative effect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br/>
              <w:t>(95% CI)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No of Participants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br/>
              <w:t>(studies)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Quality of the evidence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br/>
              <w:t>(GRADE)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Comments</w:t>
            </w:r>
          </w:p>
        </w:tc>
      </w:tr>
      <w:tr w:rsidR="00A72640" w:rsidRPr="008A1BDF"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sz w:val="16"/>
                <w:szCs w:val="16"/>
              </w:rPr>
              <w:t>Assumed risk</w:t>
            </w:r>
          </w:p>
        </w:tc>
        <w:tc>
          <w:tcPr>
            <w:tcW w:w="0" w:type="auto"/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sz w:val="16"/>
                <w:szCs w:val="16"/>
              </w:rPr>
              <w:t>Corresponding risk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b/>
                <w:bCs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b/>
                <w:bCs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ABI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1"/>
              <w:rPr>
                <w:rFonts w:eastAsia="宋体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40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40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400"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A72640" w:rsidRPr="008A1BDF"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ABI (12 months)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sz w:val="16"/>
                <w:szCs w:val="16"/>
              </w:rPr>
              <w:t>Follow-up: 12 months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sz w:val="16"/>
                <w:szCs w:val="16"/>
              </w:rPr>
              <w:t>The mean ABI (12 months) in the intervention groups was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0.02 higher</w:t>
            </w:r>
            <w:r w:rsidRPr="008A1BDF">
              <w:rPr>
                <w:rFonts w:eastAsia="宋体"/>
                <w:sz w:val="16"/>
                <w:szCs w:val="16"/>
              </w:rPr>
              <w:br/>
              <w:t>(0.11 lower to 0.14 higher)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sz w:val="16"/>
                <w:szCs w:val="16"/>
              </w:rPr>
              <w:t>216</w:t>
            </w:r>
            <w:r w:rsidRPr="008A1BDF">
              <w:rPr>
                <w:rFonts w:eastAsia="宋体"/>
                <w:sz w:val="16"/>
                <w:szCs w:val="16"/>
              </w:rPr>
              <w:br/>
              <w:t>(3 studies)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ascii="宋体" w:eastAsia="宋体" w:hAnsi="宋体" w:cs="宋体" w:hint="eastAsia"/>
                <w:sz w:val="16"/>
                <w:szCs w:val="16"/>
              </w:rPr>
              <w:t>⊕</w:t>
            </w:r>
            <w:r w:rsidRPr="008A1BDF">
              <w:rPr>
                <w:rFonts w:ascii="Cambria Math" w:eastAsia="宋体" w:hAnsi="Cambria Math" w:cs="Cambria Math"/>
                <w:sz w:val="16"/>
                <w:szCs w:val="16"/>
              </w:rPr>
              <w:t>⊝⊝⊝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very low</w:t>
            </w:r>
            <w:r w:rsidRPr="008A1BDF">
              <w:rPr>
                <w:rFonts w:eastAsia="宋体"/>
                <w:sz w:val="16"/>
                <w:szCs w:val="16"/>
                <w:vertAlign w:val="superscript"/>
              </w:rPr>
              <w:t>1,2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B672D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sz w:val="16"/>
                <w:szCs w:val="16"/>
              </w:rPr>
              <w:t xml:space="preserve">*The basis for the 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assumed risk</w:t>
            </w:r>
            <w:r w:rsidRPr="008A1BDF">
              <w:rPr>
                <w:rFonts w:eastAsia="宋体"/>
                <w:sz w:val="16"/>
                <w:szCs w:val="16"/>
              </w:rPr>
              <w:t xml:space="preserve"> (e.g. the median control group risk across studies) is provided in footnotes. The 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corresponding risk</w:t>
            </w:r>
            <w:r w:rsidRPr="008A1BDF">
              <w:rPr>
                <w:rFonts w:eastAsia="宋体"/>
                <w:sz w:val="16"/>
                <w:szCs w:val="16"/>
              </w:rPr>
              <w:t xml:space="preserve"> (and its 95% confidence interval) is based on the assumed risk in the comparison group and the 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relative effect</w:t>
            </w:r>
            <w:r w:rsidRPr="008A1BDF">
              <w:rPr>
                <w:rFonts w:eastAsia="宋体"/>
                <w:sz w:val="16"/>
                <w:szCs w:val="16"/>
              </w:rPr>
              <w:t xml:space="preserve"> of the intervention (and its 95% CI).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CI:</w:t>
            </w:r>
            <w:r w:rsidRPr="008A1BDF">
              <w:rPr>
                <w:rFonts w:eastAsia="宋体"/>
                <w:sz w:val="16"/>
                <w:szCs w:val="16"/>
              </w:rPr>
              <w:t xml:space="preserve"> </w:t>
            </w:r>
            <w:r w:rsidRPr="008A1BDF">
              <w:rPr>
                <w:rFonts w:eastAsia="宋体"/>
                <w:sz w:val="16"/>
                <w:szCs w:val="16"/>
              </w:rPr>
              <w:t xml:space="preserve">Confidence interval; </w:t>
            </w:r>
          </w:p>
        </w:tc>
      </w:tr>
      <w:tr w:rsidR="00A72640" w:rsidRPr="008A1BDF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B672D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sz w:val="16"/>
                <w:szCs w:val="16"/>
              </w:rPr>
              <w:t>GRADE Working Group grades of evidence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High quality:</w:t>
            </w:r>
            <w:r w:rsidRPr="008A1BDF">
              <w:rPr>
                <w:rFonts w:eastAsia="宋体"/>
                <w:sz w:val="16"/>
                <w:szCs w:val="16"/>
              </w:rPr>
              <w:t xml:space="preserve"> Further research is very unlikely to change our confidence in the estimate of effect. 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Moderate quality:</w:t>
            </w:r>
            <w:r w:rsidRPr="008A1BDF">
              <w:rPr>
                <w:rFonts w:eastAsia="宋体"/>
                <w:sz w:val="16"/>
                <w:szCs w:val="16"/>
              </w:rPr>
              <w:t xml:space="preserve"> Further research is likely to have an important impact on our confidence in</w:t>
            </w:r>
            <w:r w:rsidRPr="008A1BDF">
              <w:rPr>
                <w:rFonts w:eastAsia="宋体"/>
                <w:sz w:val="16"/>
                <w:szCs w:val="16"/>
              </w:rPr>
              <w:t xml:space="preserve"> the estimate of effect and may change the estimate.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Low quality:</w:t>
            </w:r>
            <w:r w:rsidRPr="008A1BDF">
              <w:rPr>
                <w:rFonts w:eastAsia="宋体"/>
                <w:sz w:val="16"/>
                <w:szCs w:val="16"/>
              </w:rPr>
              <w:t xml:space="preserve"> Further research is very likely to have an important impact on our confidence in the estimate of effect and is likely to change the estimate.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Very low quality:</w:t>
            </w:r>
            <w:r w:rsidRPr="008A1BDF">
              <w:rPr>
                <w:rFonts w:eastAsia="宋体"/>
                <w:sz w:val="16"/>
                <w:szCs w:val="16"/>
              </w:rPr>
              <w:t xml:space="preserve"> We are very uncertain about th</w:t>
            </w:r>
            <w:r w:rsidRPr="008A1BDF">
              <w:rPr>
                <w:rFonts w:eastAsia="宋体"/>
                <w:sz w:val="16"/>
                <w:szCs w:val="16"/>
              </w:rPr>
              <w:t>e estimate.</w:t>
            </w:r>
          </w:p>
        </w:tc>
      </w:tr>
      <w:tr w:rsidR="00A72640" w:rsidRPr="008A1BDF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B672D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sz w:val="16"/>
                <w:szCs w:val="16"/>
                <w:vertAlign w:val="superscript"/>
              </w:rPr>
              <w:t>1</w:t>
            </w:r>
            <w:r w:rsidRPr="008A1BDF">
              <w:rPr>
                <w:rFonts w:eastAsia="宋体"/>
                <w:sz w:val="16"/>
                <w:szCs w:val="16"/>
              </w:rPr>
              <w:t xml:space="preserve"> The COPA CABANA trial failed to present the ABI as they designed in the Method section.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sz w:val="16"/>
                <w:szCs w:val="16"/>
                <w:vertAlign w:val="superscript"/>
              </w:rPr>
              <w:t>2</w:t>
            </w:r>
            <w:r w:rsidRPr="008A1BDF">
              <w:rPr>
                <w:rFonts w:eastAsia="宋体"/>
                <w:sz w:val="16"/>
                <w:szCs w:val="16"/>
              </w:rPr>
              <w:t xml:space="preserve"> This outcome is only published by 3 studies of 7 included studies, and the study Liao 2019 fail to keep consistent with the other two.</w:t>
            </w:r>
          </w:p>
        </w:tc>
      </w:tr>
    </w:tbl>
    <w:p w:rsidR="00A72640" w:rsidRDefault="00A72640" w:rsidP="0041239A">
      <w:pPr>
        <w:adjustRightInd w:val="0"/>
        <w:snapToGrid w:val="0"/>
        <w:ind w:firstLine="420"/>
        <w:rPr>
          <w:rFonts w:eastAsia="宋体"/>
        </w:rPr>
      </w:pPr>
    </w:p>
    <w:p w:rsidR="005A1B46" w:rsidRPr="008A1BDF" w:rsidRDefault="005A1B46" w:rsidP="0041239A">
      <w:pPr>
        <w:adjustRightInd w:val="0"/>
        <w:snapToGrid w:val="0"/>
        <w:ind w:firstLine="420"/>
        <w:rPr>
          <w:rFonts w:eastAsia="宋体" w:hint="eastAsia"/>
        </w:rPr>
      </w:pPr>
    </w:p>
    <w:p w:rsidR="00A72640" w:rsidRPr="008A1BDF" w:rsidRDefault="00AB672D" w:rsidP="002C3759">
      <w:pPr>
        <w:pStyle w:val="a5"/>
        <w:rPr>
          <w:rFonts w:eastAsia="宋体"/>
        </w:rPr>
      </w:pPr>
      <w:r w:rsidRPr="008A1BDF">
        <w:rPr>
          <w:rFonts w:eastAsia="宋体"/>
        </w:rPr>
        <w:t xml:space="preserve">Supplementary </w:t>
      </w:r>
      <w:r w:rsidRPr="008A1BDF">
        <w:rPr>
          <w:rFonts w:eastAsia="宋体"/>
        </w:rPr>
        <w:t>Table 6. Assessment of evidence within the MAEs outcome</w:t>
      </w:r>
      <w:r w:rsidR="005A1B46">
        <w:rPr>
          <w:rFonts w:eastAsia="宋体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92"/>
        <w:gridCol w:w="1228"/>
        <w:gridCol w:w="1775"/>
        <w:gridCol w:w="1241"/>
        <w:gridCol w:w="1329"/>
        <w:gridCol w:w="1474"/>
        <w:gridCol w:w="1265"/>
      </w:tblGrid>
      <w:tr w:rsidR="00A72640" w:rsidRPr="008A1BDF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61"/>
              <w:jc w:val="left"/>
              <w:rPr>
                <w:rFonts w:eastAsia="宋体"/>
                <w:b/>
                <w:bCs/>
                <w:sz w:val="18"/>
                <w:szCs w:val="18"/>
              </w:rPr>
            </w:pPr>
            <w:r w:rsidRPr="008A1BDF">
              <w:rPr>
                <w:rFonts w:eastAsia="宋体"/>
                <w:b/>
                <w:bCs/>
                <w:sz w:val="18"/>
                <w:szCs w:val="18"/>
              </w:rPr>
              <w:t xml:space="preserve">Major Adverse Events for </w:t>
            </w:r>
            <w:proofErr w:type="spellStart"/>
            <w:r w:rsidRPr="008A1BDF">
              <w:rPr>
                <w:rFonts w:eastAsia="宋体"/>
                <w:b/>
                <w:bCs/>
                <w:sz w:val="18"/>
                <w:szCs w:val="18"/>
              </w:rPr>
              <w:t>femoropopliteal</w:t>
            </w:r>
            <w:proofErr w:type="spellEnd"/>
            <w:r w:rsidRPr="008A1BDF">
              <w:rPr>
                <w:rFonts w:eastAsia="宋体"/>
                <w:b/>
                <w:bCs/>
                <w:sz w:val="18"/>
                <w:szCs w:val="18"/>
              </w:rPr>
              <w:t xml:space="preserve"> in-stent restenosis</w:t>
            </w:r>
          </w:p>
        </w:tc>
      </w:tr>
      <w:tr w:rsidR="00A72640" w:rsidRPr="008A1BDF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640" w:rsidRPr="008A1BDF" w:rsidRDefault="00AB672D" w:rsidP="0041239A">
            <w:pPr>
              <w:adjustRightInd w:val="0"/>
              <w:snapToGrid w:val="0"/>
              <w:ind w:firstLine="321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Patient or population:</w:t>
            </w:r>
            <w:r w:rsidRPr="008A1BDF">
              <w:rPr>
                <w:rFonts w:eastAsia="宋体"/>
                <w:sz w:val="16"/>
                <w:szCs w:val="16"/>
              </w:rPr>
              <w:t xml:space="preserve"> patients with </w:t>
            </w:r>
            <w:proofErr w:type="spellStart"/>
            <w:r w:rsidRPr="008A1BDF">
              <w:rPr>
                <w:rFonts w:eastAsia="宋体"/>
                <w:sz w:val="16"/>
                <w:szCs w:val="16"/>
              </w:rPr>
              <w:t>femoropopliteal</w:t>
            </w:r>
            <w:proofErr w:type="spellEnd"/>
            <w:r w:rsidRPr="008A1BDF">
              <w:rPr>
                <w:rFonts w:eastAsia="宋体"/>
                <w:sz w:val="16"/>
                <w:szCs w:val="16"/>
              </w:rPr>
              <w:t xml:space="preserve"> in-stent restenosis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Settings:</w:t>
            </w:r>
            <w:r w:rsidRPr="008A1BDF">
              <w:rPr>
                <w:rFonts w:eastAsia="宋体"/>
                <w:sz w:val="16"/>
                <w:szCs w:val="16"/>
              </w:rPr>
              <w:t xml:space="preserve"> 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Intervention:</w:t>
            </w:r>
            <w:r w:rsidRPr="008A1BDF">
              <w:rPr>
                <w:rFonts w:eastAsia="宋体"/>
                <w:sz w:val="16"/>
                <w:szCs w:val="16"/>
              </w:rPr>
              <w:t xml:space="preserve"> </w:t>
            </w:r>
            <w:r w:rsidRPr="008A1BDF">
              <w:rPr>
                <w:sz w:val="16"/>
                <w:szCs w:val="16"/>
              </w:rPr>
              <w:t xml:space="preserve">Paclitaxel-coated balloon angioplasty (PCB group) or </w:t>
            </w:r>
            <w:r w:rsidRPr="008A1BDF">
              <w:rPr>
                <w:sz w:val="16"/>
                <w:szCs w:val="16"/>
              </w:rPr>
              <w:t>uncoated</w:t>
            </w:r>
            <w:r w:rsidRPr="008A1BDF">
              <w:rPr>
                <w:sz w:val="16"/>
                <w:szCs w:val="16"/>
              </w:rPr>
              <w:t xml:space="preserve"> balloon angioplasty (</w:t>
            </w:r>
            <w:r w:rsidRPr="008A1BDF">
              <w:rPr>
                <w:sz w:val="16"/>
                <w:szCs w:val="16"/>
              </w:rPr>
              <w:t>UCB</w:t>
            </w:r>
            <w:r w:rsidRPr="008A1BDF">
              <w:rPr>
                <w:sz w:val="16"/>
                <w:szCs w:val="16"/>
              </w:rPr>
              <w:t xml:space="preserve"> group)</w:t>
            </w:r>
          </w:p>
        </w:tc>
      </w:tr>
      <w:tr w:rsidR="00A72640" w:rsidRPr="008A1BDF"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Outcomes</w:t>
            </w:r>
          </w:p>
        </w:tc>
        <w:tc>
          <w:tcPr>
            <w:tcW w:w="0" w:type="auto"/>
            <w:gridSpan w:val="2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Illustrative comparative risks* (95% CI)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Relative effect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br/>
              <w:t>(95% CI)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No of Participants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br/>
              <w:t>(studies)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Quality of the evidence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br/>
              <w:t>(GRADE)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Comments</w:t>
            </w:r>
          </w:p>
        </w:tc>
      </w:tr>
      <w:tr w:rsidR="00A72640" w:rsidRPr="008A1BDF"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sz w:val="16"/>
                <w:szCs w:val="16"/>
              </w:rPr>
              <w:t>Assumed risk</w:t>
            </w:r>
          </w:p>
        </w:tc>
        <w:tc>
          <w:tcPr>
            <w:tcW w:w="0" w:type="auto"/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sz w:val="16"/>
                <w:szCs w:val="16"/>
              </w:rPr>
              <w:t>Corresponding risk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b/>
                <w:bCs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b/>
                <w:bCs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Major Adverse Events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72640" w:rsidP="0041239A">
            <w:pPr>
              <w:adjustRightInd w:val="0"/>
              <w:snapToGrid w:val="0"/>
              <w:ind w:firstLine="321"/>
              <w:rPr>
                <w:rFonts w:eastAsia="宋体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40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40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400"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A72640" w:rsidRPr="008A1BDF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major adverse event (6 months)</w:t>
            </w:r>
            <w:r w:rsidRPr="008A1BDF">
              <w:rPr>
                <w:rFonts w:eastAsia="宋体"/>
                <w:sz w:val="16"/>
                <w:szCs w:val="16"/>
              </w:rPr>
              <w:br/>
              <w:t>Follow-up: 6 months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Study population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 xml:space="preserve">OR 0·68 </w:t>
            </w:r>
            <w:r w:rsidRPr="008A1BDF">
              <w:rPr>
                <w:rFonts w:eastAsia="宋体"/>
                <w:sz w:val="16"/>
                <w:szCs w:val="16"/>
              </w:rPr>
              <w:br/>
              <w:t>(0·22 to 2·13)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sz w:val="16"/>
                <w:szCs w:val="16"/>
              </w:rPr>
              <w:t>251</w:t>
            </w:r>
            <w:r w:rsidRPr="008A1BDF">
              <w:rPr>
                <w:rFonts w:eastAsia="宋体"/>
                <w:sz w:val="16"/>
                <w:szCs w:val="16"/>
              </w:rPr>
              <w:br/>
              <w:t>(3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ascii="宋体" w:eastAsia="宋体" w:hAnsi="宋体" w:cs="宋体" w:hint="eastAsia"/>
                <w:sz w:val="16"/>
                <w:szCs w:val="16"/>
              </w:rPr>
              <w:t>⊕⊕⊕</w:t>
            </w:r>
            <w:r w:rsidRPr="008A1BDF">
              <w:rPr>
                <w:rFonts w:ascii="Cambria Math" w:eastAsia="宋体" w:hAnsi="Cambria Math" w:cs="Cambria Math"/>
                <w:sz w:val="16"/>
                <w:szCs w:val="16"/>
              </w:rPr>
              <w:t>⊝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moderate</w:t>
            </w:r>
            <w:r w:rsidRPr="008A1BDF">
              <w:rPr>
                <w:rFonts w:eastAsia="宋体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56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38 per 1000</w:t>
            </w:r>
            <w:r w:rsidRPr="008A1BDF">
              <w:rPr>
                <w:rFonts w:eastAsia="宋体"/>
                <w:sz w:val="16"/>
                <w:szCs w:val="16"/>
              </w:rPr>
              <w:br/>
              <w:t>(13 to 111)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43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30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 xml:space="preserve"> per 1000</w:t>
            </w:r>
            <w:r w:rsidRPr="008A1BDF">
              <w:rPr>
                <w:rFonts w:eastAsia="宋体"/>
                <w:sz w:val="16"/>
                <w:szCs w:val="16"/>
              </w:rPr>
              <w:br/>
              <w:t>(10 to 87)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major adverse event (12 months)</w:t>
            </w:r>
            <w:r w:rsidRPr="008A1BDF">
              <w:rPr>
                <w:rFonts w:eastAsia="宋体"/>
                <w:sz w:val="16"/>
                <w:szCs w:val="16"/>
              </w:rPr>
              <w:br/>
              <w:t>Follow-up: 12 months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Study population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 xml:space="preserve">OR 0·51 </w:t>
            </w:r>
            <w:r w:rsidRPr="008A1BDF">
              <w:rPr>
                <w:rFonts w:eastAsia="宋体"/>
                <w:sz w:val="16"/>
                <w:szCs w:val="16"/>
              </w:rPr>
              <w:br/>
              <w:t>(0·27 to 0·96)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sz w:val="16"/>
                <w:szCs w:val="16"/>
              </w:rPr>
              <w:t>321</w:t>
            </w:r>
            <w:r w:rsidRPr="008A1BDF">
              <w:rPr>
                <w:rFonts w:eastAsia="宋体"/>
                <w:sz w:val="16"/>
                <w:szCs w:val="16"/>
              </w:rPr>
              <w:br/>
              <w:t>(4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ascii="宋体" w:eastAsia="宋体" w:hAnsi="宋体" w:cs="宋体" w:hint="eastAsia"/>
                <w:sz w:val="16"/>
                <w:szCs w:val="16"/>
              </w:rPr>
              <w:t>⊕⊕⊕</w:t>
            </w:r>
            <w:r w:rsidRPr="008A1BDF">
              <w:rPr>
                <w:rFonts w:ascii="Cambria Math" w:eastAsia="宋体" w:hAnsi="Cambria Math" w:cs="Cambria Math"/>
                <w:sz w:val="16"/>
                <w:szCs w:val="16"/>
              </w:rPr>
              <w:t>⊝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moderate</w:t>
            </w:r>
            <w:r w:rsidRPr="008A1BDF">
              <w:rPr>
                <w:rFonts w:eastAsia="宋体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72640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196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110 per 1000</w:t>
            </w:r>
            <w:r w:rsidRPr="008A1BDF">
              <w:rPr>
                <w:rFonts w:eastAsia="宋体"/>
                <w:sz w:val="16"/>
                <w:szCs w:val="16"/>
              </w:rPr>
              <w:br/>
              <w:t>(62 to 189)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209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72640" w:rsidRPr="008A1BDF" w:rsidRDefault="00AB672D" w:rsidP="0041239A">
            <w:pPr>
              <w:widowControl/>
              <w:adjustRightInd w:val="0"/>
              <w:snapToGrid w:val="0"/>
              <w:ind w:firstLine="321"/>
              <w:jc w:val="left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b/>
                <w:bCs/>
                <w:sz w:val="16"/>
                <w:szCs w:val="16"/>
              </w:rPr>
              <w:t>119 per 1000</w:t>
            </w:r>
            <w:r w:rsidRPr="008A1BDF">
              <w:rPr>
                <w:rFonts w:eastAsia="宋体"/>
                <w:sz w:val="16"/>
                <w:szCs w:val="16"/>
              </w:rPr>
              <w:br/>
              <w:t>(67 to 202)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A72640" w:rsidRPr="008A1BDF" w:rsidRDefault="00A72640" w:rsidP="0041239A">
            <w:pPr>
              <w:widowControl/>
              <w:adjustRightInd w:val="0"/>
              <w:snapToGrid w:val="0"/>
              <w:ind w:firstLine="320"/>
              <w:jc w:val="left"/>
              <w:rPr>
                <w:rFonts w:eastAsia="宋体"/>
                <w:sz w:val="16"/>
                <w:szCs w:val="16"/>
              </w:rPr>
            </w:pPr>
          </w:p>
        </w:tc>
      </w:tr>
      <w:tr w:rsidR="00A72640" w:rsidRPr="008A1BDF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B672D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sz w:val="16"/>
                <w:szCs w:val="16"/>
              </w:rPr>
              <w:t xml:space="preserve">*The basis for the 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assumed risk</w:t>
            </w:r>
            <w:r w:rsidRPr="008A1BDF">
              <w:rPr>
                <w:rFonts w:eastAsia="宋体"/>
                <w:sz w:val="16"/>
                <w:szCs w:val="16"/>
              </w:rPr>
              <w:t xml:space="preserve"> (e.g. the median control group risk across studies) is provided in footnotes. The 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corresponding risk</w:t>
            </w:r>
            <w:r w:rsidRPr="008A1BDF">
              <w:rPr>
                <w:rFonts w:eastAsia="宋体"/>
                <w:sz w:val="16"/>
                <w:szCs w:val="16"/>
              </w:rPr>
              <w:t xml:space="preserve"> (and its 95% confidence interval) is based on the assumed risk in the comparison group and the 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relative effect</w:t>
            </w:r>
            <w:r w:rsidRPr="008A1BDF">
              <w:rPr>
                <w:rFonts w:eastAsia="宋体"/>
                <w:sz w:val="16"/>
                <w:szCs w:val="16"/>
              </w:rPr>
              <w:t xml:space="preserve"> of the inter</w:t>
            </w:r>
            <w:r w:rsidRPr="008A1BDF">
              <w:rPr>
                <w:rFonts w:eastAsia="宋体"/>
                <w:sz w:val="16"/>
                <w:szCs w:val="16"/>
              </w:rPr>
              <w:t>vention (and its 95% CI).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CI:</w:t>
            </w:r>
            <w:r w:rsidRPr="008A1BDF">
              <w:rPr>
                <w:rFonts w:eastAsia="宋体"/>
                <w:sz w:val="16"/>
                <w:szCs w:val="16"/>
              </w:rPr>
              <w:t xml:space="preserve"> Confidence interval; 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OR:</w:t>
            </w:r>
            <w:r w:rsidRPr="008A1BDF">
              <w:rPr>
                <w:rFonts w:eastAsia="宋体"/>
                <w:sz w:val="16"/>
                <w:szCs w:val="16"/>
              </w:rPr>
              <w:t xml:space="preserve"> Odds ratio; </w:t>
            </w:r>
          </w:p>
        </w:tc>
      </w:tr>
      <w:tr w:rsidR="00A72640" w:rsidRPr="008A1BDF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B672D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sz w:val="16"/>
                <w:szCs w:val="16"/>
              </w:rPr>
              <w:t>GRADE Working Group grades of evidence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High quality:</w:t>
            </w:r>
            <w:r w:rsidRPr="008A1BDF">
              <w:rPr>
                <w:rFonts w:eastAsia="宋体"/>
                <w:sz w:val="16"/>
                <w:szCs w:val="16"/>
              </w:rPr>
              <w:t xml:space="preserve"> Further research is very unlikely to change our confidence in the estimate of effect. 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Moderate quality:</w:t>
            </w:r>
            <w:r w:rsidRPr="008A1BDF">
              <w:rPr>
                <w:rFonts w:eastAsia="宋体"/>
                <w:sz w:val="16"/>
                <w:szCs w:val="16"/>
              </w:rPr>
              <w:t xml:space="preserve"> Further research is likely t</w:t>
            </w:r>
            <w:r w:rsidRPr="008A1BDF">
              <w:rPr>
                <w:rFonts w:eastAsia="宋体"/>
                <w:sz w:val="16"/>
                <w:szCs w:val="16"/>
              </w:rPr>
              <w:t>o have an important impact on our confidence in the estimate of effect and may change the estimate.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Low quality:</w:t>
            </w:r>
            <w:r w:rsidRPr="008A1BDF">
              <w:rPr>
                <w:rFonts w:eastAsia="宋体"/>
                <w:sz w:val="16"/>
                <w:szCs w:val="16"/>
              </w:rPr>
              <w:t xml:space="preserve"> Further research is very likely to have an important impact on our confidence in the estimate of effect and is likely to change the estimate.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V</w:t>
            </w:r>
            <w:r w:rsidRPr="008A1BDF">
              <w:rPr>
                <w:rFonts w:eastAsia="宋体"/>
                <w:b/>
                <w:bCs/>
                <w:sz w:val="16"/>
                <w:szCs w:val="16"/>
              </w:rPr>
              <w:t>ery low quality:</w:t>
            </w:r>
            <w:r w:rsidRPr="008A1BDF">
              <w:rPr>
                <w:rFonts w:eastAsia="宋体"/>
                <w:sz w:val="16"/>
                <w:szCs w:val="16"/>
              </w:rPr>
              <w:t xml:space="preserve"> We are very uncertain about the estimate.</w:t>
            </w:r>
          </w:p>
        </w:tc>
      </w:tr>
      <w:tr w:rsidR="00A72640" w:rsidRPr="008A1BDF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72640" w:rsidRPr="008A1BDF" w:rsidRDefault="00AB672D" w:rsidP="0041239A">
            <w:pPr>
              <w:adjustRightInd w:val="0"/>
              <w:snapToGrid w:val="0"/>
              <w:ind w:firstLine="320"/>
              <w:rPr>
                <w:rFonts w:eastAsia="宋体"/>
                <w:sz w:val="16"/>
                <w:szCs w:val="16"/>
              </w:rPr>
            </w:pPr>
            <w:r w:rsidRPr="008A1BDF">
              <w:rPr>
                <w:rFonts w:eastAsia="宋体"/>
                <w:sz w:val="16"/>
                <w:szCs w:val="16"/>
                <w:vertAlign w:val="superscript"/>
              </w:rPr>
              <w:t>1</w:t>
            </w:r>
            <w:r w:rsidRPr="008A1BDF">
              <w:rPr>
                <w:rFonts w:eastAsia="宋体"/>
                <w:sz w:val="16"/>
                <w:szCs w:val="16"/>
              </w:rPr>
              <w:t xml:space="preserve"> Result of ISAR-PEBIS trial is not consistent with others.</w:t>
            </w:r>
            <w:r w:rsidRPr="008A1BDF">
              <w:rPr>
                <w:rFonts w:eastAsia="宋体"/>
                <w:sz w:val="16"/>
                <w:szCs w:val="16"/>
              </w:rPr>
              <w:br/>
            </w:r>
            <w:r w:rsidRPr="008A1BDF">
              <w:rPr>
                <w:rFonts w:eastAsia="宋体"/>
                <w:sz w:val="16"/>
                <w:szCs w:val="16"/>
                <w:vertAlign w:val="superscript"/>
              </w:rPr>
              <w:t>2</w:t>
            </w:r>
            <w:r w:rsidRPr="008A1BDF">
              <w:rPr>
                <w:rFonts w:eastAsia="宋体"/>
                <w:sz w:val="16"/>
                <w:szCs w:val="16"/>
              </w:rPr>
              <w:t xml:space="preserve"> The DEBATE-ISR trial has a bias in the process, which may cause an error in the results. </w:t>
            </w:r>
          </w:p>
        </w:tc>
      </w:tr>
    </w:tbl>
    <w:p w:rsidR="00A72640" w:rsidRPr="008A1BDF" w:rsidRDefault="00A72640" w:rsidP="0041239A">
      <w:pPr>
        <w:adjustRightInd w:val="0"/>
        <w:snapToGrid w:val="0"/>
        <w:ind w:firstLine="420"/>
      </w:pPr>
    </w:p>
    <w:p w:rsidR="00A72640" w:rsidRPr="008A1BDF" w:rsidRDefault="00A72640" w:rsidP="0041239A">
      <w:pPr>
        <w:adjustRightInd w:val="0"/>
        <w:snapToGrid w:val="0"/>
        <w:ind w:firstLine="420"/>
      </w:pPr>
    </w:p>
    <w:p w:rsidR="00A72640" w:rsidRPr="008A1BDF" w:rsidRDefault="00AB672D" w:rsidP="0041239A">
      <w:pPr>
        <w:adjustRightInd w:val="0"/>
        <w:snapToGrid w:val="0"/>
        <w:ind w:firstLineChars="0" w:firstLine="0"/>
        <w:jc w:val="center"/>
      </w:pPr>
      <w:r w:rsidRPr="008A1BDF">
        <w:rPr>
          <w:noProof/>
        </w:rPr>
        <w:drawing>
          <wp:inline distT="0" distB="0" distL="0" distR="0">
            <wp:extent cx="4520227" cy="1909641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3228" cy="1915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2640" w:rsidRDefault="00AB672D" w:rsidP="0041239A">
      <w:pPr>
        <w:pStyle w:val="af4"/>
        <w:adjustRightInd w:val="0"/>
        <w:snapToGrid w:val="0"/>
      </w:pPr>
      <w:r w:rsidRPr="008A1BDF">
        <w:rPr>
          <w:b/>
        </w:rPr>
        <w:t xml:space="preserve">Supplementary Fig. 1. Bias risk graph. </w:t>
      </w:r>
      <w:r w:rsidRPr="008A1BDF">
        <w:t>Judgements about each risk of bias item presented as percentages across all seven included studies.</w:t>
      </w:r>
    </w:p>
    <w:p w:rsidR="0041239A" w:rsidRDefault="0041239A" w:rsidP="0041239A">
      <w:pPr>
        <w:pStyle w:val="af4"/>
        <w:adjustRightInd w:val="0"/>
        <w:snapToGrid w:val="0"/>
      </w:pPr>
    </w:p>
    <w:p w:rsidR="0041239A" w:rsidRPr="008A1BDF" w:rsidRDefault="0041239A" w:rsidP="0041239A">
      <w:pPr>
        <w:pStyle w:val="af4"/>
        <w:adjustRightInd w:val="0"/>
        <w:snapToGrid w:val="0"/>
      </w:pPr>
    </w:p>
    <w:p w:rsidR="004C00EF" w:rsidRDefault="00AB672D" w:rsidP="0041239A">
      <w:pPr>
        <w:adjustRightInd w:val="0"/>
        <w:snapToGrid w:val="0"/>
        <w:ind w:firstLineChars="0" w:firstLine="0"/>
        <w:jc w:val="center"/>
        <w:rPr>
          <w:b/>
        </w:rPr>
      </w:pPr>
      <w:r w:rsidRPr="008A1BDF">
        <w:rPr>
          <w:noProof/>
        </w:rPr>
        <w:drawing>
          <wp:inline distT="0" distB="0" distL="0" distR="0">
            <wp:extent cx="2852515" cy="4503855"/>
            <wp:effectExtent l="0" t="635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876343" cy="4541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2640" w:rsidRDefault="00AB672D" w:rsidP="0041239A">
      <w:pPr>
        <w:pStyle w:val="af4"/>
        <w:adjustRightInd w:val="0"/>
        <w:snapToGrid w:val="0"/>
      </w:pPr>
      <w:r w:rsidRPr="008A1BDF">
        <w:rPr>
          <w:b/>
        </w:rPr>
        <w:t xml:space="preserve">Supplementary Fig. 2. Bias risk summary. </w:t>
      </w:r>
      <w:r w:rsidRPr="008A1BDF">
        <w:t>Judgements about each risk of bias item for each included study.</w:t>
      </w:r>
    </w:p>
    <w:p w:rsidR="004C00EF" w:rsidRDefault="004C00EF" w:rsidP="0041239A">
      <w:pPr>
        <w:adjustRightInd w:val="0"/>
        <w:snapToGrid w:val="0"/>
        <w:ind w:firstLineChars="0" w:firstLine="0"/>
        <w:rPr>
          <w:rFonts w:eastAsiaTheme="minorEastAsia"/>
        </w:rPr>
      </w:pPr>
    </w:p>
    <w:p w:rsidR="004C00EF" w:rsidRDefault="004C00EF" w:rsidP="0041239A">
      <w:pPr>
        <w:adjustRightInd w:val="0"/>
        <w:snapToGrid w:val="0"/>
        <w:ind w:firstLineChars="0" w:firstLine="0"/>
        <w:rPr>
          <w:rFonts w:eastAsiaTheme="minorEastAsia"/>
        </w:rPr>
      </w:pPr>
    </w:p>
    <w:p w:rsidR="00A72640" w:rsidRPr="008A1BDF" w:rsidRDefault="00AB672D" w:rsidP="0041239A">
      <w:pPr>
        <w:adjustRightInd w:val="0"/>
        <w:snapToGrid w:val="0"/>
        <w:ind w:firstLineChars="0" w:firstLine="0"/>
        <w:jc w:val="center"/>
        <w:rPr>
          <w:sz w:val="18"/>
          <w:szCs w:val="18"/>
        </w:rPr>
      </w:pPr>
      <w:r w:rsidRPr="008A1BDF">
        <w:rPr>
          <w:noProof/>
        </w:rPr>
        <w:lastRenderedPageBreak/>
        <w:drawing>
          <wp:inline distT="0" distB="0" distL="0" distR="0">
            <wp:extent cx="3767673" cy="2511631"/>
            <wp:effectExtent l="0" t="0" r="4445" b="317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6031" cy="2523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2640" w:rsidRPr="008A1BDF" w:rsidRDefault="00AB672D" w:rsidP="0041239A">
      <w:pPr>
        <w:pStyle w:val="af4"/>
        <w:adjustRightInd w:val="0"/>
        <w:snapToGrid w:val="0"/>
      </w:pPr>
      <w:r w:rsidRPr="004C00EF">
        <w:rPr>
          <w:b/>
        </w:rPr>
        <w:t xml:space="preserve">Supplementary Fig. 3. Funnel plot estimated individual and overall effect of recurrent restenosis between PCB and </w:t>
      </w:r>
      <w:r w:rsidRPr="004C00EF">
        <w:rPr>
          <w:b/>
        </w:rPr>
        <w:t>UC</w:t>
      </w:r>
      <w:r w:rsidRPr="004C00EF">
        <w:rPr>
          <w:b/>
        </w:rPr>
        <w:t>B groups at 6 months.</w:t>
      </w:r>
    </w:p>
    <w:p w:rsidR="004C00EF" w:rsidRDefault="004C00EF" w:rsidP="0041239A">
      <w:pPr>
        <w:adjustRightInd w:val="0"/>
        <w:snapToGrid w:val="0"/>
        <w:ind w:firstLineChars="0" w:firstLine="0"/>
        <w:rPr>
          <w:rFonts w:eastAsiaTheme="minorEastAsia"/>
          <w:b/>
          <w:sz w:val="18"/>
          <w:szCs w:val="18"/>
        </w:rPr>
      </w:pPr>
    </w:p>
    <w:p w:rsidR="004C00EF" w:rsidRDefault="004C00EF" w:rsidP="0041239A">
      <w:pPr>
        <w:adjustRightInd w:val="0"/>
        <w:snapToGrid w:val="0"/>
        <w:ind w:firstLineChars="0" w:firstLine="0"/>
        <w:rPr>
          <w:rFonts w:eastAsiaTheme="minorEastAsia"/>
          <w:b/>
          <w:sz w:val="18"/>
          <w:szCs w:val="18"/>
        </w:rPr>
      </w:pPr>
    </w:p>
    <w:p w:rsidR="00A72640" w:rsidRPr="008A1BDF" w:rsidRDefault="00AB672D" w:rsidP="006B5F23">
      <w:pPr>
        <w:adjustRightInd w:val="0"/>
        <w:snapToGrid w:val="0"/>
        <w:ind w:firstLineChars="0" w:firstLine="0"/>
        <w:jc w:val="center"/>
        <w:rPr>
          <w:b/>
          <w:sz w:val="18"/>
          <w:szCs w:val="18"/>
        </w:rPr>
      </w:pPr>
      <w:r w:rsidRPr="008A1BDF">
        <w:rPr>
          <w:rFonts w:eastAsia="宋体"/>
          <w:noProof/>
          <w:kern w:val="0"/>
        </w:rPr>
        <w:drawing>
          <wp:inline distT="0" distB="0" distL="0" distR="0">
            <wp:extent cx="3664675" cy="2442969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4405" cy="2449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2640" w:rsidRPr="008A1BDF" w:rsidRDefault="00AB672D" w:rsidP="0041239A">
      <w:pPr>
        <w:pStyle w:val="af4"/>
        <w:adjustRightInd w:val="0"/>
        <w:snapToGrid w:val="0"/>
      </w:pPr>
      <w:r w:rsidRPr="004C00EF">
        <w:rPr>
          <w:b/>
        </w:rPr>
        <w:t>Suppleme</w:t>
      </w:r>
      <w:r w:rsidRPr="004C00EF">
        <w:rPr>
          <w:b/>
        </w:rPr>
        <w:t xml:space="preserve">ntary Fig. 4. Funnel plot estimated individual and overall effect of recurrent restenosis between PCB and </w:t>
      </w:r>
      <w:r w:rsidRPr="004C00EF">
        <w:rPr>
          <w:b/>
        </w:rPr>
        <w:t>UC</w:t>
      </w:r>
      <w:r w:rsidRPr="004C00EF">
        <w:rPr>
          <w:b/>
        </w:rPr>
        <w:t>B groups at 12 months.</w:t>
      </w:r>
    </w:p>
    <w:p w:rsidR="004C00EF" w:rsidRDefault="004C00EF" w:rsidP="0041239A">
      <w:pPr>
        <w:adjustRightInd w:val="0"/>
        <w:snapToGrid w:val="0"/>
        <w:ind w:firstLineChars="0" w:firstLine="0"/>
        <w:rPr>
          <w:rFonts w:eastAsiaTheme="minorEastAsia"/>
          <w:b/>
          <w:sz w:val="18"/>
          <w:szCs w:val="18"/>
        </w:rPr>
      </w:pPr>
    </w:p>
    <w:p w:rsidR="004C00EF" w:rsidRDefault="004C00EF" w:rsidP="0041239A">
      <w:pPr>
        <w:adjustRightInd w:val="0"/>
        <w:snapToGrid w:val="0"/>
        <w:ind w:firstLineChars="0" w:firstLine="0"/>
        <w:rPr>
          <w:rFonts w:eastAsiaTheme="minorEastAsia"/>
          <w:b/>
          <w:sz w:val="18"/>
          <w:szCs w:val="18"/>
        </w:rPr>
      </w:pPr>
    </w:p>
    <w:p w:rsidR="00A72640" w:rsidRPr="008A1BDF" w:rsidRDefault="00AB672D" w:rsidP="006B5F23">
      <w:pPr>
        <w:adjustRightInd w:val="0"/>
        <w:snapToGrid w:val="0"/>
        <w:ind w:firstLineChars="0" w:firstLine="0"/>
        <w:jc w:val="center"/>
        <w:rPr>
          <w:b/>
          <w:sz w:val="18"/>
          <w:szCs w:val="18"/>
        </w:rPr>
      </w:pPr>
      <w:r w:rsidRPr="008A1BDF">
        <w:rPr>
          <w:rFonts w:eastAsia="宋体"/>
          <w:noProof/>
          <w:kern w:val="0"/>
        </w:rPr>
        <w:drawing>
          <wp:inline distT="0" distB="0" distL="0" distR="0">
            <wp:extent cx="3544998" cy="2363189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1180" cy="2373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2640" w:rsidRDefault="00AB672D" w:rsidP="0041239A">
      <w:pPr>
        <w:pStyle w:val="af4"/>
        <w:adjustRightInd w:val="0"/>
        <w:snapToGrid w:val="0"/>
        <w:rPr>
          <w:b/>
        </w:rPr>
      </w:pPr>
      <w:r w:rsidRPr="004C00EF">
        <w:rPr>
          <w:b/>
        </w:rPr>
        <w:t xml:space="preserve">Supplementary Fig. 5. Funnel plot of estimated individual and overall effect of primary patency between PCB and </w:t>
      </w:r>
      <w:r w:rsidRPr="004C00EF">
        <w:rPr>
          <w:b/>
        </w:rPr>
        <w:t>UC</w:t>
      </w:r>
      <w:r w:rsidRPr="004C00EF">
        <w:rPr>
          <w:b/>
        </w:rPr>
        <w:t>B groups at 12 months.</w:t>
      </w:r>
    </w:p>
    <w:p w:rsidR="004C00EF" w:rsidRDefault="004C00EF" w:rsidP="0041239A">
      <w:pPr>
        <w:pStyle w:val="af4"/>
        <w:adjustRightInd w:val="0"/>
        <w:snapToGrid w:val="0"/>
        <w:rPr>
          <w:b/>
        </w:rPr>
      </w:pPr>
    </w:p>
    <w:p w:rsidR="004C00EF" w:rsidRPr="008A1BDF" w:rsidRDefault="004C00EF" w:rsidP="0041239A">
      <w:pPr>
        <w:pStyle w:val="af4"/>
        <w:adjustRightInd w:val="0"/>
        <w:snapToGrid w:val="0"/>
      </w:pPr>
    </w:p>
    <w:p w:rsidR="00A72640" w:rsidRPr="008A1BDF" w:rsidRDefault="00AB672D" w:rsidP="0041239A">
      <w:pPr>
        <w:adjustRightInd w:val="0"/>
        <w:snapToGrid w:val="0"/>
        <w:ind w:firstLineChars="0" w:firstLine="0"/>
        <w:jc w:val="center"/>
        <w:rPr>
          <w:b/>
          <w:sz w:val="18"/>
          <w:szCs w:val="18"/>
        </w:rPr>
      </w:pPr>
      <w:r w:rsidRPr="008A1BDF">
        <w:rPr>
          <w:rFonts w:eastAsia="宋体"/>
          <w:noProof/>
          <w:kern w:val="0"/>
        </w:rPr>
        <w:lastRenderedPageBreak/>
        <w:drawing>
          <wp:inline distT="0" distB="0" distL="0" distR="0">
            <wp:extent cx="3580627" cy="2386941"/>
            <wp:effectExtent l="0" t="0" r="127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8304" cy="239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2640" w:rsidRDefault="00AB672D" w:rsidP="0041239A">
      <w:pPr>
        <w:pStyle w:val="af4"/>
        <w:adjustRightInd w:val="0"/>
        <w:snapToGrid w:val="0"/>
        <w:rPr>
          <w:b/>
        </w:rPr>
      </w:pPr>
      <w:r w:rsidRPr="004C00EF">
        <w:rPr>
          <w:b/>
        </w:rPr>
        <w:t>Supplementary Fig. 6. Funnel plot of estimated individual and overall effect of freedom from</w:t>
      </w:r>
      <w:r w:rsidRPr="004C00EF">
        <w:rPr>
          <w:b/>
        </w:rPr>
        <w:t xml:space="preserve"> TLR between PCB and </w:t>
      </w:r>
      <w:r w:rsidRPr="004C00EF">
        <w:rPr>
          <w:b/>
        </w:rPr>
        <w:t>UC</w:t>
      </w:r>
      <w:r w:rsidRPr="004C00EF">
        <w:rPr>
          <w:b/>
        </w:rPr>
        <w:t>B groups at 6 months.</w:t>
      </w:r>
    </w:p>
    <w:p w:rsidR="004C00EF" w:rsidRDefault="004C00EF" w:rsidP="0041239A">
      <w:pPr>
        <w:pStyle w:val="af4"/>
        <w:adjustRightInd w:val="0"/>
        <w:snapToGrid w:val="0"/>
        <w:rPr>
          <w:b/>
        </w:rPr>
      </w:pPr>
    </w:p>
    <w:p w:rsidR="004C00EF" w:rsidRPr="008A1BDF" w:rsidRDefault="004C00EF" w:rsidP="0041239A">
      <w:pPr>
        <w:pStyle w:val="af4"/>
        <w:adjustRightInd w:val="0"/>
        <w:snapToGrid w:val="0"/>
      </w:pPr>
    </w:p>
    <w:p w:rsidR="00A72640" w:rsidRPr="008A1BDF" w:rsidRDefault="00AB672D" w:rsidP="0041239A">
      <w:pPr>
        <w:adjustRightInd w:val="0"/>
        <w:snapToGrid w:val="0"/>
        <w:ind w:firstLineChars="0" w:firstLine="0"/>
        <w:jc w:val="center"/>
        <w:rPr>
          <w:b/>
          <w:sz w:val="18"/>
          <w:szCs w:val="18"/>
        </w:rPr>
      </w:pPr>
      <w:r w:rsidRPr="008A1BDF">
        <w:rPr>
          <w:b/>
          <w:noProof/>
          <w:sz w:val="18"/>
          <w:szCs w:val="18"/>
        </w:rPr>
        <w:drawing>
          <wp:inline distT="0" distB="0" distL="0" distR="0">
            <wp:extent cx="3474366" cy="2316245"/>
            <wp:effectExtent l="0" t="0" r="0" b="8255"/>
            <wp:docPr id="31" name="图片 31" descr="E:\课件\课题\meta（新案）\图片\Funnel plot of TLR 12 revis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E:\课件\课题\meta（新案）\图片\Funnel plot of TLR 12 revised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82277" cy="2321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640" w:rsidRPr="008A1BDF" w:rsidRDefault="00AB672D" w:rsidP="0041239A">
      <w:pPr>
        <w:pStyle w:val="af4"/>
        <w:adjustRightInd w:val="0"/>
        <w:snapToGrid w:val="0"/>
      </w:pPr>
      <w:r w:rsidRPr="004C00EF">
        <w:rPr>
          <w:b/>
        </w:rPr>
        <w:t xml:space="preserve">Supplementary Fig. 7. Funnel plot of estimated individual and overall effect of freedom from TLR between PCB and </w:t>
      </w:r>
      <w:r w:rsidRPr="004C00EF">
        <w:rPr>
          <w:b/>
        </w:rPr>
        <w:t>UC</w:t>
      </w:r>
      <w:r w:rsidRPr="004C00EF">
        <w:rPr>
          <w:b/>
        </w:rPr>
        <w:t>B groups at 12 months.</w:t>
      </w:r>
    </w:p>
    <w:p w:rsidR="004C00EF" w:rsidRDefault="004C00EF" w:rsidP="0041239A">
      <w:pPr>
        <w:adjustRightInd w:val="0"/>
        <w:snapToGrid w:val="0"/>
        <w:ind w:firstLineChars="0" w:firstLine="0"/>
        <w:rPr>
          <w:rFonts w:eastAsiaTheme="minorEastAsia"/>
          <w:b/>
          <w:sz w:val="18"/>
          <w:szCs w:val="18"/>
        </w:rPr>
      </w:pPr>
    </w:p>
    <w:p w:rsidR="004C00EF" w:rsidRDefault="004C00EF" w:rsidP="0041239A">
      <w:pPr>
        <w:adjustRightInd w:val="0"/>
        <w:snapToGrid w:val="0"/>
        <w:ind w:firstLineChars="0" w:firstLine="0"/>
        <w:rPr>
          <w:rFonts w:eastAsiaTheme="minorEastAsia"/>
          <w:b/>
          <w:sz w:val="18"/>
          <w:szCs w:val="18"/>
        </w:rPr>
      </w:pPr>
    </w:p>
    <w:p w:rsidR="00A72640" w:rsidRPr="008A1BDF" w:rsidRDefault="00AB672D" w:rsidP="002627D5">
      <w:pPr>
        <w:adjustRightInd w:val="0"/>
        <w:snapToGrid w:val="0"/>
        <w:ind w:firstLineChars="0" w:firstLine="0"/>
        <w:jc w:val="center"/>
        <w:rPr>
          <w:b/>
          <w:sz w:val="18"/>
          <w:szCs w:val="18"/>
        </w:rPr>
      </w:pPr>
      <w:r w:rsidRPr="008A1BDF">
        <w:rPr>
          <w:b/>
          <w:noProof/>
          <w:sz w:val="18"/>
          <w:szCs w:val="18"/>
        </w:rPr>
        <w:drawing>
          <wp:inline distT="0" distB="0" distL="0" distR="0">
            <wp:extent cx="3445032" cy="2296688"/>
            <wp:effectExtent l="0" t="0" r="3175" b="8890"/>
            <wp:docPr id="32" name="图片 32" descr="E:\课件\课题\meta（新案）\图片\Funnel plot of CI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E:\课件\课题\meta（新案）\图片\Funnel plot of CI6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54639" cy="2303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640" w:rsidRDefault="00AB672D" w:rsidP="0041239A">
      <w:pPr>
        <w:pStyle w:val="af4"/>
        <w:adjustRightInd w:val="0"/>
        <w:snapToGrid w:val="0"/>
        <w:rPr>
          <w:b/>
        </w:rPr>
      </w:pPr>
      <w:r w:rsidRPr="004C00EF">
        <w:rPr>
          <w:b/>
        </w:rPr>
        <w:t>Supplementary Fig. 8. Funnel plot of estimated individual and overall</w:t>
      </w:r>
      <w:r w:rsidRPr="004C00EF">
        <w:rPr>
          <w:b/>
        </w:rPr>
        <w:t xml:space="preserve"> effect of clinical improvement between PCB and </w:t>
      </w:r>
      <w:r w:rsidRPr="004C00EF">
        <w:rPr>
          <w:b/>
        </w:rPr>
        <w:t>UC</w:t>
      </w:r>
      <w:r w:rsidRPr="004C00EF">
        <w:rPr>
          <w:b/>
        </w:rPr>
        <w:t>B groups at 6 months.</w:t>
      </w:r>
    </w:p>
    <w:p w:rsidR="004C00EF" w:rsidRDefault="004C00EF" w:rsidP="0041239A">
      <w:pPr>
        <w:pStyle w:val="af4"/>
        <w:adjustRightInd w:val="0"/>
        <w:snapToGrid w:val="0"/>
        <w:rPr>
          <w:b/>
        </w:rPr>
      </w:pPr>
    </w:p>
    <w:p w:rsidR="004C00EF" w:rsidRPr="008A1BDF" w:rsidRDefault="004C00EF" w:rsidP="0041239A">
      <w:pPr>
        <w:pStyle w:val="af4"/>
        <w:adjustRightInd w:val="0"/>
        <w:snapToGrid w:val="0"/>
      </w:pPr>
    </w:p>
    <w:p w:rsidR="00A72640" w:rsidRPr="008A1BDF" w:rsidRDefault="00AB672D" w:rsidP="002627D5">
      <w:pPr>
        <w:adjustRightInd w:val="0"/>
        <w:snapToGrid w:val="0"/>
        <w:ind w:firstLineChars="0" w:firstLine="0"/>
        <w:jc w:val="center"/>
        <w:rPr>
          <w:b/>
          <w:sz w:val="18"/>
          <w:szCs w:val="18"/>
        </w:rPr>
      </w:pPr>
      <w:r w:rsidRPr="008A1BDF">
        <w:rPr>
          <w:b/>
          <w:noProof/>
          <w:sz w:val="18"/>
          <w:szCs w:val="18"/>
        </w:rPr>
        <w:lastRenderedPageBreak/>
        <w:drawing>
          <wp:inline distT="0" distB="0" distL="0" distR="0">
            <wp:extent cx="3462440" cy="2308294"/>
            <wp:effectExtent l="0" t="0" r="5080" b="0"/>
            <wp:docPr id="33" name="图片 33" descr="E:\课件\课题\meta（新案）\图片\Funnel plot of CI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E:\课件\课题\meta（新案）\图片\Funnel plot of CI12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78440" cy="2318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00EF" w:rsidRDefault="00AB672D" w:rsidP="0041239A">
      <w:pPr>
        <w:pStyle w:val="af4"/>
        <w:adjustRightInd w:val="0"/>
        <w:snapToGrid w:val="0"/>
        <w:rPr>
          <w:b/>
        </w:rPr>
      </w:pPr>
      <w:r w:rsidRPr="004C00EF">
        <w:rPr>
          <w:b/>
        </w:rPr>
        <w:t xml:space="preserve">Supplementary Fig. 9. Funnel plot of estimated individual and overall effect of clinical improvement between PCB and </w:t>
      </w:r>
      <w:r w:rsidRPr="004C00EF">
        <w:rPr>
          <w:b/>
        </w:rPr>
        <w:t>UC</w:t>
      </w:r>
      <w:r w:rsidRPr="004C00EF">
        <w:rPr>
          <w:b/>
        </w:rPr>
        <w:t>B groups at 12 months.</w:t>
      </w:r>
    </w:p>
    <w:p w:rsidR="004C00EF" w:rsidRDefault="004C00EF" w:rsidP="0041239A">
      <w:pPr>
        <w:pStyle w:val="af4"/>
        <w:adjustRightInd w:val="0"/>
        <w:snapToGrid w:val="0"/>
        <w:rPr>
          <w:b/>
        </w:rPr>
      </w:pPr>
    </w:p>
    <w:p w:rsidR="004C00EF" w:rsidRDefault="004C00EF" w:rsidP="0041239A">
      <w:pPr>
        <w:pStyle w:val="af4"/>
        <w:adjustRightInd w:val="0"/>
        <w:snapToGrid w:val="0"/>
        <w:rPr>
          <w:b/>
        </w:rPr>
      </w:pPr>
    </w:p>
    <w:p w:rsidR="00A72640" w:rsidRPr="004C00EF" w:rsidRDefault="00AB672D" w:rsidP="00F06B8A">
      <w:pPr>
        <w:pStyle w:val="af4"/>
        <w:adjustRightInd w:val="0"/>
        <w:snapToGrid w:val="0"/>
        <w:jc w:val="center"/>
        <w:rPr>
          <w:b/>
        </w:rPr>
      </w:pPr>
      <w:r w:rsidRPr="008A1BDF">
        <w:rPr>
          <w:b/>
          <w:noProof/>
          <w:sz w:val="18"/>
          <w:szCs w:val="18"/>
        </w:rPr>
        <w:drawing>
          <wp:inline distT="0" distB="0" distL="0" distR="0">
            <wp:extent cx="3439254" cy="2292836"/>
            <wp:effectExtent l="0" t="0" r="8890" b="0"/>
            <wp:docPr id="34" name="图片 34" descr="E:\课件\课题\meta（新案）\图片\Funnel plot of ABI aft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E:\课件\课题\meta（新案）\图片\Funnel plot of ABI after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46804" cy="2297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640" w:rsidRDefault="00AB672D" w:rsidP="0041239A">
      <w:pPr>
        <w:pStyle w:val="af4"/>
        <w:adjustRightInd w:val="0"/>
        <w:snapToGrid w:val="0"/>
        <w:rPr>
          <w:b/>
        </w:rPr>
      </w:pPr>
      <w:r w:rsidRPr="004C00EF">
        <w:rPr>
          <w:b/>
        </w:rPr>
        <w:t xml:space="preserve">Supplementary Fig. 10. Funnel plot of revised estimated individual and overall effect of the ABI between PCB and </w:t>
      </w:r>
      <w:r w:rsidRPr="004C00EF">
        <w:rPr>
          <w:b/>
        </w:rPr>
        <w:t>UC</w:t>
      </w:r>
      <w:r w:rsidRPr="004C00EF">
        <w:rPr>
          <w:b/>
        </w:rPr>
        <w:t>B groups at 12 months.</w:t>
      </w:r>
    </w:p>
    <w:p w:rsidR="004C00EF" w:rsidRDefault="004C00EF" w:rsidP="0041239A">
      <w:pPr>
        <w:pStyle w:val="af4"/>
        <w:adjustRightInd w:val="0"/>
        <w:snapToGrid w:val="0"/>
        <w:rPr>
          <w:b/>
        </w:rPr>
      </w:pPr>
    </w:p>
    <w:p w:rsidR="004C00EF" w:rsidRDefault="004C00EF" w:rsidP="0041239A">
      <w:pPr>
        <w:pStyle w:val="af4"/>
        <w:adjustRightInd w:val="0"/>
        <w:snapToGrid w:val="0"/>
        <w:rPr>
          <w:b/>
        </w:rPr>
      </w:pPr>
    </w:p>
    <w:p w:rsidR="00A72640" w:rsidRPr="008A1BDF" w:rsidRDefault="00AB672D" w:rsidP="00F06B8A">
      <w:pPr>
        <w:adjustRightInd w:val="0"/>
        <w:snapToGrid w:val="0"/>
        <w:ind w:firstLineChars="0" w:firstLine="0"/>
        <w:jc w:val="center"/>
        <w:rPr>
          <w:b/>
          <w:sz w:val="18"/>
          <w:szCs w:val="18"/>
        </w:rPr>
      </w:pPr>
      <w:r w:rsidRPr="008A1BDF">
        <w:rPr>
          <w:b/>
          <w:noProof/>
          <w:sz w:val="18"/>
          <w:szCs w:val="18"/>
        </w:rPr>
        <w:drawing>
          <wp:inline distT="0" distB="0" distL="0" distR="0">
            <wp:extent cx="3366654" cy="2244436"/>
            <wp:effectExtent l="0" t="0" r="5715" b="3810"/>
            <wp:docPr id="35" name="图片 35" descr="E:\课件\课题\meta（新案）\图片\Funnel plot of MA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E:\课件\课题\meta（新案）\图片\Funnel plot of MAE6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86981" cy="2257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640" w:rsidRPr="008A1BDF" w:rsidRDefault="00AB672D" w:rsidP="0041239A">
      <w:pPr>
        <w:pStyle w:val="af4"/>
        <w:adjustRightInd w:val="0"/>
        <w:snapToGrid w:val="0"/>
      </w:pPr>
      <w:r w:rsidRPr="004C00EF">
        <w:rPr>
          <w:b/>
        </w:rPr>
        <w:t xml:space="preserve">Supplementary Fig. 11. Funnel plot of estimated individual and overall effect of MAEs between PCB and </w:t>
      </w:r>
      <w:r w:rsidRPr="004C00EF">
        <w:rPr>
          <w:b/>
        </w:rPr>
        <w:t>UC</w:t>
      </w:r>
      <w:r w:rsidRPr="004C00EF">
        <w:rPr>
          <w:b/>
        </w:rPr>
        <w:t xml:space="preserve">B groups at </w:t>
      </w:r>
      <w:r w:rsidRPr="004C00EF">
        <w:rPr>
          <w:b/>
        </w:rPr>
        <w:t>6 months.</w:t>
      </w:r>
    </w:p>
    <w:p w:rsidR="004C00EF" w:rsidRDefault="004C00EF" w:rsidP="0041239A">
      <w:pPr>
        <w:adjustRightInd w:val="0"/>
        <w:snapToGrid w:val="0"/>
        <w:ind w:firstLineChars="0" w:firstLine="0"/>
        <w:rPr>
          <w:rFonts w:eastAsiaTheme="minorEastAsia"/>
          <w:b/>
          <w:sz w:val="18"/>
          <w:szCs w:val="18"/>
        </w:rPr>
      </w:pPr>
    </w:p>
    <w:p w:rsidR="004C00EF" w:rsidRDefault="004C00EF" w:rsidP="0041239A">
      <w:pPr>
        <w:adjustRightInd w:val="0"/>
        <w:snapToGrid w:val="0"/>
        <w:ind w:firstLineChars="0" w:firstLine="0"/>
        <w:rPr>
          <w:rFonts w:eastAsiaTheme="minorEastAsia"/>
          <w:b/>
          <w:sz w:val="18"/>
          <w:szCs w:val="18"/>
        </w:rPr>
      </w:pPr>
    </w:p>
    <w:p w:rsidR="00A72640" w:rsidRPr="008A1BDF" w:rsidRDefault="00AB672D" w:rsidP="00F06B8A">
      <w:pPr>
        <w:adjustRightInd w:val="0"/>
        <w:snapToGrid w:val="0"/>
        <w:ind w:firstLineChars="0" w:firstLine="0"/>
        <w:jc w:val="center"/>
        <w:rPr>
          <w:b/>
          <w:sz w:val="18"/>
          <w:szCs w:val="18"/>
        </w:rPr>
      </w:pPr>
      <w:r w:rsidRPr="008A1BDF">
        <w:rPr>
          <w:b/>
          <w:noProof/>
          <w:sz w:val="18"/>
          <w:szCs w:val="18"/>
        </w:rPr>
        <w:lastRenderedPageBreak/>
        <w:drawing>
          <wp:inline distT="0" distB="0" distL="0" distR="0">
            <wp:extent cx="3624941" cy="2416628"/>
            <wp:effectExtent l="0" t="0" r="0" b="3175"/>
            <wp:docPr id="36" name="图片 36" descr="E:\课件\课题\meta（新案）\图片\Funnel plot of MA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E:\课件\课题\meta（新案）\图片\Funnel plot of MAE12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48659" cy="243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640" w:rsidRDefault="00AB672D" w:rsidP="0041239A">
      <w:pPr>
        <w:pStyle w:val="af4"/>
        <w:adjustRightInd w:val="0"/>
        <w:snapToGrid w:val="0"/>
        <w:rPr>
          <w:b/>
        </w:rPr>
      </w:pPr>
      <w:r w:rsidRPr="004C00EF">
        <w:rPr>
          <w:b/>
        </w:rPr>
        <w:t xml:space="preserve">Supplementary Fig. 12. Funnel plot of estimated individual and overall effect of MAEs between PCB and </w:t>
      </w:r>
      <w:r w:rsidRPr="004C00EF">
        <w:rPr>
          <w:b/>
        </w:rPr>
        <w:t>UC</w:t>
      </w:r>
      <w:r w:rsidRPr="004C00EF">
        <w:rPr>
          <w:b/>
        </w:rPr>
        <w:t>B groups at 12 months.</w:t>
      </w:r>
    </w:p>
    <w:p w:rsidR="00F06B8A" w:rsidRDefault="00F06B8A" w:rsidP="0041239A">
      <w:pPr>
        <w:pStyle w:val="af4"/>
        <w:adjustRightInd w:val="0"/>
        <w:snapToGrid w:val="0"/>
        <w:rPr>
          <w:b/>
        </w:rPr>
      </w:pPr>
    </w:p>
    <w:p w:rsidR="00F06B8A" w:rsidRDefault="00F06B8A" w:rsidP="0041239A">
      <w:pPr>
        <w:pStyle w:val="af4"/>
        <w:adjustRightInd w:val="0"/>
        <w:snapToGrid w:val="0"/>
        <w:rPr>
          <w:b/>
        </w:rPr>
      </w:pPr>
    </w:p>
    <w:p w:rsidR="00F06B8A" w:rsidRDefault="00F06B8A" w:rsidP="0041239A">
      <w:pPr>
        <w:pStyle w:val="af4"/>
        <w:adjustRightInd w:val="0"/>
        <w:snapToGrid w:val="0"/>
        <w:rPr>
          <w:b/>
        </w:rPr>
      </w:pPr>
    </w:p>
    <w:p w:rsidR="00F06B8A" w:rsidRDefault="00F06B8A" w:rsidP="0041239A">
      <w:pPr>
        <w:pStyle w:val="af4"/>
        <w:adjustRightInd w:val="0"/>
        <w:snapToGrid w:val="0"/>
        <w:rPr>
          <w:b/>
        </w:rPr>
      </w:pPr>
    </w:p>
    <w:p w:rsidR="00F06B8A" w:rsidRPr="008A1BDF" w:rsidRDefault="00F06B8A" w:rsidP="0041239A">
      <w:pPr>
        <w:pStyle w:val="af4"/>
        <w:adjustRightInd w:val="0"/>
        <w:snapToGrid w:val="0"/>
      </w:pPr>
    </w:p>
    <w:p w:rsidR="00A72640" w:rsidRPr="008A1BDF" w:rsidRDefault="00AB672D" w:rsidP="0041239A">
      <w:pPr>
        <w:widowControl/>
        <w:adjustRightInd w:val="0"/>
        <w:snapToGrid w:val="0"/>
        <w:ind w:firstLine="361"/>
        <w:jc w:val="left"/>
        <w:rPr>
          <w:rFonts w:eastAsia="宋体"/>
          <w:b/>
          <w:kern w:val="0"/>
          <w:sz w:val="18"/>
          <w:szCs w:val="18"/>
        </w:rPr>
      </w:pPr>
      <w:r w:rsidRPr="008A1BDF">
        <w:rPr>
          <w:rFonts w:eastAsia="宋体"/>
          <w:b/>
          <w:kern w:val="0"/>
          <w:sz w:val="18"/>
          <w:szCs w:val="18"/>
        </w:rPr>
        <w:t>(A)</w:t>
      </w:r>
    </w:p>
    <w:p w:rsidR="00A72640" w:rsidRPr="008A1BDF" w:rsidRDefault="00AB672D" w:rsidP="00F06B8A">
      <w:pPr>
        <w:widowControl/>
        <w:adjustRightInd w:val="0"/>
        <w:snapToGrid w:val="0"/>
        <w:ind w:firstLineChars="0" w:firstLine="0"/>
        <w:jc w:val="center"/>
        <w:rPr>
          <w:rFonts w:eastAsia="宋体"/>
          <w:b/>
          <w:kern w:val="0"/>
          <w:sz w:val="18"/>
          <w:szCs w:val="18"/>
        </w:rPr>
      </w:pPr>
      <w:r w:rsidRPr="008A1BDF">
        <w:rPr>
          <w:rFonts w:eastAsia="宋体"/>
          <w:b/>
          <w:noProof/>
          <w:kern w:val="0"/>
          <w:sz w:val="18"/>
          <w:szCs w:val="18"/>
        </w:rPr>
        <w:drawing>
          <wp:inline distT="0" distB="0" distL="0" distR="0">
            <wp:extent cx="3634068" cy="2422566"/>
            <wp:effectExtent l="0" t="0" r="508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6070" cy="2437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2640" w:rsidRPr="008A1BDF" w:rsidRDefault="00AB672D" w:rsidP="0041239A">
      <w:pPr>
        <w:widowControl/>
        <w:adjustRightInd w:val="0"/>
        <w:snapToGrid w:val="0"/>
        <w:ind w:firstLine="361"/>
        <w:jc w:val="left"/>
        <w:rPr>
          <w:rFonts w:eastAsia="宋体"/>
          <w:b/>
          <w:kern w:val="0"/>
          <w:sz w:val="18"/>
          <w:szCs w:val="18"/>
        </w:rPr>
      </w:pPr>
      <w:r w:rsidRPr="008A1BDF">
        <w:rPr>
          <w:rFonts w:eastAsia="宋体"/>
          <w:b/>
          <w:kern w:val="0"/>
          <w:sz w:val="18"/>
          <w:szCs w:val="18"/>
        </w:rPr>
        <w:t>(B)</w:t>
      </w:r>
    </w:p>
    <w:p w:rsidR="00A72640" w:rsidRPr="008A1BDF" w:rsidRDefault="00AB672D" w:rsidP="00F06B8A">
      <w:pPr>
        <w:widowControl/>
        <w:adjustRightInd w:val="0"/>
        <w:snapToGrid w:val="0"/>
        <w:ind w:firstLineChars="0" w:firstLine="0"/>
        <w:jc w:val="center"/>
        <w:rPr>
          <w:rFonts w:eastAsia="宋体"/>
          <w:b/>
          <w:kern w:val="0"/>
          <w:sz w:val="18"/>
          <w:szCs w:val="18"/>
        </w:rPr>
      </w:pPr>
      <w:r w:rsidRPr="008A1BDF">
        <w:rPr>
          <w:rFonts w:eastAsia="宋体"/>
          <w:b/>
          <w:noProof/>
          <w:kern w:val="0"/>
          <w:sz w:val="18"/>
          <w:szCs w:val="18"/>
        </w:rPr>
        <w:drawing>
          <wp:inline distT="0" distB="0" distL="114300" distR="114300">
            <wp:extent cx="5310505" cy="1254760"/>
            <wp:effectExtent l="0" t="0" r="10795" b="2540"/>
            <wp:docPr id="17" name="图片 17" descr="_S$OLBKE)BPA@)0W~(H{[V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_S$OLBKE)BPA@)0W~(H{[VQ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310505" cy="1254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2640" w:rsidRPr="008A1BDF" w:rsidRDefault="00AB672D" w:rsidP="0041239A">
      <w:pPr>
        <w:widowControl/>
        <w:adjustRightInd w:val="0"/>
        <w:snapToGrid w:val="0"/>
        <w:ind w:firstLine="361"/>
        <w:jc w:val="left"/>
        <w:rPr>
          <w:rFonts w:eastAsia="宋体"/>
          <w:b/>
          <w:kern w:val="0"/>
          <w:sz w:val="18"/>
          <w:szCs w:val="18"/>
        </w:rPr>
      </w:pPr>
      <w:r w:rsidRPr="008A1BDF">
        <w:rPr>
          <w:rFonts w:eastAsia="宋体"/>
          <w:b/>
          <w:kern w:val="0"/>
          <w:sz w:val="18"/>
          <w:szCs w:val="18"/>
        </w:rPr>
        <w:t>(C)</w:t>
      </w:r>
    </w:p>
    <w:p w:rsidR="00A72640" w:rsidRPr="008A1BDF" w:rsidRDefault="00AB672D" w:rsidP="00F06B8A">
      <w:pPr>
        <w:widowControl/>
        <w:adjustRightInd w:val="0"/>
        <w:snapToGrid w:val="0"/>
        <w:ind w:firstLineChars="0" w:firstLine="0"/>
        <w:jc w:val="center"/>
        <w:rPr>
          <w:rFonts w:eastAsia="宋体"/>
          <w:b/>
          <w:kern w:val="0"/>
          <w:sz w:val="18"/>
          <w:szCs w:val="18"/>
        </w:rPr>
      </w:pPr>
      <w:r w:rsidRPr="008A1BDF">
        <w:rPr>
          <w:rFonts w:eastAsia="宋体"/>
          <w:b/>
          <w:noProof/>
          <w:kern w:val="0"/>
          <w:sz w:val="18"/>
          <w:szCs w:val="18"/>
        </w:rPr>
        <w:lastRenderedPageBreak/>
        <w:drawing>
          <wp:inline distT="0" distB="0" distL="0" distR="0">
            <wp:extent cx="3812859" cy="2541753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9198" cy="2545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2640" w:rsidRPr="008A1BDF" w:rsidRDefault="00AB672D" w:rsidP="0041239A">
      <w:pPr>
        <w:widowControl/>
        <w:adjustRightInd w:val="0"/>
        <w:snapToGrid w:val="0"/>
        <w:ind w:firstLine="361"/>
        <w:jc w:val="left"/>
        <w:rPr>
          <w:rFonts w:eastAsia="宋体"/>
          <w:b/>
          <w:kern w:val="0"/>
          <w:sz w:val="18"/>
          <w:szCs w:val="18"/>
        </w:rPr>
      </w:pPr>
      <w:r w:rsidRPr="008A1BDF">
        <w:rPr>
          <w:rFonts w:eastAsia="宋体"/>
          <w:b/>
          <w:kern w:val="0"/>
          <w:sz w:val="18"/>
          <w:szCs w:val="18"/>
        </w:rPr>
        <w:t>(D)</w:t>
      </w:r>
    </w:p>
    <w:p w:rsidR="00A72640" w:rsidRPr="008A1BDF" w:rsidRDefault="00AB672D" w:rsidP="00F06B8A">
      <w:pPr>
        <w:widowControl/>
        <w:adjustRightInd w:val="0"/>
        <w:snapToGrid w:val="0"/>
        <w:ind w:firstLineChars="0" w:firstLine="0"/>
        <w:jc w:val="center"/>
        <w:rPr>
          <w:rFonts w:eastAsia="宋体"/>
          <w:b/>
          <w:kern w:val="0"/>
          <w:sz w:val="18"/>
          <w:szCs w:val="18"/>
        </w:rPr>
      </w:pPr>
      <w:r w:rsidRPr="008A1BDF">
        <w:rPr>
          <w:rFonts w:eastAsia="宋体"/>
          <w:b/>
          <w:noProof/>
          <w:kern w:val="0"/>
          <w:sz w:val="18"/>
          <w:szCs w:val="18"/>
        </w:rPr>
        <w:drawing>
          <wp:inline distT="0" distB="0" distL="114300" distR="114300">
            <wp:extent cx="5300345" cy="1461770"/>
            <wp:effectExtent l="0" t="0" r="8255" b="11430"/>
            <wp:docPr id="19" name="图片 19" descr="EYF1H]W@(LH9UO_%ZCU8@M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EYF1H]W@(LH9UO_%ZCU8@M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300345" cy="1461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2640" w:rsidRPr="008A1BDF" w:rsidRDefault="00AB672D" w:rsidP="0041239A">
      <w:pPr>
        <w:widowControl/>
        <w:adjustRightInd w:val="0"/>
        <w:snapToGrid w:val="0"/>
        <w:ind w:firstLine="361"/>
        <w:jc w:val="left"/>
        <w:rPr>
          <w:rFonts w:eastAsia="宋体"/>
          <w:b/>
          <w:kern w:val="0"/>
          <w:sz w:val="18"/>
          <w:szCs w:val="18"/>
        </w:rPr>
      </w:pPr>
      <w:r w:rsidRPr="008A1BDF">
        <w:rPr>
          <w:rFonts w:eastAsia="宋体"/>
          <w:b/>
          <w:kern w:val="0"/>
          <w:sz w:val="18"/>
          <w:szCs w:val="18"/>
        </w:rPr>
        <w:t>(E)</w:t>
      </w:r>
    </w:p>
    <w:p w:rsidR="00A72640" w:rsidRPr="008A1BDF" w:rsidRDefault="00AB672D" w:rsidP="00F06B8A">
      <w:pPr>
        <w:widowControl/>
        <w:adjustRightInd w:val="0"/>
        <w:snapToGrid w:val="0"/>
        <w:ind w:firstLineChars="0" w:firstLine="0"/>
        <w:jc w:val="center"/>
        <w:rPr>
          <w:rFonts w:eastAsia="宋体"/>
          <w:b/>
          <w:kern w:val="0"/>
          <w:sz w:val="18"/>
          <w:szCs w:val="18"/>
        </w:rPr>
      </w:pPr>
      <w:r w:rsidRPr="008A1BDF">
        <w:rPr>
          <w:rFonts w:eastAsia="宋体"/>
          <w:b/>
          <w:noProof/>
          <w:kern w:val="0"/>
          <w:sz w:val="18"/>
          <w:szCs w:val="18"/>
        </w:rPr>
        <w:drawing>
          <wp:inline distT="0" distB="0" distL="0" distR="0">
            <wp:extent cx="3910187" cy="2606634"/>
            <wp:effectExtent l="0" t="0" r="0" b="381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9025" cy="261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2640" w:rsidRPr="008A1BDF" w:rsidRDefault="00AB672D" w:rsidP="0041239A">
      <w:pPr>
        <w:widowControl/>
        <w:adjustRightInd w:val="0"/>
        <w:snapToGrid w:val="0"/>
        <w:ind w:firstLine="361"/>
        <w:jc w:val="left"/>
        <w:rPr>
          <w:rFonts w:eastAsia="宋体"/>
          <w:b/>
          <w:kern w:val="0"/>
          <w:sz w:val="18"/>
          <w:szCs w:val="18"/>
        </w:rPr>
      </w:pPr>
      <w:r w:rsidRPr="008A1BDF">
        <w:rPr>
          <w:rFonts w:eastAsia="宋体"/>
          <w:b/>
          <w:kern w:val="0"/>
          <w:sz w:val="18"/>
          <w:szCs w:val="18"/>
        </w:rPr>
        <w:t>(F)</w:t>
      </w:r>
    </w:p>
    <w:p w:rsidR="00A72640" w:rsidRPr="008A1BDF" w:rsidRDefault="00AB672D" w:rsidP="00F06B8A">
      <w:pPr>
        <w:widowControl/>
        <w:adjustRightInd w:val="0"/>
        <w:snapToGrid w:val="0"/>
        <w:ind w:firstLineChars="0" w:firstLine="0"/>
        <w:jc w:val="center"/>
        <w:rPr>
          <w:rFonts w:eastAsia="宋体"/>
          <w:b/>
          <w:kern w:val="0"/>
          <w:sz w:val="18"/>
          <w:szCs w:val="18"/>
        </w:rPr>
      </w:pPr>
      <w:r w:rsidRPr="008A1BDF">
        <w:rPr>
          <w:rFonts w:eastAsia="宋体"/>
          <w:b/>
          <w:noProof/>
          <w:kern w:val="0"/>
          <w:sz w:val="18"/>
          <w:szCs w:val="18"/>
        </w:rPr>
        <w:drawing>
          <wp:inline distT="0" distB="0" distL="114300" distR="114300">
            <wp:extent cx="5318125" cy="1354455"/>
            <wp:effectExtent l="0" t="0" r="3175" b="4445"/>
            <wp:docPr id="20" name="图片 20" descr="~7%N2@GIN4W5{SILJ@DPL_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~7%N2@GIN4W5{SILJ@DPL_Q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318125" cy="1354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2640" w:rsidRPr="008A1BDF" w:rsidRDefault="00AB672D" w:rsidP="0041239A">
      <w:pPr>
        <w:widowControl/>
        <w:adjustRightInd w:val="0"/>
        <w:snapToGrid w:val="0"/>
        <w:ind w:firstLine="361"/>
        <w:jc w:val="left"/>
        <w:rPr>
          <w:rFonts w:eastAsia="宋体"/>
          <w:b/>
          <w:kern w:val="0"/>
          <w:sz w:val="18"/>
          <w:szCs w:val="18"/>
        </w:rPr>
      </w:pPr>
      <w:r w:rsidRPr="008A1BDF">
        <w:rPr>
          <w:rFonts w:eastAsia="宋体"/>
          <w:b/>
          <w:kern w:val="0"/>
          <w:sz w:val="18"/>
          <w:szCs w:val="18"/>
        </w:rPr>
        <w:t xml:space="preserve"> (G)</w:t>
      </w:r>
    </w:p>
    <w:p w:rsidR="00A72640" w:rsidRPr="008A1BDF" w:rsidRDefault="00AB672D" w:rsidP="00F06B8A">
      <w:pPr>
        <w:widowControl/>
        <w:adjustRightInd w:val="0"/>
        <w:snapToGrid w:val="0"/>
        <w:ind w:firstLineChars="0" w:firstLine="0"/>
        <w:jc w:val="center"/>
        <w:rPr>
          <w:rFonts w:eastAsia="宋体"/>
          <w:b/>
          <w:kern w:val="0"/>
          <w:sz w:val="18"/>
          <w:szCs w:val="18"/>
        </w:rPr>
      </w:pPr>
      <w:r w:rsidRPr="008A1BDF">
        <w:rPr>
          <w:rFonts w:eastAsia="宋体"/>
          <w:b/>
          <w:noProof/>
          <w:kern w:val="0"/>
          <w:sz w:val="18"/>
          <w:szCs w:val="18"/>
        </w:rPr>
        <w:lastRenderedPageBreak/>
        <w:drawing>
          <wp:inline distT="0" distB="0" distL="0" distR="0">
            <wp:extent cx="4026268" cy="2684017"/>
            <wp:effectExtent l="0" t="0" r="0" b="254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3999" cy="2695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2640" w:rsidRPr="008A1BDF" w:rsidRDefault="00AB672D" w:rsidP="0041239A">
      <w:pPr>
        <w:widowControl/>
        <w:adjustRightInd w:val="0"/>
        <w:snapToGrid w:val="0"/>
        <w:ind w:firstLine="361"/>
        <w:jc w:val="left"/>
        <w:rPr>
          <w:rFonts w:eastAsia="宋体"/>
          <w:b/>
          <w:kern w:val="0"/>
          <w:sz w:val="18"/>
          <w:szCs w:val="18"/>
        </w:rPr>
      </w:pPr>
      <w:r w:rsidRPr="008A1BDF">
        <w:rPr>
          <w:rFonts w:eastAsia="宋体"/>
          <w:b/>
          <w:kern w:val="0"/>
          <w:sz w:val="18"/>
          <w:szCs w:val="18"/>
        </w:rPr>
        <w:t>(H)</w:t>
      </w:r>
    </w:p>
    <w:p w:rsidR="00A72640" w:rsidRPr="008A1BDF" w:rsidRDefault="00AB672D" w:rsidP="00F06B8A">
      <w:pPr>
        <w:widowControl/>
        <w:adjustRightInd w:val="0"/>
        <w:snapToGrid w:val="0"/>
        <w:ind w:firstLineChars="0" w:firstLine="0"/>
        <w:jc w:val="center"/>
        <w:rPr>
          <w:rFonts w:eastAsia="宋体"/>
          <w:b/>
          <w:kern w:val="0"/>
          <w:sz w:val="18"/>
          <w:szCs w:val="18"/>
        </w:rPr>
      </w:pPr>
      <w:r w:rsidRPr="008A1BDF">
        <w:rPr>
          <w:rFonts w:eastAsia="宋体"/>
          <w:b/>
          <w:noProof/>
          <w:kern w:val="0"/>
          <w:sz w:val="18"/>
          <w:szCs w:val="18"/>
        </w:rPr>
        <w:drawing>
          <wp:inline distT="0" distB="0" distL="114300" distR="114300">
            <wp:extent cx="5259705" cy="1355725"/>
            <wp:effectExtent l="0" t="0" r="10795" b="3175"/>
            <wp:docPr id="21" name="图片 21" descr="ZGZ%16R_P_4[$5@)YD3LOX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ZGZ%16R_P_4[$5@)YD3LOXO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59705" cy="135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2640" w:rsidRPr="008A1BDF" w:rsidRDefault="00AB672D" w:rsidP="0041239A">
      <w:pPr>
        <w:pStyle w:val="af4"/>
        <w:adjustRightInd w:val="0"/>
        <w:snapToGrid w:val="0"/>
        <w:rPr>
          <w:b/>
        </w:rPr>
      </w:pPr>
      <w:r w:rsidRPr="008A1BDF">
        <w:rPr>
          <w:rFonts w:eastAsia="宋体"/>
          <w:b/>
          <w:kern w:val="0"/>
        </w:rPr>
        <w:t xml:space="preserve">Supplementary </w:t>
      </w:r>
      <w:r w:rsidRPr="008A1BDF">
        <w:rPr>
          <w:rFonts w:eastAsia="宋体"/>
          <w:b/>
          <w:kern w:val="0"/>
        </w:rPr>
        <w:t>Fig. 1</w:t>
      </w:r>
      <w:r w:rsidRPr="008A1BDF">
        <w:rPr>
          <w:rFonts w:eastAsia="宋体"/>
          <w:b/>
          <w:kern w:val="0"/>
        </w:rPr>
        <w:t>3</w:t>
      </w:r>
      <w:r w:rsidRPr="008A1BDF">
        <w:rPr>
          <w:rFonts w:eastAsia="宋体"/>
          <w:b/>
          <w:kern w:val="0"/>
        </w:rPr>
        <w:t>.</w:t>
      </w:r>
      <w:r w:rsidRPr="008A1BDF">
        <w:rPr>
          <w:rFonts w:eastAsia="宋体"/>
          <w:kern w:val="0"/>
        </w:rPr>
        <w:t xml:space="preserve"> </w:t>
      </w:r>
      <w:r w:rsidRPr="008A1BDF">
        <w:rPr>
          <w:rFonts w:eastAsia="宋体"/>
          <w:b/>
          <w:kern w:val="0"/>
        </w:rPr>
        <w:t xml:space="preserve">Sensitivity analysis. </w:t>
      </w:r>
      <w:r w:rsidRPr="008A1BDF">
        <w:t xml:space="preserve">(A) Influence analysis of estimated individual and overall effect of the primary patency between </w:t>
      </w:r>
      <w:r w:rsidRPr="008A1BDF">
        <w:t xml:space="preserve">PCB and </w:t>
      </w:r>
      <w:r w:rsidRPr="008A1BDF">
        <w:rPr>
          <w:rFonts w:eastAsia="宋体"/>
        </w:rPr>
        <w:t>UCB</w:t>
      </w:r>
      <w:r w:rsidRPr="008A1BDF">
        <w:t xml:space="preserve"> groups</w:t>
      </w:r>
      <w:r w:rsidRPr="008A1BDF">
        <w:t xml:space="preserve"> at 12 months. (B) Forest plot of estimated individual and overall effect of the primary patency between </w:t>
      </w:r>
      <w:r w:rsidRPr="008A1BDF">
        <w:t xml:space="preserve">PCB and </w:t>
      </w:r>
      <w:r w:rsidRPr="008A1BDF">
        <w:rPr>
          <w:rFonts w:eastAsia="宋体"/>
        </w:rPr>
        <w:t>UCB</w:t>
      </w:r>
      <w:r w:rsidRPr="008A1BDF">
        <w:t xml:space="preserve"> groups</w:t>
      </w:r>
      <w:r w:rsidRPr="008A1BDF">
        <w:t xml:space="preserve"> at 12 months with</w:t>
      </w:r>
      <w:r w:rsidRPr="008A1BDF">
        <w:t xml:space="preserve"> Liao trial omitted.</w:t>
      </w:r>
      <w:r w:rsidRPr="008A1BDF">
        <w:rPr>
          <w:rFonts w:eastAsia="宋体"/>
          <w:kern w:val="0"/>
        </w:rPr>
        <w:t xml:space="preserve"> (C) Influence analysis of </w:t>
      </w:r>
      <w:r w:rsidRPr="008A1BDF">
        <w:t xml:space="preserve">estimated individual and overall effect of the freedom from TLR at 6 months between </w:t>
      </w:r>
      <w:r w:rsidRPr="008A1BDF">
        <w:t xml:space="preserve">PCB and </w:t>
      </w:r>
      <w:r w:rsidRPr="008A1BDF">
        <w:rPr>
          <w:rFonts w:eastAsia="宋体"/>
        </w:rPr>
        <w:t>UCB</w:t>
      </w:r>
      <w:r w:rsidRPr="008A1BDF">
        <w:t xml:space="preserve"> groups</w:t>
      </w:r>
      <w:r w:rsidRPr="008A1BDF">
        <w:t>.</w:t>
      </w:r>
      <w:r w:rsidRPr="008A1BDF">
        <w:rPr>
          <w:rFonts w:eastAsia="宋体"/>
          <w:kern w:val="0"/>
        </w:rPr>
        <w:t xml:space="preserve"> (D)</w:t>
      </w:r>
      <w:r w:rsidRPr="008A1BDF">
        <w:t xml:space="preserve"> Forest plot of estimated individual and overall effect of the freedom from TLR at 6 months between </w:t>
      </w:r>
      <w:r w:rsidRPr="008A1BDF">
        <w:t>PC</w:t>
      </w:r>
      <w:r w:rsidRPr="008A1BDF">
        <w:t xml:space="preserve">B and </w:t>
      </w:r>
      <w:r w:rsidRPr="008A1BDF">
        <w:rPr>
          <w:rFonts w:eastAsia="宋体"/>
        </w:rPr>
        <w:t>UCB</w:t>
      </w:r>
      <w:r w:rsidRPr="008A1BDF">
        <w:t xml:space="preserve"> groups</w:t>
      </w:r>
      <w:r w:rsidRPr="008A1BDF">
        <w:t xml:space="preserve"> with FAIR trial omitted. (E) Influence analysis of estimated individual and overall effect of the clinical improvement between </w:t>
      </w:r>
      <w:r w:rsidRPr="008A1BDF">
        <w:t xml:space="preserve">PCB and </w:t>
      </w:r>
      <w:r w:rsidRPr="008A1BDF">
        <w:rPr>
          <w:rFonts w:eastAsia="宋体"/>
        </w:rPr>
        <w:t>UCB</w:t>
      </w:r>
      <w:r w:rsidRPr="008A1BDF">
        <w:t xml:space="preserve"> groups</w:t>
      </w:r>
      <w:r w:rsidRPr="008A1BDF">
        <w:t xml:space="preserve"> at 6 months. (F) Forest plot of estimated individual and overall effect of the clinical impro</w:t>
      </w:r>
      <w:r w:rsidRPr="008A1BDF">
        <w:t xml:space="preserve">vement between </w:t>
      </w:r>
      <w:r w:rsidRPr="008A1BDF">
        <w:t xml:space="preserve">PCB and </w:t>
      </w:r>
      <w:r w:rsidRPr="008A1BDF">
        <w:rPr>
          <w:rFonts w:eastAsia="宋体"/>
        </w:rPr>
        <w:t>UCB</w:t>
      </w:r>
      <w:r w:rsidRPr="008A1BDF">
        <w:t xml:space="preserve"> groups</w:t>
      </w:r>
      <w:r w:rsidRPr="008A1BDF">
        <w:t xml:space="preserve"> at 6 months with FAIR trial omitted. (G) Influence analysis of estimated individual and overall effect of the MAEs between </w:t>
      </w:r>
      <w:r w:rsidRPr="008A1BDF">
        <w:t xml:space="preserve">PCB and </w:t>
      </w:r>
      <w:r w:rsidRPr="008A1BDF">
        <w:rPr>
          <w:rFonts w:eastAsia="宋体"/>
        </w:rPr>
        <w:t>UCB</w:t>
      </w:r>
      <w:r w:rsidRPr="008A1BDF">
        <w:t xml:space="preserve"> groups</w:t>
      </w:r>
      <w:r w:rsidRPr="008A1BDF">
        <w:t xml:space="preserve"> at 12 months. (H) Forest plot of estimated individual and overall effect of the </w:t>
      </w:r>
      <w:r w:rsidRPr="008A1BDF">
        <w:t xml:space="preserve">MAEs between </w:t>
      </w:r>
      <w:r w:rsidRPr="008A1BDF">
        <w:t xml:space="preserve">PCB and </w:t>
      </w:r>
      <w:r w:rsidRPr="008A1BDF">
        <w:rPr>
          <w:rFonts w:eastAsia="宋体"/>
        </w:rPr>
        <w:t>UCB</w:t>
      </w:r>
      <w:r w:rsidRPr="008A1BDF">
        <w:t xml:space="preserve"> groups</w:t>
      </w:r>
      <w:r w:rsidRPr="008A1BDF">
        <w:t xml:space="preserve"> at 12 months with DEBATE-ISR trial omitted.</w:t>
      </w:r>
    </w:p>
    <w:sectPr w:rsidR="00A72640" w:rsidRPr="008A1BDF" w:rsidSect="0069544A">
      <w:pgSz w:w="11906" w:h="16838"/>
      <w:pgMar w:top="1134" w:right="851" w:bottom="1134" w:left="85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A0600FE4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90F"/>
    <w:rsid w:val="0012190F"/>
    <w:rsid w:val="002627D5"/>
    <w:rsid w:val="002C3759"/>
    <w:rsid w:val="00360EEB"/>
    <w:rsid w:val="0041239A"/>
    <w:rsid w:val="004C00EF"/>
    <w:rsid w:val="005920EB"/>
    <w:rsid w:val="005A1B46"/>
    <w:rsid w:val="0069544A"/>
    <w:rsid w:val="006B5F23"/>
    <w:rsid w:val="00773F8D"/>
    <w:rsid w:val="008A1BDF"/>
    <w:rsid w:val="008F349F"/>
    <w:rsid w:val="009541F4"/>
    <w:rsid w:val="00A72640"/>
    <w:rsid w:val="00AB672D"/>
    <w:rsid w:val="00DE3E39"/>
    <w:rsid w:val="00F06B8A"/>
    <w:rsid w:val="00F33328"/>
    <w:rsid w:val="0A681E07"/>
    <w:rsid w:val="4C871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0889F"/>
  <w15:docId w15:val="{CAB1A859-A50B-40B9-8796-153D414CE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3E39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kern w:val="2"/>
      <w:sz w:val="21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DE3E39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DE3E39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DE3E39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DE3E39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E3E39"/>
    <w:pPr>
      <w:keepNext/>
      <w:keepLines/>
      <w:numPr>
        <w:ilvl w:val="5"/>
        <w:numId w:val="4"/>
      </w:numPr>
      <w:spacing w:before="240" w:after="64" w:line="320" w:lineRule="auto"/>
      <w:ind w:firstLineChars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E3E39"/>
    <w:pPr>
      <w:keepNext/>
      <w:keepLines/>
      <w:numPr>
        <w:ilvl w:val="6"/>
        <w:numId w:val="4"/>
      </w:numPr>
      <w:spacing w:before="240" w:after="64" w:line="320" w:lineRule="auto"/>
      <w:ind w:firstLineChars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E3E39"/>
    <w:pPr>
      <w:keepNext/>
      <w:keepLines/>
      <w:numPr>
        <w:ilvl w:val="7"/>
        <w:numId w:val="4"/>
      </w:numPr>
      <w:spacing w:before="240" w:after="64" w:line="320" w:lineRule="auto"/>
      <w:ind w:firstLineChars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E3E39"/>
    <w:pPr>
      <w:keepNext/>
      <w:keepLines/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  <w:rsid w:val="00DE3E3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DE3E39"/>
  </w:style>
  <w:style w:type="paragraph" w:styleId="a3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stract">
    <w:name w:val="Abstract"/>
    <w:basedOn w:val="a"/>
    <w:autoRedefine/>
    <w:qFormat/>
    <w:rsid w:val="00DE3E39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DE3E39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DE3E39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DE3E39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DE3E39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4">
    <w:name w:val="版权信息"/>
    <w:basedOn w:val="a"/>
    <w:autoRedefine/>
    <w:qFormat/>
    <w:rsid w:val="00DE3E39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DE3E39"/>
    <w:rPr>
      <w:rFonts w:ascii="Times New Roman" w:eastAsia="Times New Roman" w:hAnsi="Times New Roman" w:cs="Book Antiqua"/>
      <w:b/>
      <w:bCs/>
      <w:sz w:val="24"/>
    </w:rPr>
  </w:style>
  <w:style w:type="character" w:customStyle="1" w:styleId="20">
    <w:name w:val="标题 2 字符"/>
    <w:aliases w:val="二级标题 字符"/>
    <w:link w:val="2"/>
    <w:uiPriority w:val="9"/>
    <w:rsid w:val="00DE3E39"/>
    <w:rPr>
      <w:rFonts w:ascii="Times New Roman" w:eastAsia="Times New Roman" w:hAnsi="Times New Roman" w:cs="Times New Roman"/>
      <w:b/>
      <w:bCs/>
      <w:i/>
      <w:kern w:val="2"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DE3E39"/>
    <w:rPr>
      <w:rFonts w:ascii="Times New Roman" w:eastAsia="Times New Roman" w:hAnsi="Times New Roman" w:cs="Times New Roman"/>
      <w:bCs/>
      <w:i/>
      <w:kern w:val="2"/>
      <w:sz w:val="22"/>
      <w:szCs w:val="32"/>
    </w:rPr>
  </w:style>
  <w:style w:type="character" w:customStyle="1" w:styleId="40">
    <w:name w:val="标题 4 字符"/>
    <w:link w:val="4"/>
    <w:uiPriority w:val="9"/>
    <w:rsid w:val="00DE3E39"/>
    <w:rPr>
      <w:rFonts w:ascii="Calibri Light" w:eastAsia="NimbusRomNo9L" w:hAnsi="Calibri Light" w:cs="NimbusRomNo9L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DE3E39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DE3E39"/>
    <w:rPr>
      <w:rFonts w:ascii="Times New Roman" w:eastAsia="Times New Roman" w:hAnsi="Times New Roman" w:cs="Times New Roman"/>
      <w:b/>
      <w:bCs/>
      <w:kern w:val="2"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DE3E39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DE3E39"/>
    <w:rPr>
      <w:rFonts w:asciiTheme="majorHAnsi" w:eastAsiaTheme="majorEastAsia" w:hAnsiTheme="majorHAnsi" w:cstheme="majorBidi"/>
      <w:kern w:val="2"/>
      <w:sz w:val="21"/>
      <w:szCs w:val="21"/>
    </w:rPr>
  </w:style>
  <w:style w:type="paragraph" w:customStyle="1" w:styleId="a5">
    <w:name w:val="表题"/>
    <w:basedOn w:val="a"/>
    <w:autoRedefine/>
    <w:qFormat/>
    <w:rsid w:val="002C3759"/>
    <w:pPr>
      <w:adjustRightInd w:val="0"/>
      <w:snapToGrid w:val="0"/>
      <w:spacing w:beforeLines="100" w:before="312" w:afterLines="100" w:after="312"/>
      <w:ind w:firstLineChars="0" w:firstLine="0"/>
      <w:jc w:val="center"/>
    </w:pPr>
    <w:rPr>
      <w:b/>
    </w:rPr>
  </w:style>
  <w:style w:type="paragraph" w:customStyle="1" w:styleId="a6">
    <w:name w:val="表注"/>
    <w:basedOn w:val="a"/>
    <w:autoRedefine/>
    <w:qFormat/>
    <w:rsid w:val="00DE3E39"/>
    <w:pPr>
      <w:snapToGrid w:val="0"/>
      <w:ind w:firstLineChars="0" w:firstLine="0"/>
    </w:pPr>
  </w:style>
  <w:style w:type="paragraph" w:customStyle="1" w:styleId="a7">
    <w:name w:val="参考文献"/>
    <w:basedOn w:val="a"/>
    <w:autoRedefine/>
    <w:qFormat/>
    <w:rsid w:val="00DE3E39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8">
    <w:name w:val="Hyperlink"/>
    <w:uiPriority w:val="99"/>
    <w:unhideWhenUsed/>
    <w:rsid w:val="00DE3E39"/>
    <w:rPr>
      <w:color w:val="0563C1"/>
      <w:u w:val="single"/>
    </w:rPr>
  </w:style>
  <w:style w:type="paragraph" w:customStyle="1" w:styleId="a9">
    <w:name w:val="稿件类型"/>
    <w:basedOn w:val="a"/>
    <w:autoRedefine/>
    <w:qFormat/>
    <w:rsid w:val="00DE3E39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a">
    <w:name w:val="关键词"/>
    <w:basedOn w:val="Keywords"/>
    <w:autoRedefine/>
    <w:qFormat/>
    <w:rsid w:val="00DE3E39"/>
    <w:rPr>
      <w:rFonts w:eastAsia="Times New Roman"/>
      <w:b w:val="0"/>
    </w:rPr>
  </w:style>
  <w:style w:type="character" w:styleId="ab">
    <w:name w:val="line number"/>
    <w:uiPriority w:val="99"/>
    <w:semiHidden/>
    <w:unhideWhenUsed/>
    <w:rsid w:val="00DE3E39"/>
  </w:style>
  <w:style w:type="paragraph" w:customStyle="1" w:styleId="ac">
    <w:name w:val="机构信息"/>
    <w:basedOn w:val="a"/>
    <w:link w:val="ad"/>
    <w:autoRedefine/>
    <w:qFormat/>
    <w:rsid w:val="00DE3E39"/>
    <w:pPr>
      <w:ind w:firstLineChars="0" w:firstLine="0"/>
    </w:pPr>
    <w:rPr>
      <w:rFonts w:cstheme="minorBidi"/>
    </w:rPr>
  </w:style>
  <w:style w:type="character" w:customStyle="1" w:styleId="ad">
    <w:name w:val="机构信息 字符"/>
    <w:link w:val="ac"/>
    <w:rsid w:val="00DE3E39"/>
    <w:rPr>
      <w:rFonts w:ascii="Times New Roman" w:eastAsia="Times New Roman" w:hAnsi="Times New Roman"/>
      <w:kern w:val="2"/>
      <w:sz w:val="21"/>
      <w:szCs w:val="21"/>
    </w:rPr>
  </w:style>
  <w:style w:type="paragraph" w:customStyle="1" w:styleId="ae">
    <w:name w:val="接收日期"/>
    <w:basedOn w:val="a"/>
    <w:autoRedefine/>
    <w:qFormat/>
    <w:rsid w:val="00DE3E39"/>
    <w:pPr>
      <w:ind w:firstLineChars="0" w:firstLine="0"/>
    </w:pPr>
  </w:style>
  <w:style w:type="paragraph" w:styleId="af">
    <w:name w:val="List Paragraph"/>
    <w:basedOn w:val="a"/>
    <w:uiPriority w:val="1"/>
    <w:qFormat/>
    <w:rsid w:val="00DE3E39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0">
    <w:name w:val="Balloon Text"/>
    <w:basedOn w:val="a"/>
    <w:link w:val="af1"/>
    <w:uiPriority w:val="99"/>
    <w:semiHidden/>
    <w:unhideWhenUsed/>
    <w:rsid w:val="00DE3E39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DE3E39"/>
    <w:rPr>
      <w:rFonts w:ascii="Times New Roman" w:eastAsia="Times New Roman" w:hAnsi="Times New Roman" w:cs="Times New Roman"/>
      <w:kern w:val="2"/>
      <w:sz w:val="18"/>
      <w:szCs w:val="18"/>
    </w:rPr>
  </w:style>
  <w:style w:type="paragraph" w:styleId="af2">
    <w:name w:val="caption"/>
    <w:basedOn w:val="a"/>
    <w:next w:val="a"/>
    <w:autoRedefine/>
    <w:uiPriority w:val="35"/>
    <w:unhideWhenUsed/>
    <w:qFormat/>
    <w:rsid w:val="00DE3E39"/>
    <w:pPr>
      <w:ind w:firstLineChars="0" w:firstLine="0"/>
    </w:pPr>
  </w:style>
  <w:style w:type="paragraph" w:customStyle="1" w:styleId="af3">
    <w:name w:val="通讯作者"/>
    <w:basedOn w:val="a"/>
    <w:autoRedefine/>
    <w:qFormat/>
    <w:rsid w:val="00DE3E39"/>
    <w:pPr>
      <w:ind w:firstLineChars="0" w:firstLine="0"/>
    </w:pPr>
  </w:style>
  <w:style w:type="paragraph" w:customStyle="1" w:styleId="af4">
    <w:name w:val="图注"/>
    <w:basedOn w:val="a"/>
    <w:autoRedefine/>
    <w:qFormat/>
    <w:rsid w:val="00DE3E39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DE3E39"/>
    <w:rPr>
      <w:rFonts w:ascii="Times New Roman" w:eastAsia="宋体" w:hAnsi="Times New Roman" w:cs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DE3E39"/>
    <w:rPr>
      <w:rFonts w:ascii="Times New Roman" w:eastAsia="宋体" w:hAnsi="Times New Roman" w:cs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DE3E39"/>
    <w:rPr>
      <w:rFonts w:ascii="Times New Roman" w:eastAsia="宋体" w:hAnsi="Times New Roman" w:cs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5">
    <w:name w:val="文章标题"/>
    <w:basedOn w:val="a"/>
    <w:link w:val="af6"/>
    <w:autoRedefine/>
    <w:qFormat/>
    <w:rsid w:val="00DE3E39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6">
    <w:name w:val="文章标题 字符"/>
    <w:link w:val="af5"/>
    <w:rsid w:val="00DE3E39"/>
    <w:rPr>
      <w:rFonts w:ascii="Times New Roman" w:eastAsia="Times New Roman" w:hAnsi="Times New Roman"/>
      <w:b/>
      <w:bCs/>
      <w:spacing w:val="-8"/>
      <w:kern w:val="2"/>
      <w:sz w:val="36"/>
      <w:szCs w:val="36"/>
    </w:rPr>
  </w:style>
  <w:style w:type="numbering" w:customStyle="1" w:styleId="11">
    <w:name w:val="无列表1"/>
    <w:next w:val="a2"/>
    <w:uiPriority w:val="99"/>
    <w:semiHidden/>
    <w:unhideWhenUsed/>
    <w:rsid w:val="00DE3E39"/>
  </w:style>
  <w:style w:type="paragraph" w:styleId="af7">
    <w:name w:val="footer"/>
    <w:basedOn w:val="a"/>
    <w:link w:val="af8"/>
    <w:uiPriority w:val="99"/>
    <w:unhideWhenUsed/>
    <w:rsid w:val="00DE3E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8">
    <w:name w:val="页脚 字符"/>
    <w:link w:val="af7"/>
    <w:uiPriority w:val="99"/>
    <w:rsid w:val="00DE3E39"/>
    <w:rPr>
      <w:rFonts w:ascii="Times New Roman" w:eastAsia="Times New Roman" w:hAnsi="Times New Roman" w:cs="Times New Roman"/>
      <w:kern w:val="2"/>
      <w:sz w:val="18"/>
      <w:szCs w:val="18"/>
    </w:rPr>
  </w:style>
  <w:style w:type="paragraph" w:styleId="af9">
    <w:name w:val="header"/>
    <w:basedOn w:val="a"/>
    <w:link w:val="afa"/>
    <w:uiPriority w:val="99"/>
    <w:unhideWhenUsed/>
    <w:rsid w:val="00DE3E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a">
    <w:name w:val="页眉 字符"/>
    <w:link w:val="af9"/>
    <w:uiPriority w:val="99"/>
    <w:rsid w:val="00DE3E39"/>
    <w:rPr>
      <w:rFonts w:ascii="Times New Roman" w:eastAsia="Times New Roman" w:hAnsi="Times New Roman" w:cs="Times New Roman"/>
      <w:kern w:val="2"/>
      <w:sz w:val="18"/>
      <w:szCs w:val="18"/>
    </w:rPr>
  </w:style>
  <w:style w:type="paragraph" w:customStyle="1" w:styleId="afb">
    <w:name w:val="摘要"/>
    <w:basedOn w:val="Abstract"/>
    <w:autoRedefine/>
    <w:qFormat/>
    <w:rsid w:val="00DE3E39"/>
    <w:rPr>
      <w:b w:val="0"/>
      <w:sz w:val="21"/>
      <w:szCs w:val="21"/>
    </w:rPr>
  </w:style>
  <w:style w:type="paragraph" w:styleId="afc">
    <w:name w:val="Body Text"/>
    <w:basedOn w:val="a"/>
    <w:link w:val="afd"/>
    <w:autoRedefine/>
    <w:uiPriority w:val="1"/>
    <w:qFormat/>
    <w:rsid w:val="00DE3E39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d">
    <w:name w:val="正文文本 字符"/>
    <w:link w:val="afc"/>
    <w:uiPriority w:val="1"/>
    <w:rsid w:val="00DE3E39"/>
    <w:rPr>
      <w:rFonts w:ascii="Times New Roman" w:eastAsia="Times New Roman" w:hAnsi="Times New Roman" w:cs="Times New Roman"/>
      <w:sz w:val="21"/>
      <w:szCs w:val="21"/>
    </w:rPr>
  </w:style>
  <w:style w:type="paragraph" w:customStyle="1" w:styleId="afe">
    <w:name w:val="致谢部分"/>
    <w:basedOn w:val="afc"/>
    <w:link w:val="aff"/>
    <w:autoRedefine/>
    <w:qFormat/>
    <w:rsid w:val="00DE3E39"/>
    <w:pPr>
      <w:ind w:firstLineChars="0" w:firstLine="0"/>
    </w:pPr>
    <w:rPr>
      <w:b/>
      <w:sz w:val="24"/>
      <w:szCs w:val="24"/>
    </w:rPr>
  </w:style>
  <w:style w:type="character" w:customStyle="1" w:styleId="aff">
    <w:name w:val="致谢部分 字符"/>
    <w:basedOn w:val="afd"/>
    <w:link w:val="afe"/>
    <w:rsid w:val="00DE3E39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aff0">
    <w:name w:val="作者信息"/>
    <w:basedOn w:val="a"/>
    <w:autoRedefine/>
    <w:qFormat/>
    <w:rsid w:val="00DE3E39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10</Pages>
  <Words>2131</Words>
  <Characters>12153</Characters>
  <Application>Microsoft Office Word</Application>
  <DocSecurity>0</DocSecurity>
  <Lines>101</Lines>
  <Paragraphs>28</Paragraphs>
  <ScaleCrop>false</ScaleCrop>
  <Company/>
  <LinksUpToDate>false</LinksUpToDate>
  <CharactersWithSpaces>14256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Qiwei Li</dc:creator>
  <cp:lastModifiedBy>Akira</cp:lastModifiedBy>
  <cp:revision>14</cp:revision>
  <dcterms:created xsi:type="dcterms:W3CDTF">2021-12-29T14:14:00Z</dcterms:created>
  <dcterms:modified xsi:type="dcterms:W3CDTF">2022-06-22T01:31:00Z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2052-11.1.0.11339</vt:lpwstr>
  </property>
  <property fmtid="{D5CDD505-2E9C-101B-9397-08002B2CF9AE}" pid="3" name="ICV">
    <vt:lpwstr>DA14A768E0EB43DFA13C8F49470269F2</vt:lpwstr>
  </property>
</Properties>
</file>