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宋体" w:cs="Times New Roman (正文 CS 字体)"/>
          <w:b/>
          <w:bCs/>
          <w:sz w:val="32"/>
          <w:szCs w:val="40"/>
        </w:rPr>
      </w:pPr>
      <w:r>
        <w:rPr>
          <w:rFonts w:hint="eastAsia" w:ascii="Times New Roman" w:hAnsi="Times New Roman" w:eastAsia="宋体" w:cs="Times New Roman (正文 CS 字体)"/>
          <w:b/>
          <w:bCs/>
          <w:sz w:val="32"/>
          <w:szCs w:val="40"/>
        </w:rPr>
        <w:t>S</w:t>
      </w:r>
      <w:r>
        <w:rPr>
          <w:rFonts w:ascii="Times New Roman" w:hAnsi="Times New Roman" w:eastAsia="宋体" w:cs="Times New Roman (正文 CS 字体)"/>
          <w:b/>
          <w:bCs/>
          <w:sz w:val="32"/>
          <w:szCs w:val="40"/>
        </w:rPr>
        <w:t>upplementary Appendix</w:t>
      </w:r>
    </w:p>
    <w:p>
      <w:pPr>
        <w:rPr>
          <w:rFonts w:ascii="Times New Roman" w:hAnsi="Times New Roman" w:eastAsia="宋体" w:cs="Times New Roman (正文 CS 字体)"/>
          <w:b/>
          <w:bCs/>
        </w:rPr>
      </w:pPr>
    </w:p>
    <w:p>
      <w:pPr>
        <w:rPr>
          <w:rFonts w:ascii="Times New Roman" w:hAnsi="Times New Roman" w:eastAsia="宋体" w:cs="Times New Roman (正文 CS 字体)"/>
          <w:b/>
          <w:bCs/>
        </w:rPr>
      </w:pPr>
      <w:r>
        <w:rPr>
          <w:rFonts w:ascii="Times New Roman" w:hAnsi="Times New Roman" w:eastAsia="宋体" w:cs="Times New Roman (正文 CS 字体)"/>
          <w:b/>
          <w:bCs/>
        </w:rPr>
        <w:t xml:space="preserve">Supplementary Figure 1. </w:t>
      </w:r>
      <w:r>
        <w:rPr>
          <w:rFonts w:hint="eastAsia" w:ascii="Times New Roman" w:hAnsi="Times New Roman" w:eastAsia="宋体" w:cs="Times New Roman (正文 CS 字体)"/>
        </w:rPr>
        <w:t>Configuration</w:t>
      </w:r>
      <w:r>
        <w:rPr>
          <w:rFonts w:ascii="Times New Roman" w:hAnsi="Times New Roman" w:eastAsia="宋体" w:cs="Times New Roman (正文 CS 字体)"/>
        </w:rPr>
        <w:t xml:space="preserve"> </w:t>
      </w:r>
      <w:r>
        <w:rPr>
          <w:rFonts w:hint="eastAsia" w:ascii="Times New Roman" w:hAnsi="Times New Roman" w:eastAsia="宋体" w:cs="Times New Roman (正文 CS 字体)"/>
        </w:rPr>
        <w:t>of</w:t>
      </w:r>
      <w:r>
        <w:rPr>
          <w:rFonts w:ascii="Times New Roman" w:hAnsi="Times New Roman" w:eastAsia="宋体" w:cs="Times New Roman (正文 CS 字体)"/>
        </w:rPr>
        <w:t xml:space="preserve"> Huami smartwatch from </w:t>
      </w:r>
      <w:r>
        <w:rPr>
          <w:rFonts w:ascii="Times New Roman" w:hAnsi="Times New Roman" w:cs="Times New Roman"/>
        </w:rPr>
        <w:t>Anhui Huami Information Technology Co. Ltd.</w:t>
      </w:r>
    </w:p>
    <w:p>
      <w:pPr>
        <w:rPr>
          <w:rFonts w:ascii="Times New Roman" w:hAnsi="Times New Roman" w:eastAsia="宋体" w:cs="Times New Roman (正文 CS 字体)"/>
        </w:rPr>
      </w:pPr>
      <w:r>
        <w:rPr>
          <w:rFonts w:ascii="Times New Roman" w:hAnsi="Times New Roman" w:eastAsia="宋体" w:cs="Times New Roman (正文 CS 字体)"/>
        </w:rPr>
        <w:drawing>
          <wp:inline distT="0" distB="0" distL="0" distR="0">
            <wp:extent cx="3657600" cy="2870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宋体" w:cs="Times New Roman (正文 CS 字体)"/>
        </w:rPr>
      </w:pPr>
      <w:r>
        <w:rPr>
          <w:rFonts w:ascii="Times New Roman" w:hAnsi="Times New Roman" w:eastAsia="宋体" w:cs="Times New Roman (正文 CS 字体)"/>
        </w:rPr>
        <w:br w:type="page"/>
      </w:r>
    </w:p>
    <w:p>
      <w:pPr>
        <w:widowControl/>
        <w:jc w:val="left"/>
        <w:rPr>
          <w:rFonts w:ascii="Times New Roman" w:hAnsi="Times New Roman" w:eastAsia="宋体" w:cs="Times New Roman (正文 CS 字体)"/>
          <w:b/>
          <w:bCs/>
          <w:sz w:val="24"/>
        </w:rPr>
      </w:pPr>
      <w:r>
        <w:rPr>
          <w:rFonts w:ascii="Times New Roman" w:hAnsi="Times New Roman" w:eastAsia="宋体" w:cs="Times New Roman (正文 CS 字体)"/>
          <w:b/>
          <w:bCs/>
          <w:sz w:val="24"/>
        </w:rPr>
        <w:t>Analysis of daily sleep, step and heartbeat for 30 days after discharge</w:t>
      </w:r>
    </w:p>
    <w:p>
      <w:pPr>
        <w:widowControl/>
        <w:jc w:val="left"/>
        <w:rPr>
          <w:rFonts w:ascii="Times New Roman" w:hAnsi="Times New Roman" w:eastAsia="宋体" w:cs="Times New Roman (正文 CS 字体)"/>
          <w:sz w:val="24"/>
        </w:rPr>
      </w:pPr>
      <w:r>
        <w:rPr>
          <w:rFonts w:ascii="Times New Roman" w:hAnsi="Times New Roman" w:eastAsia="宋体" w:cs="Times New Roman (正文 CS 字体)"/>
          <w:sz w:val="24"/>
        </w:rPr>
        <w:t xml:space="preserve">There were 67 patients with complete 24-hour heartbeat data (which meant smartwatch wearing time more than 22 hour per day) </w:t>
      </w:r>
      <w:r>
        <w:rPr>
          <w:rFonts w:hint="eastAsia" w:ascii="Times New Roman" w:hAnsi="Times New Roman" w:eastAsia="宋体" w:cs="Times New Roman (正文 CS 字体)"/>
          <w:sz w:val="24"/>
        </w:rPr>
        <w:t xml:space="preserve">within </w:t>
      </w:r>
      <w:r>
        <w:rPr>
          <w:rFonts w:ascii="Times New Roman" w:hAnsi="Times New Roman" w:eastAsia="宋体" w:cs="Times New Roman (正文 CS 字体)"/>
          <w:sz w:val="24"/>
        </w:rPr>
        <w:t>30 days after discharge were included in the analysis of variation of daily heartbeat, sleep and step counts from pre-operative stage to 4 weeks after discharge. The analysis of variation of 24-hour heartbeat excluded 9 patients (13.4%, 9/67) with persistent AF after discharge. After multiple pairwise comparison which corrected by false-positive rate error control, results indicated that 24-hour heartbeat, sleep duration, deep sleep duration, and step count did not differ significantly across time periods (Supplementary Figure 2).</w:t>
      </w:r>
      <w:r>
        <w:rPr>
          <w:rFonts w:hint="eastAsia" w:ascii="Times New Roman" w:hAnsi="Times New Roman" w:eastAsia="宋体" w:cs="Times New Roman (正文 CS 字体)"/>
          <w:sz w:val="24"/>
        </w:rPr>
        <w:t xml:space="preserve"> </w:t>
      </w:r>
      <w:r>
        <w:rPr>
          <w:rFonts w:ascii="Times New Roman" w:hAnsi="Times New Roman" w:eastAsia="宋体" w:cs="Times New Roman (正文 CS 字体)"/>
          <w:sz w:val="24"/>
        </w:rPr>
        <w:t>At pre-operative stage, post-operative stage, 1 week after discharge, 2 weeks after discharge, 3 weeks after discharge and 4 weeks after discharge, the mean 24-hour heartbeat were 110124.3 times, 108027.6 times, 107452.5 times, 109852.3 times, 109844.4 times and 107408.1 times, respectively; the mean 24-hour sleep duration were 410.0 minutes, 455.2 minutes, 454.0 minutes, 461.6 minutes, 426.1 minutes and 419.9 minutes, respectively; the mean 24-hour deep sleep duration were 101.8 minutes, 107.1 minutes, 103 minutes, 109.4 minutes, 101.2 minutes and 98.7 minutes, respectively; the mean 24-hour step counts were 3848.5 steps, 3736.3 steps, 3866.2 steps, 3202.1 steps, 3899.9 steps and 3840.9 steps, respectively.</w:t>
      </w:r>
    </w:p>
    <w:p>
      <w:pPr>
        <w:widowControl/>
        <w:jc w:val="left"/>
        <w:rPr>
          <w:rFonts w:ascii="Times New Roman" w:hAnsi="Times New Roman" w:eastAsia="宋体" w:cs="Times New Roman (正文 CS 字体)"/>
        </w:rPr>
      </w:pPr>
      <w:r>
        <w:rPr>
          <w:rFonts w:ascii="Times New Roman" w:hAnsi="Times New Roman" w:eastAsia="宋体" w:cs="Times New Roman (正文 CS 字体)"/>
          <w:sz w:val="24"/>
        </w:rPr>
        <w:br w:type="page"/>
      </w:r>
      <w:bookmarkStart w:id="0" w:name="_GoBack"/>
      <w:bookmarkEnd w:id="0"/>
      <w:r>
        <w:rPr>
          <w:rFonts w:hint="eastAsia" w:ascii="Times New Roman" w:hAnsi="Times New Roman" w:eastAsia="宋体" w:cs="Times New Roman (正文 CS 字体)"/>
        </w:rPr>
        <w:t>Supplementary</w:t>
      </w:r>
      <w:r>
        <w:rPr>
          <w:rFonts w:ascii="Times New Roman" w:hAnsi="Times New Roman" w:eastAsia="宋体" w:cs="Times New Roman (正文 CS 字体)"/>
        </w:rPr>
        <w:t xml:space="preserve"> </w:t>
      </w:r>
      <w:r>
        <w:rPr>
          <w:rFonts w:hint="eastAsia" w:ascii="Times New Roman" w:hAnsi="Times New Roman" w:eastAsia="宋体" w:cs="Times New Roman (正文 CS 字体)"/>
        </w:rPr>
        <w:t>figure</w:t>
      </w:r>
      <w:r>
        <w:rPr>
          <w:rFonts w:ascii="Times New Roman" w:hAnsi="Times New Roman" w:eastAsia="宋体" w:cs="Times New Roman (正文 CS 字体)"/>
        </w:rPr>
        <w:t xml:space="preserve"> 2. Variation of 24-</w:t>
      </w:r>
      <w:r>
        <w:rPr>
          <w:rFonts w:hint="eastAsia" w:ascii="Times New Roman" w:hAnsi="Times New Roman" w:eastAsia="宋体" w:cs="Times New Roman (正文 CS 字体)"/>
        </w:rPr>
        <w:t>h</w:t>
      </w:r>
      <w:r>
        <w:rPr>
          <w:rFonts w:ascii="Times New Roman" w:hAnsi="Times New Roman" w:eastAsia="宋体" w:cs="Times New Roman (正文 CS 字体)"/>
        </w:rPr>
        <w:t>our heartbeat (A), sleep duration (B), deep sleep duration (C) and step counts (D) from pre-operative stage to 4 weeks after discharge.</w:t>
      </w:r>
    </w:p>
    <w:p>
      <w:pPr>
        <w:pStyle w:val="7"/>
        <w:widowControl w:val="0"/>
        <w:spacing w:before="156"/>
        <w:jc w:val="center"/>
      </w:pPr>
      <w:r>
        <w:drawing>
          <wp:inline distT="0" distB="0" distL="0" distR="0">
            <wp:extent cx="5274310" cy="41433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 w:val="0"/>
        <w:spacing w:before="156"/>
      </w:pPr>
      <w:r>
        <w:t>*</w:t>
      </w:r>
      <w:r>
        <w:rPr>
          <w:rFonts w:hint="eastAsia"/>
        </w:rPr>
        <w:t>A</w:t>
      </w:r>
      <w:r>
        <w:t>bbreviation: TAVR = transcatheter aortic valve replacement.</w:t>
      </w:r>
    </w:p>
    <w:p>
      <w:pPr>
        <w:widowControl/>
        <w:jc w:val="left"/>
        <w:rPr>
          <w:rFonts w:ascii="Times New Roman" w:hAnsi="Times New Roman" w:eastAsia="宋体" w:cs="Times New Roman (正文 CS 字体)"/>
        </w:rPr>
      </w:pPr>
      <w:r>
        <w:rPr>
          <w:rFonts w:ascii="Times New Roman" w:hAnsi="Times New Roman" w:eastAsia="宋体" w:cs="Times New Roman (正文 CS 字体)"/>
        </w:rPr>
        <w:br w:type="page"/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Table 1. The diagnostic outcomes of </w:t>
      </w:r>
      <w:r>
        <w:rPr>
          <w:rFonts w:hint="eastAsia" w:ascii="Times New Roman" w:hAnsi="Times New Roman" w:cs="Times New Roman"/>
        </w:rPr>
        <w:t>AF</w:t>
      </w:r>
      <w:r>
        <w:rPr>
          <w:rFonts w:ascii="Times New Roman" w:hAnsi="Times New Roman" w:cs="Times New Roman"/>
        </w:rPr>
        <w:t>, LBBB and RBBB from 24-hour Holter ECGs and smartwatch ECGs.</w:t>
      </w:r>
    </w:p>
    <w:tbl>
      <w:tblPr>
        <w:tblStyle w:val="3"/>
        <w:tblW w:w="5000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21"/>
        <w:gridCol w:w="1395"/>
        <w:gridCol w:w="1395"/>
        <w:gridCol w:w="1395"/>
      </w:tblGrid>
      <w:tr>
        <w:trPr>
          <w:cantSplit/>
          <w:trHeight w:val="507" w:hRule="atLeast"/>
          <w:jc w:val="center"/>
        </w:trPr>
        <w:tc>
          <w:tcPr>
            <w:tcW w:w="2481" w:type="pct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Smartwatch</w:t>
            </w:r>
            <w:r>
              <w:t xml:space="preserve"> ECG (N)</w:t>
            </w:r>
          </w:p>
        </w:tc>
        <w:tc>
          <w:tcPr>
            <w:tcW w:w="2519" w:type="pct"/>
            <w:gridSpan w:val="3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</w:rPr>
              <w:t xml:space="preserve">24-hour Holter ECG </w:t>
            </w:r>
            <w:r>
              <w:rPr>
                <w:rFonts w:hint="eastAsia" w:cs="Times New Roman"/>
              </w:rPr>
              <w:t>(</w:t>
            </w:r>
            <w:r>
              <w:rPr>
                <w:rFonts w:cs="Times New Roman"/>
              </w:rPr>
              <w:t>N)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07" w:hRule="atLeast"/>
          <w:jc w:val="center"/>
        </w:trPr>
        <w:tc>
          <w:tcPr>
            <w:tcW w:w="2481" w:type="pct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8"/>
            </w:pPr>
          </w:p>
        </w:tc>
        <w:tc>
          <w:tcPr>
            <w:tcW w:w="840" w:type="pct"/>
            <w:tcBorders>
              <w:top w:val="single" w:color="auto" w:sz="4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t>D</w:t>
            </w:r>
            <w:r>
              <w:rPr>
                <w:rFonts w:hint="eastAsia"/>
              </w:rPr>
              <w:t>iagnosed</w:t>
            </w:r>
          </w:p>
        </w:tc>
        <w:tc>
          <w:tcPr>
            <w:tcW w:w="840" w:type="pct"/>
            <w:tcBorders>
              <w:top w:val="single" w:color="auto" w:sz="4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t>Undiagnosed</w:t>
            </w:r>
          </w:p>
        </w:tc>
        <w:tc>
          <w:tcPr>
            <w:tcW w:w="839" w:type="pct"/>
            <w:tcBorders>
              <w:top w:val="single" w:color="auto" w:sz="4" w:space="0"/>
              <w:bottom w:val="single" w:color="000000" w:sz="8" w:space="0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T</w:t>
            </w:r>
            <w:r>
              <w:t>otal</w:t>
            </w:r>
          </w:p>
        </w:tc>
      </w:tr>
      <w:tr>
        <w:trPr>
          <w:cantSplit/>
          <w:trHeight w:val="467" w:hRule="atLeast"/>
          <w:jc w:val="center"/>
        </w:trPr>
        <w:tc>
          <w:tcPr>
            <w:tcW w:w="2481" w:type="pct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AF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>
        <w:trPr>
          <w:cantSplit/>
          <w:trHeight w:val="350" w:hRule="atLeast"/>
          <w:jc w:val="center"/>
        </w:trPr>
        <w:tc>
          <w:tcPr>
            <w:tcW w:w="2481" w:type="pct"/>
            <w:shd w:val="clear" w:color="auto" w:fill="auto"/>
          </w:tcPr>
          <w:p>
            <w:pPr>
              <w:pStyle w:val="8"/>
            </w:pPr>
            <w:r>
              <w:t>N</w:t>
            </w:r>
            <w:r>
              <w:rPr>
                <w:rFonts w:hint="eastAsia"/>
              </w:rPr>
              <w:t>on-AF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3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8</w:t>
            </w:r>
            <w:r>
              <w:t>3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8</w:t>
            </w:r>
            <w:r>
              <w:t>6</w:t>
            </w:r>
          </w:p>
        </w:tc>
      </w:tr>
      <w:tr>
        <w:trPr>
          <w:cantSplit/>
          <w:trHeight w:val="284" w:hRule="atLeast"/>
          <w:jc w:val="center"/>
        </w:trPr>
        <w:tc>
          <w:tcPr>
            <w:tcW w:w="2481" w:type="pct"/>
            <w:shd w:val="clear" w:color="auto" w:fill="auto"/>
          </w:tcPr>
          <w:p>
            <w:pPr>
              <w:pStyle w:val="8"/>
            </w:pPr>
            <w:r>
              <w:t>U</w:t>
            </w:r>
            <w:r>
              <w:rPr>
                <w:rFonts w:hint="eastAsia"/>
              </w:rPr>
              <w:t>nable</w:t>
            </w:r>
            <w:r>
              <w:t xml:space="preserve"> </w:t>
            </w:r>
            <w:r>
              <w:rPr>
                <w:rFonts w:hint="eastAsia"/>
              </w:rPr>
              <w:t>diagnosis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2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2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4</w:t>
            </w:r>
          </w:p>
        </w:tc>
      </w:tr>
      <w:tr>
        <w:trPr>
          <w:cantSplit/>
          <w:trHeight w:val="547" w:hRule="atLeast"/>
          <w:jc w:val="center"/>
        </w:trPr>
        <w:tc>
          <w:tcPr>
            <w:tcW w:w="2481" w:type="pct"/>
            <w:tcBorders>
              <w:bottom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Total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8</w:t>
            </w:r>
            <w:r>
              <w:t>5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rPr>
                <w:rFonts w:hint="eastAsia"/>
              </w:rPr>
              <w:t>LBBB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2</w:t>
            </w:r>
            <w:r>
              <w:t>8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rPr>
                <w:rFonts w:hint="eastAsia"/>
              </w:rPr>
              <w:t>Non</w:t>
            </w:r>
            <w:r>
              <w:t>-</w:t>
            </w:r>
            <w:r>
              <w:rPr>
                <w:rFonts w:hint="eastAsia"/>
              </w:rPr>
              <w:t>LBBB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8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6</w:t>
            </w:r>
            <w:r>
              <w:t>8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t>U</w:t>
            </w:r>
            <w:r>
              <w:rPr>
                <w:rFonts w:hint="eastAsia"/>
              </w:rPr>
              <w:t>nable</w:t>
            </w:r>
            <w:r>
              <w:t xml:space="preserve"> </w:t>
            </w:r>
            <w:r>
              <w:rPr>
                <w:rFonts w:hint="eastAsia"/>
              </w:rPr>
              <w:t>diagnosis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3</w:t>
            </w:r>
          </w:p>
        </w:tc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4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rPr>
                <w:rFonts w:hint="eastAsia"/>
              </w:rPr>
              <w:t>Total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840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7</w:t>
            </w:r>
            <w:r>
              <w:t>4</w:t>
            </w:r>
          </w:p>
        </w:tc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RBBB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3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2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5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tcBorders>
              <w:top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Non-RBBB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3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8</w:t>
            </w:r>
            <w:r>
              <w:t>8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9</w:t>
            </w:r>
            <w:r>
              <w:t>1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shd w:val="clear" w:color="auto" w:fill="auto"/>
          </w:tcPr>
          <w:p>
            <w:pPr>
              <w:pStyle w:val="8"/>
            </w:pPr>
            <w:r>
              <w:t>U</w:t>
            </w:r>
            <w:r>
              <w:rPr>
                <w:rFonts w:hint="eastAsia"/>
              </w:rPr>
              <w:t>nable</w:t>
            </w:r>
            <w:r>
              <w:t xml:space="preserve"> </w:t>
            </w:r>
            <w:r>
              <w:rPr>
                <w:rFonts w:hint="eastAsia"/>
              </w:rPr>
              <w:t>diagnosis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4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4</w:t>
            </w:r>
          </w:p>
        </w:tc>
      </w:tr>
      <w:tr>
        <w:trPr>
          <w:cantSplit/>
          <w:trHeight w:val="80" w:hRule="atLeast"/>
          <w:jc w:val="center"/>
        </w:trPr>
        <w:tc>
          <w:tcPr>
            <w:tcW w:w="2481" w:type="pct"/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Total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6</w:t>
            </w:r>
          </w:p>
        </w:tc>
        <w:tc>
          <w:tcPr>
            <w:tcW w:w="840" w:type="pct"/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9</w:t>
            </w:r>
            <w:r>
              <w:t>4</w:t>
            </w:r>
          </w:p>
        </w:tc>
        <w:tc>
          <w:tcPr>
            <w:tcW w:w="839" w:type="pct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</w:tr>
    </w:tbl>
    <w:p>
      <w:pPr>
        <w:pStyle w:val="7"/>
        <w:spacing w:before="156"/>
        <w:jc w:val="both"/>
      </w:pPr>
      <w:r>
        <w:t xml:space="preserve">ECG: electrocardiograph; </w:t>
      </w:r>
      <w:r>
        <w:rPr>
          <w:rFonts w:hint="eastAsia"/>
        </w:rPr>
        <w:t>AF</w:t>
      </w:r>
      <w:r>
        <w:t xml:space="preserve">: </w:t>
      </w:r>
      <w:r>
        <w:rPr>
          <w:rFonts w:hint="eastAsia"/>
        </w:rPr>
        <w:t>atrial</w:t>
      </w:r>
      <w:r>
        <w:t xml:space="preserve"> </w:t>
      </w:r>
      <w:r>
        <w:rPr>
          <w:rFonts w:hint="eastAsia"/>
        </w:rPr>
        <w:t>fibrillation;</w:t>
      </w:r>
      <w:r>
        <w:t xml:space="preserve"> </w:t>
      </w:r>
      <w:r>
        <w:rPr>
          <w:rFonts w:hint="eastAsia"/>
        </w:rPr>
        <w:t>LBBB</w:t>
      </w:r>
      <w:r>
        <w:t xml:space="preserve">: </w:t>
      </w:r>
      <w:r>
        <w:rPr>
          <w:rFonts w:hint="eastAsia"/>
        </w:rPr>
        <w:t>left</w:t>
      </w:r>
      <w:r>
        <w:t xml:space="preserve"> </w:t>
      </w:r>
      <w:r>
        <w:rPr>
          <w:rFonts w:hint="eastAsia"/>
        </w:rPr>
        <w:t>bundle</w:t>
      </w:r>
      <w:r>
        <w:t xml:space="preserve"> </w:t>
      </w:r>
      <w:r>
        <w:rPr>
          <w:rFonts w:hint="eastAsia"/>
        </w:rPr>
        <w:t>branch</w:t>
      </w:r>
      <w:r>
        <w:t xml:space="preserve"> </w:t>
      </w:r>
      <w:r>
        <w:rPr>
          <w:rFonts w:hint="eastAsia"/>
        </w:rPr>
        <w:t>block;</w:t>
      </w:r>
      <w:r>
        <w:t xml:space="preserve"> </w:t>
      </w:r>
      <w:r>
        <w:rPr>
          <w:rFonts w:hint="eastAsia"/>
        </w:rPr>
        <w:t>RBBB</w:t>
      </w:r>
      <w:r>
        <w:t xml:space="preserve">: </w:t>
      </w:r>
      <w:r>
        <w:rPr>
          <w:rFonts w:hint="eastAsia"/>
        </w:rPr>
        <w:t>right</w:t>
      </w:r>
      <w:r>
        <w:t xml:space="preserve"> </w:t>
      </w:r>
      <w:r>
        <w:rPr>
          <w:rFonts w:hint="eastAsia"/>
        </w:rPr>
        <w:t>bundle</w:t>
      </w:r>
      <w:r>
        <w:t xml:space="preserve"> </w:t>
      </w:r>
      <w:r>
        <w:rPr>
          <w:rFonts w:hint="eastAsia"/>
        </w:rPr>
        <w:t>branch</w:t>
      </w:r>
      <w:r>
        <w:t xml:space="preserve"> </w:t>
      </w:r>
      <w:r>
        <w:rPr>
          <w:rFonts w:hint="eastAsia"/>
        </w:rPr>
        <w:t>block.</w:t>
      </w:r>
    </w:p>
    <w:p>
      <w:pPr>
        <w:widowControl/>
        <w:jc w:val="left"/>
        <w:rPr>
          <w:rFonts w:ascii="Times New Roman" w:hAnsi="Times New Roman" w:eastAsia="宋体"/>
          <w:kern w:val="0"/>
          <w:szCs w:val="20"/>
        </w:rPr>
      </w:pPr>
      <w:r>
        <w:br w:type="page"/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2. The diagnostic outcomes of AF, LBBB and RBBB from 12-lead ECGs and smartwatch ECGs.</w:t>
      </w:r>
    </w:p>
    <w:tbl>
      <w:tblPr>
        <w:tblStyle w:val="3"/>
        <w:tblW w:w="5000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57"/>
        <w:gridCol w:w="1478"/>
        <w:gridCol w:w="1867"/>
        <w:gridCol w:w="1604"/>
      </w:tblGrid>
      <w:tr>
        <w:trPr>
          <w:cantSplit/>
          <w:trHeight w:val="380" w:hRule="atLeast"/>
          <w:tblHeader/>
          <w:jc w:val="center"/>
        </w:trPr>
        <w:tc>
          <w:tcPr>
            <w:tcW w:w="2021" w:type="pct"/>
            <w:vMerge w:val="restart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Smartwatch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 xml:space="preserve"> ECGs (N)</w:t>
            </w:r>
          </w:p>
        </w:tc>
        <w:tc>
          <w:tcPr>
            <w:tcW w:w="2979" w:type="pct"/>
            <w:gridSpan w:val="3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ascii="Times New Roman" w:hAnsi="Times New Roman" w:eastAsia="宋体"/>
                <w:kern w:val="0"/>
                <w:szCs w:val="20"/>
              </w:rPr>
              <w:t>12-lead ECGs (N)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tblHeader/>
          <w:jc w:val="center"/>
        </w:trPr>
        <w:tc>
          <w:tcPr>
            <w:tcW w:w="2021" w:type="pct"/>
            <w:vMerge w:val="continue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</w:p>
        </w:tc>
        <w:tc>
          <w:tcPr>
            <w:tcW w:w="890" w:type="pct"/>
            <w:tcBorders>
              <w:top w:val="single" w:color="auto" w:sz="4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t>D</w:t>
            </w:r>
            <w:r>
              <w:rPr>
                <w:rFonts w:hint="eastAsia"/>
              </w:rPr>
              <w:t>iagnosed</w:t>
            </w:r>
          </w:p>
        </w:tc>
        <w:tc>
          <w:tcPr>
            <w:tcW w:w="1124" w:type="pct"/>
            <w:tcBorders>
              <w:top w:val="single" w:color="auto" w:sz="4" w:space="0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t>Undiagnosed</w:t>
            </w:r>
          </w:p>
        </w:tc>
        <w:tc>
          <w:tcPr>
            <w:tcW w:w="965" w:type="pct"/>
            <w:tcBorders>
              <w:top w:val="single" w:color="auto" w:sz="4" w:space="0"/>
              <w:bottom w:val="single" w:color="000000" w:sz="8" w:space="0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T</w:t>
            </w:r>
            <w:r>
              <w:t>otal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AF</w:t>
            </w:r>
          </w:p>
        </w:tc>
        <w:tc>
          <w:tcPr>
            <w:tcW w:w="89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4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6</w:t>
            </w:r>
          </w:p>
        </w:tc>
        <w:tc>
          <w:tcPr>
            <w:tcW w:w="112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6</w:t>
            </w:r>
          </w:p>
        </w:tc>
        <w:tc>
          <w:tcPr>
            <w:tcW w:w="965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5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shd w:val="clear" w:color="auto" w:fill="auto"/>
          </w:tcPr>
          <w:p>
            <w:pPr>
              <w:pStyle w:val="8"/>
            </w:pPr>
            <w:r>
              <w:t>N</w:t>
            </w:r>
            <w:r>
              <w:rPr>
                <w:rFonts w:hint="eastAsia"/>
              </w:rPr>
              <w:t>on-AF</w:t>
            </w:r>
          </w:p>
        </w:tc>
        <w:tc>
          <w:tcPr>
            <w:tcW w:w="890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</w:p>
        </w:tc>
        <w:tc>
          <w:tcPr>
            <w:tcW w:w="112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65</w:t>
            </w:r>
          </w:p>
        </w:tc>
        <w:tc>
          <w:tcPr>
            <w:tcW w:w="965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66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bottom w:val="nil"/>
            </w:tcBorders>
            <w:shd w:val="clear" w:color="auto" w:fill="auto"/>
          </w:tcPr>
          <w:p>
            <w:pPr>
              <w:pStyle w:val="8"/>
            </w:pPr>
            <w:r>
              <w:t>U</w:t>
            </w:r>
            <w:r>
              <w:rPr>
                <w:rFonts w:hint="eastAsia"/>
              </w:rPr>
              <w:t>nable</w:t>
            </w:r>
            <w:r>
              <w:t xml:space="preserve"> </w:t>
            </w:r>
            <w:r>
              <w:rPr>
                <w:rFonts w:hint="eastAsia"/>
              </w:rPr>
              <w:t>diagnosis</w:t>
            </w:r>
          </w:p>
        </w:tc>
        <w:tc>
          <w:tcPr>
            <w:tcW w:w="890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5</w:t>
            </w:r>
          </w:p>
        </w:tc>
        <w:tc>
          <w:tcPr>
            <w:tcW w:w="1124" w:type="pct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5</w:t>
            </w:r>
          </w:p>
        </w:tc>
        <w:tc>
          <w:tcPr>
            <w:tcW w:w="965" w:type="pct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2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Total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5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2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86</w:t>
            </w:r>
          </w:p>
        </w:tc>
        <w:tc>
          <w:tcPr>
            <w:tcW w:w="965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4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38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rPr>
                <w:rFonts w:hint="eastAsia"/>
              </w:rPr>
              <w:t>LBBB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9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5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1</w:t>
            </w:r>
          </w:p>
        </w:tc>
        <w:tc>
          <w:tcPr>
            <w:tcW w:w="965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06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rPr>
                <w:rFonts w:hint="eastAsia"/>
              </w:rPr>
              <w:t>Non</w:t>
            </w:r>
            <w:r>
              <w:t>-</w:t>
            </w:r>
            <w:r>
              <w:rPr>
                <w:rFonts w:hint="eastAsia"/>
              </w:rPr>
              <w:t>LBBB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1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01</w:t>
            </w:r>
          </w:p>
        </w:tc>
        <w:tc>
          <w:tcPr>
            <w:tcW w:w="965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12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t>U</w:t>
            </w:r>
            <w:r>
              <w:rPr>
                <w:rFonts w:hint="eastAsia"/>
              </w:rPr>
              <w:t>nable</w:t>
            </w:r>
            <w:r>
              <w:t xml:space="preserve"> </w:t>
            </w:r>
            <w:r>
              <w:rPr>
                <w:rFonts w:hint="eastAsia"/>
              </w:rPr>
              <w:t>diagnosis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8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2</w:t>
            </w:r>
          </w:p>
        </w:tc>
        <w:tc>
          <w:tcPr>
            <w:tcW w:w="965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2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F1F1F1" w:themeFill="background1" w:themeFillShade="F2"/>
          </w:tcPr>
          <w:p>
            <w:pPr>
              <w:pStyle w:val="8"/>
            </w:pPr>
            <w:r>
              <w:rPr>
                <w:rFonts w:hint="eastAsia"/>
              </w:rPr>
              <w:t>Total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14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24</w:t>
            </w:r>
          </w:p>
        </w:tc>
        <w:tc>
          <w:tcPr>
            <w:tcW w:w="965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4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38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RBBB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1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9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4</w:t>
            </w:r>
          </w:p>
        </w:tc>
        <w:tc>
          <w:tcPr>
            <w:tcW w:w="965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2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Non-RBBB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2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3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72</w:t>
            </w:r>
          </w:p>
        </w:tc>
        <w:tc>
          <w:tcPr>
            <w:tcW w:w="965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95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8"/>
            </w:pPr>
            <w:r>
              <w:t>U</w:t>
            </w:r>
            <w:r>
              <w:rPr>
                <w:rFonts w:hint="eastAsia"/>
              </w:rPr>
              <w:t>nable</w:t>
            </w:r>
            <w:r>
              <w:t xml:space="preserve"> </w:t>
            </w:r>
            <w:r>
              <w:rPr>
                <w:rFonts w:hint="eastAsia"/>
              </w:rPr>
              <w:t>diagnosis</w:t>
            </w:r>
          </w:p>
        </w:tc>
        <w:tc>
          <w:tcPr>
            <w:tcW w:w="89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0</w:t>
            </w:r>
          </w:p>
        </w:tc>
        <w:tc>
          <w:tcPr>
            <w:tcW w:w="112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2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0</w:t>
            </w:r>
          </w:p>
        </w:tc>
        <w:tc>
          <w:tcPr>
            <w:tcW w:w="965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2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2021" w:type="pct"/>
            <w:tcBorders>
              <w:top w:val="nil"/>
            </w:tcBorders>
            <w:shd w:val="clear" w:color="auto" w:fill="auto"/>
          </w:tcPr>
          <w:p>
            <w:pPr>
              <w:pStyle w:val="8"/>
            </w:pPr>
            <w:r>
              <w:rPr>
                <w:rFonts w:hint="eastAsia"/>
              </w:rPr>
              <w:t>Total</w:t>
            </w:r>
          </w:p>
        </w:tc>
        <w:tc>
          <w:tcPr>
            <w:tcW w:w="890" w:type="pct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4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2</w:t>
            </w:r>
          </w:p>
        </w:tc>
        <w:tc>
          <w:tcPr>
            <w:tcW w:w="1124" w:type="pct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3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96</w:t>
            </w:r>
          </w:p>
        </w:tc>
        <w:tc>
          <w:tcPr>
            <w:tcW w:w="965" w:type="pct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/>
                <w:kern w:val="0"/>
                <w:szCs w:val="20"/>
              </w:rPr>
            </w:pPr>
            <w:r>
              <w:rPr>
                <w:rFonts w:hint="eastAsia" w:ascii="Times New Roman" w:hAnsi="Times New Roman" w:eastAsia="宋体"/>
                <w:kern w:val="0"/>
                <w:szCs w:val="20"/>
              </w:rPr>
              <w:t>4</w:t>
            </w:r>
            <w:r>
              <w:rPr>
                <w:rFonts w:ascii="Times New Roman" w:hAnsi="Times New Roman" w:eastAsia="宋体"/>
                <w:kern w:val="0"/>
                <w:szCs w:val="20"/>
              </w:rPr>
              <w:t>38</w:t>
            </w:r>
          </w:p>
        </w:tc>
      </w:tr>
    </w:tbl>
    <w:p>
      <w:pPr>
        <w:pStyle w:val="7"/>
        <w:spacing w:before="156"/>
        <w:jc w:val="both"/>
      </w:pPr>
      <w:r>
        <w:rPr>
          <w:rFonts w:hint="eastAsia"/>
        </w:rPr>
        <w:t>AF</w:t>
      </w:r>
      <w:r>
        <w:t xml:space="preserve">: </w:t>
      </w:r>
      <w:r>
        <w:rPr>
          <w:rFonts w:hint="eastAsia"/>
        </w:rPr>
        <w:t>atrial</w:t>
      </w:r>
      <w:r>
        <w:t xml:space="preserve"> </w:t>
      </w:r>
      <w:r>
        <w:rPr>
          <w:rFonts w:hint="eastAsia"/>
        </w:rPr>
        <w:t>fibrillation</w:t>
      </w:r>
      <w:r>
        <w:t xml:space="preserve">; </w:t>
      </w:r>
      <w:r>
        <w:rPr>
          <w:rFonts w:hint="eastAsia"/>
        </w:rPr>
        <w:t>LBBB</w:t>
      </w:r>
      <w:r>
        <w:t xml:space="preserve">: </w:t>
      </w:r>
      <w:r>
        <w:rPr>
          <w:rFonts w:hint="eastAsia"/>
        </w:rPr>
        <w:t>left</w:t>
      </w:r>
      <w:r>
        <w:t xml:space="preserve"> </w:t>
      </w:r>
      <w:r>
        <w:rPr>
          <w:rFonts w:hint="eastAsia"/>
        </w:rPr>
        <w:t>bundle</w:t>
      </w:r>
      <w:r>
        <w:t xml:space="preserve"> </w:t>
      </w:r>
      <w:r>
        <w:rPr>
          <w:rFonts w:hint="eastAsia"/>
        </w:rPr>
        <w:t>branch</w:t>
      </w:r>
      <w:r>
        <w:t xml:space="preserve"> </w:t>
      </w:r>
      <w:r>
        <w:rPr>
          <w:rFonts w:hint="eastAsia"/>
        </w:rPr>
        <w:t>block;</w:t>
      </w:r>
      <w:r>
        <w:t xml:space="preserve"> </w:t>
      </w:r>
      <w:r>
        <w:rPr>
          <w:rFonts w:hint="eastAsia"/>
        </w:rPr>
        <w:t>RBBB</w:t>
      </w:r>
      <w:r>
        <w:t xml:space="preserve">: </w:t>
      </w:r>
      <w:r>
        <w:rPr>
          <w:rFonts w:hint="eastAsia"/>
        </w:rPr>
        <w:t>right</w:t>
      </w:r>
      <w:r>
        <w:t xml:space="preserve"> </w:t>
      </w:r>
      <w:r>
        <w:rPr>
          <w:rFonts w:hint="eastAsia"/>
        </w:rPr>
        <w:t>bundle</w:t>
      </w:r>
      <w:r>
        <w:t xml:space="preserve"> </w:t>
      </w:r>
      <w:r>
        <w:rPr>
          <w:rFonts w:hint="eastAsia"/>
        </w:rPr>
        <w:t>branch</w:t>
      </w:r>
      <w:r>
        <w:t xml:space="preserve"> </w:t>
      </w:r>
      <w:r>
        <w:rPr>
          <w:rFonts w:hint="eastAsia"/>
        </w:rPr>
        <w:t>block.</w:t>
      </w:r>
    </w:p>
    <w:p>
      <w:pPr>
        <w:widowControl/>
        <w:jc w:val="left"/>
      </w:pPr>
      <w:r>
        <w:br w:type="page"/>
      </w:r>
    </w:p>
    <w:p>
      <w:pPr>
        <w:adjustRightInd w:val="0"/>
        <w:snapToGrid w:val="0"/>
        <w:jc w:val="both"/>
        <w:rPr>
          <w:rFonts w:ascii="Times New Roman" w:hAnsi="Times New Roman" w:cs="Times New Roman"/>
          <w:color w:val="auto"/>
          <w:sz w:val="21"/>
          <w:szCs w:val="21"/>
          <w:lang w:eastAsia="zh-CN"/>
        </w:rPr>
      </w:pPr>
      <w:r>
        <w:rPr>
          <w:rFonts w:ascii="Times New Roman" w:hAnsi="Times New Roman" w:cs="Times New Roman"/>
          <w:color w:val="auto"/>
          <w:sz w:val="21"/>
          <w:szCs w:val="21"/>
          <w:lang w:eastAsia="zh-CN"/>
        </w:rPr>
        <w:t>Supplementary Table 3. Regression analysis of predictors for delayed new-onset AF, delay new-onset SCD, overall new-onset AF, and overall new-onset permanent LBBB.</w:t>
      </w:r>
    </w:p>
    <w:tbl>
      <w:tblPr>
        <w:tblStyle w:val="3"/>
        <w:tblW w:w="5817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4"/>
        <w:gridCol w:w="2079"/>
        <w:gridCol w:w="1009"/>
        <w:gridCol w:w="2306"/>
        <w:gridCol w:w="1005"/>
      </w:tblGrid>
      <w:tr>
        <w:trPr>
          <w:cantSplit/>
          <w:jc w:val="center"/>
        </w:trPr>
        <w:tc>
          <w:tcPr>
            <w:tcW w:w="1689" w:type="pc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jc w:val="left"/>
              <w:rPr>
                <w:color w:val="auto"/>
              </w:rPr>
            </w:pPr>
          </w:p>
        </w:tc>
        <w:tc>
          <w:tcPr>
            <w:tcW w:w="1076" w:type="pc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rPr>
                <w:color w:val="auto"/>
              </w:rPr>
            </w:pPr>
            <w:r>
              <w:rPr>
                <w:color w:val="auto"/>
              </w:rPr>
              <w:t>Univariate regression</w:t>
            </w:r>
          </w:p>
          <w:p>
            <w:pPr>
              <w:pStyle w:val="8"/>
              <w:rPr>
                <w:color w:val="auto"/>
              </w:rPr>
            </w:pPr>
            <w:r>
              <w:rPr>
                <w:rFonts w:hint="eastAsia"/>
                <w:i/>
                <w:iCs/>
                <w:color w:val="auto"/>
              </w:rPr>
              <w:t>OR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[</w:t>
            </w:r>
            <w:r>
              <w:rPr>
                <w:rFonts w:hint="eastAsia"/>
                <w:color w:val="auto"/>
              </w:rPr>
              <w:t>9</w:t>
            </w:r>
            <w:r>
              <w:rPr>
                <w:color w:val="auto"/>
              </w:rPr>
              <w:t xml:space="preserve">5% </w:t>
            </w:r>
            <w:r>
              <w:rPr>
                <w:rFonts w:hint="eastAsia"/>
                <w:i/>
                <w:iCs/>
                <w:color w:val="auto"/>
              </w:rPr>
              <w:t>CI</w:t>
            </w:r>
            <w:r>
              <w:rPr>
                <w:rFonts w:hint="eastAsia"/>
                <w:color w:val="auto"/>
              </w:rPr>
              <w:t>]</w:t>
            </w:r>
          </w:p>
        </w:tc>
        <w:tc>
          <w:tcPr>
            <w:tcW w:w="522" w:type="pct"/>
            <w:tcBorders>
              <w:top w:val="single" w:color="000000" w:sz="8" w:space="0"/>
              <w:bottom w:val="single" w:color="auto" w:sz="4" w:space="0"/>
            </w:tcBorders>
            <w:vAlign w:val="center"/>
          </w:tcPr>
          <w:p>
            <w:pPr>
              <w:pStyle w:val="8"/>
              <w:rPr>
                <w:color w:val="auto"/>
              </w:rPr>
            </w:pPr>
            <w:r>
              <w:rPr>
                <w:rFonts w:hint="eastAsia"/>
                <w:i/>
                <w:iCs/>
                <w:color w:val="auto"/>
              </w:rPr>
              <w:t>P</w:t>
            </w:r>
          </w:p>
        </w:tc>
        <w:tc>
          <w:tcPr>
            <w:tcW w:w="1193" w:type="pct"/>
            <w:tcBorders>
              <w:top w:val="single" w:color="000000" w:sz="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rPr>
                <w:color w:val="auto"/>
              </w:rPr>
            </w:pPr>
            <w:r>
              <w:rPr>
                <w:color w:val="auto"/>
              </w:rPr>
              <w:t>Multivariate regression</w:t>
            </w:r>
          </w:p>
          <w:p>
            <w:pPr>
              <w:pStyle w:val="8"/>
              <w:rPr>
                <w:color w:val="auto"/>
              </w:rPr>
            </w:pPr>
            <w:r>
              <w:rPr>
                <w:rFonts w:hint="eastAsia"/>
                <w:i/>
                <w:iCs/>
                <w:color w:val="auto"/>
              </w:rPr>
              <w:t>OR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[</w:t>
            </w:r>
            <w:r>
              <w:rPr>
                <w:rFonts w:hint="eastAsia"/>
                <w:color w:val="auto"/>
              </w:rPr>
              <w:t>9</w:t>
            </w:r>
            <w:r>
              <w:rPr>
                <w:color w:val="auto"/>
              </w:rPr>
              <w:t>5%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i/>
                <w:iCs/>
                <w:color w:val="auto"/>
              </w:rPr>
              <w:t>CI</w:t>
            </w:r>
            <w:r>
              <w:rPr>
                <w:rFonts w:hint="eastAsia"/>
                <w:color w:val="auto"/>
              </w:rPr>
              <w:t>]</w:t>
            </w:r>
          </w:p>
        </w:tc>
        <w:tc>
          <w:tcPr>
            <w:tcW w:w="521" w:type="pct"/>
            <w:tcBorders>
              <w:top w:val="single" w:color="000000" w:sz="8" w:space="0"/>
              <w:bottom w:val="single" w:color="auto" w:sz="4" w:space="0"/>
            </w:tcBorders>
            <w:vAlign w:val="center"/>
          </w:tcPr>
          <w:p>
            <w:pPr>
              <w:pStyle w:val="8"/>
              <w:rPr>
                <w:color w:val="auto"/>
              </w:rPr>
            </w:pPr>
            <w:r>
              <w:rPr>
                <w:rFonts w:hint="eastAsia"/>
                <w:i/>
                <w:iCs/>
                <w:color w:val="auto"/>
              </w:rPr>
              <w:t>P</w:t>
            </w: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redictors for delayed new-onset AF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Age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.956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0.873, 1.047]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.332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.955 [0.852, 1.070]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.428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Female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.813 [0.622, 5.284]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.275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3.565 [0.845, 15.044]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0.084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TS-PROM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.705 [0.429, 1.159]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.168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.700 [0.323, 1.518]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.367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evere aortic stenosis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.343 [0.116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 1.014]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0.958 [0.192 – 4.785]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0.958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THV implantation depth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.107 [1.014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 1.209]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.023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1.151 [1.000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 1.324]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0.050</w:t>
            </w: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Predictors for delay new-onset SCD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Age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1.001 [0.891 - 1.125]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0.983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1.026 [0.884 - 1.191]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0.736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Male</w:t>
            </w:r>
            <w:r>
              <w:rPr>
                <w:rFonts w:cs="Times New Roman"/>
                <w:bCs/>
                <w:vertAlign w:val="superscript"/>
              </w:rPr>
              <w:t>†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2.287 [0.518 - 10.089]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0.275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2.084 [0.409 – 10.619]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0.377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STS-PROM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0.954 [0.580 - 1.570]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0.853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0.917 [0.491 - 1.712]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0.785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Prosthesis implantation depth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.929 [0.790, 1.091]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.367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.938 [0.795, 1.107]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.448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Early new-onset RBBB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6.467 [1.032 - 40.533]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6.512 [0.893 – 47.492]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0.065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P</w:t>
            </w:r>
            <w:r>
              <w:t>redictors for overall new-onset AF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Age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 xml:space="preserve">.004 </w:t>
            </w:r>
            <w:r>
              <w:rPr>
                <w:rFonts w:hint="eastAsia"/>
              </w:rPr>
              <w:t>[0</w:t>
            </w:r>
            <w:r>
              <w:t>.934</w:t>
            </w:r>
            <w:r>
              <w:rPr>
                <w:rFonts w:hint="eastAsia"/>
              </w:rPr>
              <w:t>,</w:t>
            </w:r>
            <w:r>
              <w:t xml:space="preserve"> 1.080]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.908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.019 [0.928, 1.118]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.694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cs="Times New Roman"/>
              </w:rPr>
              <w:t>Female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 xml:space="preserve">.389 </w:t>
            </w:r>
            <w:r>
              <w:rPr>
                <w:rFonts w:hint="eastAsia"/>
              </w:rPr>
              <w:t>[</w:t>
            </w:r>
            <w:r>
              <w:t>0.560</w:t>
            </w:r>
            <w:r>
              <w:rPr>
                <w:rFonts w:hint="eastAsia"/>
              </w:rPr>
              <w:t>,</w:t>
            </w:r>
            <w:r>
              <w:t xml:space="preserve"> 3.442]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.478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2</w:t>
            </w:r>
            <w:r>
              <w:t>.290 [0.736, 7.129]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.153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S</w:t>
            </w:r>
            <w:r>
              <w:t>TS-PROM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.930 [0.679, 1.275]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.654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.857 [0.514, 1.429]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.555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t>THV implantation depth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 xml:space="preserve">.116 [1.030 </w:t>
            </w:r>
            <w:r>
              <w:rPr>
                <w:rFonts w:hint="eastAsia"/>
              </w:rPr>
              <w:t>-</w:t>
            </w:r>
            <w:r>
              <w:t xml:space="preserve"> 1.210]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.008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 xml:space="preserve">.110 </w:t>
            </w:r>
            <w:r>
              <w:rPr>
                <w:rFonts w:hint="eastAsia"/>
              </w:rPr>
              <w:t>[</w:t>
            </w:r>
            <w:r>
              <w:t xml:space="preserve">0.991 </w:t>
            </w:r>
            <w:r>
              <w:rPr>
                <w:rFonts w:hint="eastAsia"/>
              </w:rPr>
              <w:t>-</w:t>
            </w:r>
            <w:r>
              <w:t xml:space="preserve"> 1.243]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.072</w:t>
            </w: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S</w:t>
            </w:r>
            <w:r>
              <w:t>evere aortic stenosis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 xml:space="preserve">.240 [0.093 </w:t>
            </w:r>
            <w:r>
              <w:rPr>
                <w:rFonts w:hint="eastAsia"/>
              </w:rPr>
              <w:t>-</w:t>
            </w:r>
            <w:r>
              <w:t xml:space="preserve"> 0.621]</w:t>
            </w:r>
          </w:p>
        </w:tc>
        <w:tc>
          <w:tcPr>
            <w:tcW w:w="522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.003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 xml:space="preserve">.630 [0.165 </w:t>
            </w:r>
            <w:r>
              <w:rPr>
                <w:rFonts w:hint="eastAsia"/>
              </w:rPr>
              <w:t>-</w:t>
            </w:r>
            <w:r>
              <w:t xml:space="preserve"> 2.412]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F1F1F1" w:themeFill="background1" w:themeFillShade="F2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.500</w:t>
            </w: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P</w:t>
            </w:r>
            <w:r>
              <w:t xml:space="preserve">redictors for overall new-onset </w:t>
            </w:r>
            <w:r>
              <w:rPr>
                <w:rFonts w:cs="Times New Roman"/>
                <w:szCs w:val="21"/>
              </w:rPr>
              <w:t>SCD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Age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1.008 [0.939, 1.082]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0.822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1.002 [0.907, 1.106]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0.969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Female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1.716 [0.708, 4.160]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0.232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1.618 [0.537, 4.871]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0.392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STS-PROM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1.065 [0.809, 1.401]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0.654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1.141 [0.698, 1.865]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0.599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THV implantation depth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0.940 [0.854, 1.034]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0.202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0.950 [0.856, 1.055]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0.340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baseline RBBB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14.909 [1.585 - 140.224]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0.018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21.659 [1.631, 287.551]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b/>
                <w:bCs/>
                <w:szCs w:val="21"/>
              </w:rPr>
              <w:t>0.020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Pre-TAVR statins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2.216 [0.906 - 5.418]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0.081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  <w:szCs w:val="21"/>
              </w:rPr>
              <w:t>3.793 [1.243, 11.574]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cs="Times New Roman"/>
                <w:b/>
                <w:bCs/>
                <w:szCs w:val="21"/>
              </w:rPr>
              <w:t>0.019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P</w:t>
            </w:r>
            <w:r>
              <w:t>redictors for overall new-onset permanent LBBB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</w:p>
        </w:tc>
      </w:tr>
      <w:tr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.013 [0.930, 1.102]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.769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.005 [0.900, 1.123]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.924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cs="Times New Roman"/>
              </w:rPr>
              <w:t>Female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.379 [0.114, 1.260]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.113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.566 [0.133, 2.406]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.441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STS-PROM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 xml:space="preserve">.316 [0.982 </w:t>
            </w:r>
            <w:r>
              <w:rPr>
                <w:rFonts w:hint="eastAsia"/>
              </w:rPr>
              <w:t>-</w:t>
            </w:r>
            <w:r>
              <w:t xml:space="preserve"> 1.763]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.066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.438 [0.981 – 2.106]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.063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R</w:t>
            </w:r>
            <w:r>
              <w:t>enal dysfunction</w:t>
            </w:r>
          </w:p>
        </w:tc>
        <w:tc>
          <w:tcPr>
            <w:tcW w:w="10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4</w:t>
            </w:r>
            <w:r>
              <w:t xml:space="preserve">.108 </w:t>
            </w:r>
            <w:r>
              <w:rPr>
                <w:rFonts w:hint="eastAsia"/>
              </w:rPr>
              <w:t>[</w:t>
            </w:r>
            <w:r>
              <w:t xml:space="preserve">0.876 </w:t>
            </w:r>
            <w:r>
              <w:rPr>
                <w:rFonts w:hint="eastAsia"/>
              </w:rPr>
              <w:t>-</w:t>
            </w:r>
            <w:r>
              <w:t xml:space="preserve"> 19.259]</w:t>
            </w:r>
          </w:p>
        </w:tc>
        <w:tc>
          <w:tcPr>
            <w:tcW w:w="522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.073</w:t>
            </w:r>
          </w:p>
        </w:tc>
        <w:tc>
          <w:tcPr>
            <w:tcW w:w="119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1</w:t>
            </w:r>
            <w:r>
              <w:t>.979 [0.232 – 16.857]</w:t>
            </w:r>
          </w:p>
        </w:tc>
        <w:tc>
          <w:tcPr>
            <w:tcW w:w="521" w:type="pct"/>
            <w:tcBorders>
              <w:top w:val="nil"/>
              <w:bottom w:val="nil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.532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689" w:type="pct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P</w:t>
            </w:r>
            <w:r>
              <w:t>re-TAVR</w:t>
            </w:r>
            <w:r>
              <w:rPr>
                <w:rFonts w:hint="eastAsia"/>
              </w:rPr>
              <w:t xml:space="preserve"> PG</w:t>
            </w:r>
            <w:r>
              <w:rPr>
                <w:rFonts w:hint="eastAsia"/>
                <w:vertAlign w:val="subscript"/>
              </w:rPr>
              <w:t>mean</w:t>
            </w:r>
          </w:p>
        </w:tc>
        <w:tc>
          <w:tcPr>
            <w:tcW w:w="1076" w:type="pct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 xml:space="preserve">.959 </w:t>
            </w:r>
            <w:r>
              <w:rPr>
                <w:rFonts w:hint="eastAsia"/>
              </w:rPr>
              <w:t>[0</w:t>
            </w:r>
            <w:r>
              <w:t xml:space="preserve">.921 </w:t>
            </w:r>
            <w:r>
              <w:rPr>
                <w:rFonts w:hint="eastAsia"/>
              </w:rPr>
              <w:t>-</w:t>
            </w:r>
            <w:r>
              <w:t xml:space="preserve"> 0.999</w:t>
            </w:r>
            <w:r>
              <w:rPr>
                <w:rFonts w:hint="eastAsia"/>
              </w:rPr>
              <w:t>]</w:t>
            </w:r>
          </w:p>
        </w:tc>
        <w:tc>
          <w:tcPr>
            <w:tcW w:w="522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.044</w:t>
            </w:r>
          </w:p>
        </w:tc>
        <w:tc>
          <w:tcPr>
            <w:tcW w:w="1193" w:type="pct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 xml:space="preserve">.960 [0.920 </w:t>
            </w:r>
            <w:r>
              <w:rPr>
                <w:rFonts w:hint="eastAsia"/>
              </w:rPr>
              <w:t>-</w:t>
            </w:r>
            <w:r>
              <w:t xml:space="preserve"> 1.003]</w:t>
            </w:r>
          </w:p>
        </w:tc>
        <w:tc>
          <w:tcPr>
            <w:tcW w:w="521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8"/>
            </w:pPr>
            <w:r>
              <w:rPr>
                <w:rFonts w:hint="eastAsia"/>
              </w:rPr>
              <w:t>0</w:t>
            </w:r>
            <w:r>
              <w:t>.066</w:t>
            </w:r>
          </w:p>
        </w:tc>
      </w:tr>
    </w:tbl>
    <w:p>
      <w:pPr>
        <w:pStyle w:val="9"/>
        <w:jc w:val="both"/>
        <w:rPr>
          <w:b w:val="0"/>
          <w:bCs/>
        </w:rPr>
      </w:pPr>
      <w:r>
        <w:rPr>
          <w:b w:val="0"/>
          <w:bCs/>
        </w:rPr>
        <w:t xml:space="preserve">AF: </w:t>
      </w:r>
      <w:r>
        <w:rPr>
          <w:rFonts w:eastAsia="DengXian" w:cs="Times New Roman"/>
          <w:b w:val="0"/>
          <w:bCs/>
          <w:kern w:val="2"/>
          <w:sz w:val="20"/>
        </w:rPr>
        <w:t>atrial fibrillation</w:t>
      </w:r>
      <w:r>
        <w:rPr>
          <w:b w:val="0"/>
          <w:bCs/>
        </w:rPr>
        <w:t xml:space="preserve">; STS-PROM: </w:t>
      </w:r>
      <w:r>
        <w:rPr>
          <w:rFonts w:eastAsia="DengXian" w:cs="Times New Roman"/>
          <w:b w:val="0"/>
          <w:bCs/>
          <w:sz w:val="20"/>
        </w:rPr>
        <w:t>Society of Thoracic Surgeons predicted rate of mortality;</w:t>
      </w:r>
      <w:r>
        <w:rPr>
          <w:b w:val="0"/>
          <w:bCs/>
        </w:rPr>
        <w:t xml:space="preserve"> THV: </w:t>
      </w:r>
      <w:r>
        <w:rPr>
          <w:rFonts w:cs="Times New Roman"/>
          <w:b w:val="0"/>
          <w:bCs/>
          <w:sz w:val="20"/>
        </w:rPr>
        <w:t>transcatheter heart valve</w:t>
      </w:r>
      <w:r>
        <w:rPr>
          <w:b w:val="0"/>
          <w:bCs/>
        </w:rPr>
        <w:t xml:space="preserve">; SCD: </w:t>
      </w:r>
      <w:r>
        <w:rPr>
          <w:rFonts w:eastAsia="DengXian" w:cs="Times New Roman"/>
          <w:b w:val="0"/>
          <w:bCs/>
          <w:sz w:val="20"/>
        </w:rPr>
        <w:t>severe conduction disturbances</w:t>
      </w:r>
      <w:r>
        <w:rPr>
          <w:b w:val="0"/>
          <w:bCs/>
        </w:rPr>
        <w:t xml:space="preserve">; RBBB: </w:t>
      </w:r>
      <w:r>
        <w:rPr>
          <w:rFonts w:eastAsia="DengXian" w:cs="Times New Roman"/>
          <w:b w:val="0"/>
          <w:bCs/>
          <w:sz w:val="20"/>
        </w:rPr>
        <w:t>right bundle branch block</w:t>
      </w:r>
      <w:r>
        <w:rPr>
          <w:b w:val="0"/>
          <w:bCs/>
        </w:rPr>
        <w:t xml:space="preserve">; LBBB: </w:t>
      </w:r>
      <w:r>
        <w:rPr>
          <w:rFonts w:eastAsia="DengXian" w:cs="Times New Roman"/>
          <w:b w:val="0"/>
          <w:bCs/>
          <w:sz w:val="20"/>
        </w:rPr>
        <w:t>left bundle branch block</w:t>
      </w:r>
      <w:r>
        <w:rPr>
          <w:b w:val="0"/>
          <w:bCs/>
        </w:rPr>
        <w:t xml:space="preserve">; TAVR: transcatheter aortic valve replacement; OR: </w:t>
      </w:r>
      <w:r>
        <w:rPr>
          <w:rFonts w:eastAsia="DengXian" w:cs="Times New Roman"/>
          <w:b w:val="0"/>
          <w:bCs/>
          <w:sz w:val="20"/>
        </w:rPr>
        <w:t>odds ratio</w:t>
      </w:r>
      <w:r>
        <w:rPr>
          <w:b w:val="0"/>
          <w:bCs/>
        </w:rPr>
        <w:t xml:space="preserve">; CI: </w:t>
      </w:r>
      <w:r>
        <w:rPr>
          <w:rFonts w:eastAsia="DengXian" w:cs="Times New Roman"/>
          <w:b w:val="0"/>
          <w:bCs/>
          <w:sz w:val="20"/>
        </w:rPr>
        <w:t>confidence interval</w:t>
      </w:r>
      <w:r>
        <w:rPr>
          <w:b w:val="0"/>
          <w:bCs/>
        </w:rPr>
        <w:t xml:space="preserve">. 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Times New Roman (正文 CS 字体)">
    <w:altName w:val="Times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ECF"/>
    <w:rsid w:val="00042D06"/>
    <w:rsid w:val="00075513"/>
    <w:rsid w:val="000B1F8F"/>
    <w:rsid w:val="000F2A37"/>
    <w:rsid w:val="000F6553"/>
    <w:rsid w:val="00104C47"/>
    <w:rsid w:val="00112E1A"/>
    <w:rsid w:val="00115BD9"/>
    <w:rsid w:val="001D0BF8"/>
    <w:rsid w:val="002137FB"/>
    <w:rsid w:val="00217A8C"/>
    <w:rsid w:val="002527A5"/>
    <w:rsid w:val="00266B73"/>
    <w:rsid w:val="00282AD4"/>
    <w:rsid w:val="002C68B9"/>
    <w:rsid w:val="002E18B2"/>
    <w:rsid w:val="00310CCD"/>
    <w:rsid w:val="003332DD"/>
    <w:rsid w:val="00365A7D"/>
    <w:rsid w:val="003A2B86"/>
    <w:rsid w:val="003E0B0E"/>
    <w:rsid w:val="003F221A"/>
    <w:rsid w:val="003F2A32"/>
    <w:rsid w:val="00445792"/>
    <w:rsid w:val="00452F7E"/>
    <w:rsid w:val="00473E6F"/>
    <w:rsid w:val="0047642F"/>
    <w:rsid w:val="004B40AF"/>
    <w:rsid w:val="004D6EFF"/>
    <w:rsid w:val="004F7335"/>
    <w:rsid w:val="005121F5"/>
    <w:rsid w:val="005323AF"/>
    <w:rsid w:val="00543ECF"/>
    <w:rsid w:val="005459D8"/>
    <w:rsid w:val="00586C06"/>
    <w:rsid w:val="00587121"/>
    <w:rsid w:val="005C1860"/>
    <w:rsid w:val="005E5B24"/>
    <w:rsid w:val="00620C39"/>
    <w:rsid w:val="006330D6"/>
    <w:rsid w:val="00640A35"/>
    <w:rsid w:val="006570CC"/>
    <w:rsid w:val="0067020B"/>
    <w:rsid w:val="00675586"/>
    <w:rsid w:val="006A4C14"/>
    <w:rsid w:val="006B38B8"/>
    <w:rsid w:val="006B4CE1"/>
    <w:rsid w:val="006C4DAB"/>
    <w:rsid w:val="00704F28"/>
    <w:rsid w:val="007053A3"/>
    <w:rsid w:val="0072749C"/>
    <w:rsid w:val="00733B44"/>
    <w:rsid w:val="007434BC"/>
    <w:rsid w:val="00755F84"/>
    <w:rsid w:val="00766930"/>
    <w:rsid w:val="007670D8"/>
    <w:rsid w:val="00777F38"/>
    <w:rsid w:val="00795779"/>
    <w:rsid w:val="007D3E51"/>
    <w:rsid w:val="007D42F4"/>
    <w:rsid w:val="007E67A7"/>
    <w:rsid w:val="007F0095"/>
    <w:rsid w:val="008159E4"/>
    <w:rsid w:val="00817E6D"/>
    <w:rsid w:val="00836C16"/>
    <w:rsid w:val="00844B1C"/>
    <w:rsid w:val="00886063"/>
    <w:rsid w:val="008879FD"/>
    <w:rsid w:val="008D546B"/>
    <w:rsid w:val="008E51C3"/>
    <w:rsid w:val="00910F8F"/>
    <w:rsid w:val="00920FAA"/>
    <w:rsid w:val="00922EFE"/>
    <w:rsid w:val="00946E35"/>
    <w:rsid w:val="00967DEE"/>
    <w:rsid w:val="009B1038"/>
    <w:rsid w:val="009C09A5"/>
    <w:rsid w:val="009E5D0D"/>
    <w:rsid w:val="00A0232B"/>
    <w:rsid w:val="00A43FB1"/>
    <w:rsid w:val="00A776C5"/>
    <w:rsid w:val="00A91E36"/>
    <w:rsid w:val="00B064A6"/>
    <w:rsid w:val="00B45A30"/>
    <w:rsid w:val="00B61DEB"/>
    <w:rsid w:val="00B62C0E"/>
    <w:rsid w:val="00B952BD"/>
    <w:rsid w:val="00B97EF2"/>
    <w:rsid w:val="00BA2DF9"/>
    <w:rsid w:val="00BA79C2"/>
    <w:rsid w:val="00BB5315"/>
    <w:rsid w:val="00C01A31"/>
    <w:rsid w:val="00C33D9C"/>
    <w:rsid w:val="00C5075C"/>
    <w:rsid w:val="00C61AA8"/>
    <w:rsid w:val="00C86C04"/>
    <w:rsid w:val="00CA0029"/>
    <w:rsid w:val="00CE66FD"/>
    <w:rsid w:val="00D115F9"/>
    <w:rsid w:val="00D512E0"/>
    <w:rsid w:val="00D60E30"/>
    <w:rsid w:val="00D62D63"/>
    <w:rsid w:val="00DD52CB"/>
    <w:rsid w:val="00E63D45"/>
    <w:rsid w:val="00E85D42"/>
    <w:rsid w:val="00ED5977"/>
    <w:rsid w:val="00EE14C8"/>
    <w:rsid w:val="00EF5FB5"/>
    <w:rsid w:val="00F16ACB"/>
    <w:rsid w:val="00F27C55"/>
    <w:rsid w:val="00F33498"/>
    <w:rsid w:val="00F81527"/>
    <w:rsid w:val="00FE44A6"/>
    <w:rsid w:val="00FE4C79"/>
    <w:rsid w:val="00FF445E"/>
    <w:rsid w:val="FFFF9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rFonts w:ascii="宋体" w:eastAsia="宋体"/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rFonts w:ascii="宋体" w:eastAsia="宋体"/>
      <w:sz w:val="18"/>
      <w:szCs w:val="18"/>
    </w:rPr>
  </w:style>
  <w:style w:type="paragraph" w:customStyle="1" w:styleId="6">
    <w:name w:val="11图题"/>
    <w:basedOn w:val="1"/>
    <w:qFormat/>
    <w:uiPriority w:val="0"/>
    <w:pPr>
      <w:widowControl/>
      <w:adjustRightInd w:val="0"/>
      <w:snapToGrid w:val="0"/>
      <w:spacing w:line="360" w:lineRule="auto"/>
      <w:jc w:val="center"/>
    </w:pPr>
    <w:rPr>
      <w:rFonts w:ascii="Times New Roman" w:hAnsi="Times New Roman" w:eastAsia="微软雅黑"/>
      <w:b/>
      <w:kern w:val="0"/>
      <w:szCs w:val="20"/>
    </w:rPr>
  </w:style>
  <w:style w:type="paragraph" w:customStyle="1" w:styleId="7">
    <w:name w:val="21表注"/>
    <w:basedOn w:val="1"/>
    <w:qFormat/>
    <w:uiPriority w:val="0"/>
    <w:pPr>
      <w:widowControl/>
      <w:adjustRightInd w:val="0"/>
      <w:snapToGrid w:val="0"/>
      <w:spacing w:before="50" w:beforeLines="50" w:line="360" w:lineRule="auto"/>
      <w:jc w:val="left"/>
    </w:pPr>
    <w:rPr>
      <w:rFonts w:ascii="Times New Roman" w:hAnsi="Times New Roman" w:eastAsia="宋体"/>
      <w:kern w:val="0"/>
      <w:szCs w:val="20"/>
    </w:rPr>
  </w:style>
  <w:style w:type="paragraph" w:customStyle="1" w:styleId="8">
    <w:name w:val="20表格正文"/>
    <w:basedOn w:val="1"/>
    <w:uiPriority w:val="0"/>
    <w:pPr>
      <w:widowControl/>
      <w:adjustRightInd w:val="0"/>
      <w:snapToGrid w:val="0"/>
      <w:spacing w:line="360" w:lineRule="auto"/>
      <w:jc w:val="center"/>
    </w:pPr>
    <w:rPr>
      <w:rFonts w:ascii="Times New Roman" w:hAnsi="Times New Roman" w:eastAsia="宋体"/>
      <w:kern w:val="0"/>
      <w:szCs w:val="20"/>
    </w:rPr>
  </w:style>
  <w:style w:type="paragraph" w:customStyle="1" w:styleId="9">
    <w:name w:val="19表题"/>
    <w:basedOn w:val="1"/>
    <w:uiPriority w:val="0"/>
    <w:pPr>
      <w:widowControl/>
      <w:adjustRightInd w:val="0"/>
      <w:snapToGrid w:val="0"/>
      <w:spacing w:line="360" w:lineRule="auto"/>
      <w:jc w:val="center"/>
    </w:pPr>
    <w:rPr>
      <w:rFonts w:ascii="Times New Roman" w:hAnsi="Times New Roman" w:eastAsia="微软雅黑"/>
      <w:b/>
      <w:kern w:val="0"/>
      <w:szCs w:val="20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853</Words>
  <Characters>4867</Characters>
  <Lines>40</Lines>
  <Paragraphs>11</Paragraphs>
  <TotalTime>2</TotalTime>
  <ScaleCrop>false</ScaleCrop>
  <LinksUpToDate>false</LinksUpToDate>
  <CharactersWithSpaces>5709</CharactersWithSpaces>
  <Application>WPS Office_4.2.1.6793_F1E327BC-269C-435d-A152-05C5408002CA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2022-09-15T11:15:00Z</dcterms:created>
  <dc:creator>Zhang Yi</dc:creator>
  <cp:lastModifiedBy>zy</cp:lastModifiedBy>
  <dcterms:modified xsi:type="dcterms:W3CDTF">2022-11-11T11:47:48Z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2052-4.2.1.6793</vt:lpwstr>
  </property>
  <property fmtid="{D5CDD505-2E9C-101B-9397-08002B2CF9AE}" pid="3" name="ICV">
    <vt:lpwstr>D743A475887E5C3FE4C56D630418AEA9</vt:lpwstr>
  </property>
</Properties>
</file>