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0706" w:rsidRPr="00AE0706" w:rsidRDefault="00AE0706" w:rsidP="00AE070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0706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AE0706">
        <w:rPr>
          <w:rFonts w:ascii="Times New Roman" w:hAnsi="Times New Roman" w:cs="Times New Roman"/>
          <w:b/>
          <w:bCs/>
          <w:sz w:val="28"/>
          <w:szCs w:val="28"/>
        </w:rPr>
        <w:t>upplementary Materials</w:t>
      </w:r>
    </w:p>
    <w:p w:rsidR="00AE0706" w:rsidRPr="00077AFD" w:rsidRDefault="00AE0706" w:rsidP="00AE0706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7AFD">
        <w:rPr>
          <w:rFonts w:ascii="Times New Roman" w:hAnsi="Times New Roman" w:cs="Times New Roman"/>
          <w:b/>
          <w:bCs/>
          <w:sz w:val="24"/>
          <w:szCs w:val="24"/>
        </w:rPr>
        <w:t>Feasibility and Safety of Drug-coated Balloon for treatment of de-novo coronary artery lesions in large vessel disease: A Large-scale Multicenter Prospective Study</w:t>
      </w:r>
    </w:p>
    <w:p w:rsidR="00AE0706" w:rsidRP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</w:p>
    <w:p w:rsidR="00AE0706" w:rsidRPr="0021433E" w:rsidRDefault="00AE0706" w:rsidP="00AE070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</w:t>
      </w:r>
      <w:r w:rsidRPr="0021433E">
        <w:rPr>
          <w:rFonts w:ascii="Times New Roman" w:hAnsi="Times New Roman" w:cs="Times New Roman"/>
          <w:sz w:val="20"/>
          <w:szCs w:val="20"/>
        </w:rPr>
        <w:t xml:space="preserve">able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21433E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2-year c</w:t>
      </w:r>
      <w:r w:rsidRPr="0021433E">
        <w:rPr>
          <w:rFonts w:ascii="Times New Roman" w:hAnsi="Times New Roman" w:cs="Times New Roman"/>
          <w:sz w:val="20"/>
          <w:szCs w:val="20"/>
        </w:rPr>
        <w:t xml:space="preserve">linical </w:t>
      </w:r>
      <w:r>
        <w:rPr>
          <w:rFonts w:ascii="Times New Roman" w:hAnsi="Times New Roman" w:cs="Times New Roman"/>
          <w:sz w:val="20"/>
          <w:szCs w:val="20"/>
        </w:rPr>
        <w:t xml:space="preserve">outcomes stratified by the presence of </w:t>
      </w:r>
      <w:r w:rsidRPr="00DB5B66">
        <w:rPr>
          <w:rFonts w:ascii="Times New Roman" w:hAnsi="Times New Roman" w:cs="Times New Roman"/>
          <w:sz w:val="20"/>
          <w:szCs w:val="20"/>
        </w:rPr>
        <w:t xml:space="preserve">small </w:t>
      </w:r>
      <w:r>
        <w:rPr>
          <w:rFonts w:ascii="Times New Roman" w:hAnsi="Times New Roman" w:cs="Times New Roman"/>
          <w:sz w:val="20"/>
          <w:szCs w:val="20"/>
        </w:rPr>
        <w:t xml:space="preserve">or large </w:t>
      </w:r>
      <w:r w:rsidRPr="00DB5B66">
        <w:rPr>
          <w:rFonts w:ascii="Times New Roman" w:hAnsi="Times New Roman" w:cs="Times New Roman"/>
          <w:sz w:val="20"/>
          <w:szCs w:val="20"/>
        </w:rPr>
        <w:t>vessel disease</w:t>
      </w:r>
    </w:p>
    <w:tbl>
      <w:tblPr>
        <w:tblStyle w:val="a3"/>
        <w:tblW w:w="10809" w:type="dxa"/>
        <w:tblInd w:w="-1170" w:type="dxa"/>
        <w:tblLook w:val="04A0" w:firstRow="1" w:lastRow="0" w:firstColumn="1" w:lastColumn="0" w:noHBand="0" w:noVBand="1"/>
      </w:tblPr>
      <w:tblGrid>
        <w:gridCol w:w="3545"/>
        <w:gridCol w:w="1417"/>
        <w:gridCol w:w="1559"/>
        <w:gridCol w:w="1418"/>
        <w:gridCol w:w="1843"/>
        <w:gridCol w:w="1027"/>
      </w:tblGrid>
      <w:tr w:rsidR="00AE0706" w:rsidRPr="0021433E" w:rsidTr="000D39CE">
        <w:tc>
          <w:tcPr>
            <w:tcW w:w="3545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(n=1166)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SVD group (&lt;3.0mm)</w:t>
            </w:r>
          </w:p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(n=783)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LVD group (≥3.0mm)</w:t>
            </w:r>
          </w:p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(n=383)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0D6C1F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C1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D6C1F">
              <w:rPr>
                <w:rFonts w:ascii="Times New Roman" w:hAnsi="Times New Roman" w:cs="Times New Roman" w:hint="eastAsia"/>
                <w:sz w:val="20"/>
                <w:szCs w:val="20"/>
              </w:rPr>
              <w:t>ifference</w:t>
            </w:r>
            <w:r w:rsidRPr="000D6C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E0706" w:rsidRPr="00866FAD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C1F">
              <w:rPr>
                <w:rFonts w:ascii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AE0706" w:rsidRPr="0021433E" w:rsidTr="000D39CE">
        <w:tc>
          <w:tcPr>
            <w:tcW w:w="3545" w:type="dxa"/>
            <w:tcBorders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Target lesion failure</w:t>
            </w:r>
            <w:r w:rsidRPr="00EA0D7E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(2.6)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(2.9)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(1.8)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.11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-0.68 to 2.90)</w:t>
            </w:r>
          </w:p>
        </w:tc>
        <w:tc>
          <w:tcPr>
            <w:tcW w:w="1027" w:type="dxa"/>
            <w:tcBorders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.265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Patient-oriented composite endpoint</w:t>
            </w:r>
            <w:r w:rsidRPr="00EA0D7E">
              <w:rPr>
                <w:rFonts w:ascii="Times New Roman" w:hAnsi="Times New Roman" w:cs="Times New Roman"/>
                <w:sz w:val="20"/>
                <w:szCs w:val="20"/>
              </w:rPr>
              <w:t>††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(7.0)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 (7.5)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(6.0)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(-1.48 to 4.54)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.376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All-cause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(1.3)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9E31DD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1D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9E31DD">
              <w:rPr>
                <w:rFonts w:ascii="Times New Roman" w:hAnsi="Times New Roman" w:cs="Times New Roman"/>
                <w:sz w:val="20"/>
                <w:szCs w:val="20"/>
              </w:rPr>
              <w:t>.02 (-0.03 to 2.10)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.096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 xml:space="preserve">  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9E31DD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31D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9E31DD">
              <w:rPr>
                <w:rFonts w:ascii="Times New Roman" w:hAnsi="Times New Roman" w:cs="Times New Roman"/>
                <w:sz w:val="20"/>
                <w:szCs w:val="20"/>
              </w:rPr>
              <w:t>.51 (-0.05 to 1.31)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.159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Myocardial infarction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(1.0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0.02 (-1.26 to 1.22)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0.958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Target vessel 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(-0.99 to 1.21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.852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Any revascularization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.53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-2.24 to 3.29)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.832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Ischemia-driven TVR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(2.7)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0.45 (-2.53 to 1.63)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.637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1433E">
              <w:rPr>
                <w:rFonts w:ascii="Times New Roman" w:hAnsi="Times New Roman" w:cs="Times New Roman"/>
                <w:sz w:val="20"/>
                <w:szCs w:val="20"/>
              </w:rPr>
              <w:t>Ischemia-driven TLR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(1.5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0.03 (-1.55 to 1.48)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.968</w:t>
            </w:r>
          </w:p>
        </w:tc>
      </w:tr>
      <w:tr w:rsidR="00AE0706" w:rsidRPr="0021433E" w:rsidTr="000D39CE">
        <w:tc>
          <w:tcPr>
            <w:tcW w:w="3545" w:type="dxa"/>
            <w:tcBorders>
              <w:top w:val="nil"/>
              <w:left w:val="nil"/>
              <w:right w:val="nil"/>
            </w:tcBorders>
          </w:tcPr>
          <w:p w:rsidR="00AE0706" w:rsidRPr="0021433E" w:rsidRDefault="00AE0706" w:rsidP="000D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Stroke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(0.9)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AE0706" w:rsidRPr="0021433E" w:rsidRDefault="00AE0706" w:rsidP="000D39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(-0.99 to 1.21)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</w:tcPr>
          <w:p w:rsidR="00AE0706" w:rsidRPr="00891E67" w:rsidRDefault="00AE0706" w:rsidP="000D39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1E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0.969</w:t>
            </w:r>
          </w:p>
        </w:tc>
      </w:tr>
    </w:tbl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m</w:t>
      </w:r>
      <w:r w:rsidRPr="004D7DA4">
        <w:rPr>
          <w:rFonts w:ascii="Times New Roman" w:hAnsi="Times New Roman" w:cs="Times New Roman"/>
          <w:sz w:val="20"/>
          <w:szCs w:val="20"/>
        </w:rPr>
        <w:t xml:space="preserve">edian follow-up duration was </w:t>
      </w:r>
      <w:r>
        <w:rPr>
          <w:rFonts w:ascii="Times New Roman" w:hAnsi="Times New Roman" w:cs="Times New Roman"/>
          <w:sz w:val="20"/>
          <w:szCs w:val="20"/>
        </w:rPr>
        <w:t>2.0</w:t>
      </w:r>
      <w:r w:rsidRPr="004D7DA4">
        <w:rPr>
          <w:rFonts w:ascii="Times New Roman" w:hAnsi="Times New Roman" w:cs="Times New Roman"/>
          <w:sz w:val="20"/>
          <w:szCs w:val="20"/>
        </w:rPr>
        <w:t xml:space="preserve"> years (interquartile range: </w:t>
      </w:r>
      <w:r>
        <w:rPr>
          <w:rFonts w:ascii="Times New Roman" w:hAnsi="Times New Roman" w:cs="Times New Roman"/>
          <w:sz w:val="20"/>
          <w:szCs w:val="20"/>
        </w:rPr>
        <w:t>1.3</w:t>
      </w:r>
      <w:r w:rsidRPr="004D7DA4">
        <w:rPr>
          <w:rFonts w:ascii="Times New Roman" w:hAnsi="Times New Roman" w:cs="Times New Roman"/>
          <w:sz w:val="20"/>
          <w:szCs w:val="20"/>
        </w:rPr>
        <w:t xml:space="preserve"> to </w:t>
      </w:r>
      <w:r>
        <w:rPr>
          <w:rFonts w:ascii="Times New Roman" w:hAnsi="Times New Roman" w:cs="Times New Roman"/>
          <w:sz w:val="20"/>
          <w:szCs w:val="20"/>
        </w:rPr>
        <w:t xml:space="preserve">2.5). </w:t>
      </w: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*A</w:t>
      </w:r>
      <w:r w:rsidRPr="00EA0D7E">
        <w:rPr>
          <w:rFonts w:ascii="Times New Roman" w:hAnsi="Times New Roman" w:cs="Times New Roman"/>
          <w:sz w:val="20"/>
          <w:szCs w:val="20"/>
        </w:rPr>
        <w:t xml:space="preserve"> log-rank test was used to calculate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EA0D7E">
        <w:rPr>
          <w:rFonts w:ascii="Times New Roman" w:hAnsi="Times New Roman" w:cs="Times New Roman"/>
          <w:sz w:val="20"/>
          <w:szCs w:val="20"/>
        </w:rPr>
        <w:t xml:space="preserve"> values.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  <w:r w:rsidRPr="00EA0D7E">
        <w:rPr>
          <w:rFonts w:ascii="Times New Roman" w:hAnsi="Times New Roman" w:cs="Times New Roman"/>
          <w:sz w:val="20"/>
          <w:szCs w:val="20"/>
        </w:rPr>
        <w:t xml:space="preserve">†Target lesion failure was deﬁned as a composite of cardiac death, target vessel MI, or ischemia-driven TLR. ††Patient-oriented composite endpoint was deﬁned as a composite of all-cause death, all MI, or any revascularization. </w:t>
      </w:r>
    </w:p>
    <w:p w:rsidR="00AE0706" w:rsidRDefault="00AE0706" w:rsidP="00AE070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bbreviations: MI, myocardial infarction; TVR, target vessel revascularization; TLR, target lesion revascularization.</w:t>
      </w:r>
    </w:p>
    <w:p w:rsidR="007E16F1" w:rsidRPr="00AE0706" w:rsidRDefault="007E16F1"/>
    <w:sectPr w:rsidR="007E16F1" w:rsidRPr="00AE0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LQwMLI0NDMwNjI2NbdQ0lEKTi0uzszPAykwrAUA7rqPrywAAAA="/>
  </w:docVars>
  <w:rsids>
    <w:rsidRoot w:val="00AE0706"/>
    <w:rsid w:val="007E16F1"/>
    <w:rsid w:val="00AE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6E6BA"/>
  <w15:chartTrackingRefBased/>
  <w15:docId w15:val="{82C955F2-2B90-40F9-B6F2-5E16F09AE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0706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0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SMU_yanjunsong@163.com</dc:creator>
  <cp:keywords/>
  <dc:description/>
  <cp:lastModifiedBy>SMU_yanjunsong@163.com</cp:lastModifiedBy>
  <cp:revision>1</cp:revision>
  <dcterms:created xsi:type="dcterms:W3CDTF">2023-02-02T09:15:00Z</dcterms:created>
  <dcterms:modified xsi:type="dcterms:W3CDTF">2023-02-02T09:16:00Z</dcterms:modified>
</cp:coreProperties>
</file>