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contextualSpacing/>
        <w:rPr>
          <w:rFonts w:ascii="Times New Roman" w:hAnsi="Times New Roman" w:cs="Times New Roman"/>
          <w:b/>
          <w:bCs/>
          <w:color w:val="auto"/>
          <w:sz w:val="24"/>
          <w:szCs w:val="24"/>
        </w:rPr>
      </w:pPr>
      <w:r>
        <w:rPr>
          <w:rFonts w:ascii="Times New Roman" w:hAnsi="Times New Roman" w:cs="Times New Roman"/>
          <w:b/>
          <w:bCs/>
          <w:color w:val="auto"/>
          <w:sz w:val="24"/>
          <w:szCs w:val="24"/>
        </w:rPr>
        <w:t>Supplementary material</w:t>
      </w:r>
    </w:p>
    <w:p>
      <w:pPr>
        <w:numPr>
          <w:ilvl w:val="0"/>
          <w:numId w:val="1"/>
        </w:numPr>
        <w:snapToGrid w:val="0"/>
        <w:spacing w:line="360" w:lineRule="auto"/>
        <w:contextualSpacing/>
        <w:rPr>
          <w:rFonts w:ascii="Times New Roman" w:hAnsi="Times New Roman" w:cs="Times New Roman"/>
          <w:b/>
          <w:bCs/>
          <w:color w:val="auto"/>
          <w:szCs w:val="21"/>
        </w:rPr>
      </w:pPr>
      <w:bookmarkStart w:id="0" w:name="OLE_LINK77"/>
      <w:r>
        <w:rPr>
          <w:rFonts w:ascii="Times New Roman" w:hAnsi="Times New Roman" w:cs="Times New Roman"/>
          <w:b/>
          <w:bCs/>
          <w:color w:val="auto"/>
          <w:szCs w:val="21"/>
        </w:rPr>
        <w:t>Exclusion of patients</w:t>
      </w:r>
    </w:p>
    <w:p>
      <w:pPr>
        <w:snapToGrid w:val="0"/>
        <w:spacing w:line="360" w:lineRule="auto"/>
        <w:contextualSpacing/>
        <w:rPr>
          <w:rFonts w:ascii="Times New Roman" w:hAnsi="Times New Roman" w:cs="Times New Roman"/>
          <w:color w:val="auto"/>
          <w:szCs w:val="21"/>
        </w:rPr>
      </w:pPr>
      <w:bookmarkStart w:id="1" w:name="OLE_LINK3"/>
      <w:bookmarkStart w:id="2" w:name="OLE_LINK2"/>
      <w:r>
        <w:rPr>
          <w:rFonts w:ascii="Times New Roman" w:hAnsi="Times New Roman" w:eastAsia="宋体" w:cs="Times New Roman"/>
          <w:color w:val="auto"/>
          <w:szCs w:val="21"/>
          <w:shd w:val="clear" w:color="auto" w:fill="FFFFFF"/>
        </w:rPr>
        <w:t>A total of 239 patients among the 497 individuals diagnosed with in-stent restenosis (ISR) were excluded from the study owing to the absence of optical coherence tomography (OCT) imaging prior to the interventional procedure. The decision to forego OCT imaging was primarily due to financial constraints faced by the majority of these patients with ISR, while a minority faced challenges related to vascular tortuosity, the location of ISR lesions distal to the vessel, complete occlusive lesion, and comorbid conditions such as diabetes and renal failure (creatinine clearance</w:t>
      </w:r>
      <w:r>
        <w:rPr>
          <w:rFonts w:hint="eastAsia" w:ascii="Times New Roman" w:hAnsi="Times New Roman" w:eastAsia="宋体" w:cs="Times New Roman"/>
          <w:color w:val="auto"/>
          <w:szCs w:val="21"/>
          <w:shd w:val="clear" w:color="auto" w:fill="FFFFFF"/>
        </w:rPr>
        <w:t xml:space="preserve"> </w:t>
      </w:r>
      <w:r>
        <w:rPr>
          <w:rFonts w:ascii="Times New Roman" w:hAnsi="Times New Roman" w:eastAsia="宋体" w:cs="Times New Roman"/>
          <w:color w:val="auto"/>
          <w:szCs w:val="21"/>
          <w:shd w:val="clear" w:color="auto" w:fill="FFFFFF"/>
        </w:rPr>
        <w:t>&lt;30</w:t>
      </w:r>
      <w:r>
        <w:rPr>
          <w:rFonts w:hint="eastAsia" w:ascii="Times New Roman" w:hAnsi="Times New Roman" w:eastAsia="宋体" w:cs="Times New Roman"/>
          <w:color w:val="auto"/>
          <w:szCs w:val="21"/>
          <w:shd w:val="clear" w:color="auto" w:fill="FFFFFF"/>
        </w:rPr>
        <w:t xml:space="preserve"> </w:t>
      </w:r>
      <w:r>
        <w:rPr>
          <w:rFonts w:ascii="Times New Roman" w:hAnsi="Times New Roman" w:eastAsia="宋体" w:cs="Times New Roman"/>
          <w:color w:val="auto"/>
          <w:szCs w:val="21"/>
          <w:shd w:val="clear" w:color="auto" w:fill="FFFFFF"/>
        </w:rPr>
        <w:t xml:space="preserve">ml/min). </w:t>
      </w:r>
      <w:r>
        <w:rPr>
          <w:rFonts w:ascii="Times New Roman" w:hAnsi="Times New Roman" w:cs="Times New Roman"/>
          <w:color w:val="auto"/>
          <w:szCs w:val="21"/>
        </w:rPr>
        <w:t>In addition, six patients had poor OCT image quality, five patients had multiple ISR lesions (at least two ISR lesions in the same patient), and 17 patients had non-first ISR (16 with second and 1 with third occurrences of ISR at the same lesion site); these patients were excluded as well.</w:t>
      </w:r>
      <w:bookmarkEnd w:id="0"/>
      <w:bookmarkEnd w:id="1"/>
    </w:p>
    <w:bookmarkEnd w:id="2"/>
    <w:p>
      <w:pPr>
        <w:numPr>
          <w:ilvl w:val="12"/>
          <w:numId w:val="0"/>
        </w:numPr>
        <w:snapToGrid w:val="0"/>
        <w:spacing w:line="360" w:lineRule="auto"/>
        <w:contextualSpacing/>
        <w:rPr>
          <w:rFonts w:ascii="Times New Roman" w:hAnsi="Times New Roman" w:cs="Times New Roman"/>
          <w:color w:val="auto"/>
          <w:szCs w:val="21"/>
        </w:rPr>
      </w:pPr>
    </w:p>
    <w:p>
      <w:pPr>
        <w:numPr>
          <w:ilvl w:val="0"/>
          <w:numId w:val="1"/>
        </w:numPr>
        <w:snapToGrid w:val="0"/>
        <w:spacing w:line="360" w:lineRule="auto"/>
        <w:contextualSpacing/>
        <w:rPr>
          <w:rFonts w:ascii="Times New Roman" w:hAnsi="Times New Roman" w:cs="Times New Roman"/>
          <w:b/>
          <w:bCs/>
          <w:color w:val="auto"/>
          <w:szCs w:val="21"/>
        </w:rPr>
      </w:pPr>
      <w:r>
        <w:rPr>
          <w:rFonts w:ascii="Times New Roman" w:hAnsi="Times New Roman" w:cs="Times New Roman"/>
          <w:b/>
          <w:bCs/>
          <w:color w:val="auto"/>
          <w:szCs w:val="21"/>
        </w:rPr>
        <w:t>Definition of E-ISR, L-ISR, VL-ISR, and the reasons for performing follow-up coronary angiography</w:t>
      </w:r>
    </w:p>
    <w:p>
      <w:pPr>
        <w:numPr>
          <w:ilvl w:val="0"/>
          <w:numId w:val="2"/>
        </w:numPr>
        <w:snapToGrid w:val="0"/>
        <w:spacing w:line="360" w:lineRule="auto"/>
        <w:ind w:left="60"/>
        <w:contextualSpacing/>
        <w:rPr>
          <w:rFonts w:ascii="Times New Roman" w:hAnsi="Times New Roman" w:cs="Times New Roman"/>
          <w:color w:val="auto"/>
          <w:szCs w:val="21"/>
        </w:rPr>
      </w:pPr>
      <w:r>
        <w:rPr>
          <w:rFonts w:ascii="Times New Roman" w:hAnsi="Times New Roman" w:cs="Times New Roman"/>
          <w:color w:val="auto"/>
          <w:szCs w:val="21"/>
        </w:rPr>
        <w:t>ISR was defined as the first ISR confirmed by</w:t>
      </w:r>
      <w:r>
        <w:rPr>
          <w:rFonts w:hint="eastAsia" w:ascii="Times New Roman" w:hAnsi="Times New Roman" w:cs="Times New Roman"/>
          <w:color w:val="auto"/>
          <w:szCs w:val="21"/>
        </w:rPr>
        <w:t xml:space="preserve"> </w:t>
      </w:r>
      <w:r>
        <w:rPr>
          <w:rFonts w:ascii="Times New Roman" w:hAnsi="Times New Roman" w:cs="Times New Roman"/>
          <w:color w:val="auto"/>
          <w:szCs w:val="21"/>
        </w:rPr>
        <w:t xml:space="preserve">coronary angiography </w:t>
      </w:r>
      <w:r>
        <w:rPr>
          <w:rFonts w:hint="eastAsia" w:ascii="Times New Roman" w:hAnsi="Times New Roman" w:cs="Times New Roman"/>
          <w:color w:val="auto"/>
          <w:szCs w:val="21"/>
        </w:rPr>
        <w:t>(</w:t>
      </w:r>
      <w:r>
        <w:rPr>
          <w:rFonts w:ascii="Times New Roman" w:hAnsi="Times New Roman" w:cs="Times New Roman"/>
          <w:color w:val="auto"/>
          <w:szCs w:val="21"/>
        </w:rPr>
        <w:t>CAG</w:t>
      </w:r>
      <w:r>
        <w:rPr>
          <w:rFonts w:hint="eastAsia" w:ascii="Times New Roman" w:hAnsi="Times New Roman" w:cs="Times New Roman"/>
          <w:color w:val="auto"/>
          <w:szCs w:val="21"/>
        </w:rPr>
        <w:t>)</w:t>
      </w:r>
      <w:r>
        <w:rPr>
          <w:rFonts w:ascii="Times New Roman" w:hAnsi="Times New Roman" w:cs="Times New Roman"/>
          <w:color w:val="auto"/>
          <w:szCs w:val="21"/>
        </w:rPr>
        <w:t xml:space="preserve"> within one year after stent implantation. L-ISR was defined as the first ISR confirmed by CAG between 1 and 5 years after stent implantation, and no ISR was found in the CAG followed up within one year. </w:t>
      </w:r>
      <w:bookmarkStart w:id="3" w:name="OLE_LINK12"/>
      <w:r>
        <w:rPr>
          <w:rFonts w:ascii="Times New Roman" w:hAnsi="Times New Roman" w:cs="Times New Roman"/>
          <w:color w:val="auto"/>
          <w:szCs w:val="21"/>
        </w:rPr>
        <w:t>VL-ISR</w:t>
      </w:r>
      <w:bookmarkEnd w:id="3"/>
      <w:r>
        <w:rPr>
          <w:rFonts w:ascii="Times New Roman" w:hAnsi="Times New Roman" w:cs="Times New Roman"/>
          <w:color w:val="auto"/>
          <w:szCs w:val="21"/>
        </w:rPr>
        <w:t xml:space="preserve"> was defined as the first ISR confirmed by CAG &gt;5 years after stent implantation, and no ISR was indicated by the previous CAG</w:t>
      </w:r>
      <w:r>
        <w:rPr>
          <w:rFonts w:hint="eastAsia" w:ascii="Times New Roman" w:hAnsi="Times New Roman" w:cs="Times New Roman"/>
          <w:color w:val="auto"/>
          <w:szCs w:val="21"/>
        </w:rPr>
        <w:t xml:space="preserve"> </w:t>
      </w:r>
      <w:r>
        <w:rPr>
          <w:rFonts w:ascii="Times New Roman" w:hAnsi="Times New Roman" w:cs="Times New Roman"/>
          <w:color w:val="auto"/>
          <w:szCs w:val="21"/>
        </w:rPr>
        <w:t>[</w:t>
      </w:r>
      <w:r>
        <w:rPr>
          <w:color w:val="auto"/>
        </w:rPr>
        <w:fldChar w:fldCharType="begin"/>
      </w:r>
      <w:r>
        <w:rPr>
          <w:color w:val="auto"/>
        </w:rPr>
        <w:instrText xml:space="preserve"> HYPERLINK \l "Reference1" </w:instrText>
      </w:r>
      <w:r>
        <w:rPr>
          <w:color w:val="auto"/>
        </w:rPr>
        <w:fldChar w:fldCharType="separate"/>
      </w:r>
      <w:r>
        <w:rPr>
          <w:rStyle w:val="13"/>
          <w:rFonts w:ascii="Times New Roman" w:hAnsi="Times New Roman" w:cs="Times New Roman"/>
          <w:color w:val="auto"/>
          <w:szCs w:val="21"/>
          <w:u w:val="none"/>
        </w:rPr>
        <w:t>1</w:t>
      </w:r>
      <w:r>
        <w:rPr>
          <w:rStyle w:val="13"/>
          <w:rFonts w:ascii="Times New Roman" w:hAnsi="Times New Roman" w:cs="Times New Roman"/>
          <w:color w:val="auto"/>
          <w:szCs w:val="21"/>
          <w:u w:val="none"/>
        </w:rPr>
        <w:fldChar w:fldCharType="end"/>
      </w:r>
      <w:r>
        <w:rPr>
          <w:rFonts w:ascii="Times New Roman" w:hAnsi="Times New Roman" w:cs="Times New Roman"/>
          <w:color w:val="auto"/>
          <w:szCs w:val="21"/>
        </w:rPr>
        <w:t xml:space="preserve">]. </w:t>
      </w:r>
      <w:bookmarkStart w:id="4" w:name="OLE_LINK4"/>
      <w:r>
        <w:rPr>
          <w:rFonts w:ascii="Times New Roman" w:hAnsi="Times New Roman" w:eastAsia="宋体" w:cs="Times New Roman"/>
          <w:color w:val="auto"/>
          <w:szCs w:val="21"/>
          <w:shd w:val="clear" w:color="auto" w:fill="FFFFFF"/>
        </w:rPr>
        <w:t>There are two distinct scenarios</w:t>
      </w:r>
      <w:r>
        <w:rPr>
          <w:rFonts w:hint="eastAsia" w:ascii="Times New Roman" w:hAnsi="Times New Roman" w:eastAsia="宋体" w:cs="Times New Roman"/>
          <w:color w:val="auto"/>
          <w:szCs w:val="21"/>
          <w:shd w:val="clear" w:color="auto" w:fill="FFFFFF"/>
        </w:rPr>
        <w:t xml:space="preserve"> </w:t>
      </w:r>
      <w:r>
        <w:rPr>
          <w:rFonts w:ascii="Times New Roman" w:hAnsi="Times New Roman" w:eastAsia="宋体" w:cs="Times New Roman"/>
          <w:color w:val="auto"/>
          <w:szCs w:val="21"/>
          <w:shd w:val="clear" w:color="auto" w:fill="FFFFFF"/>
        </w:rPr>
        <w:t xml:space="preserve">that warrant follow-up CAG in the present study. A short-term CAG follow-up (stent implantation time &lt; 1 year) should be conducted as a scheduled postoperative evaluation after stent implantation or </w:t>
      </w:r>
      <w:r>
        <w:rPr>
          <w:rFonts w:ascii="Times New Roman" w:hAnsi="Times New Roman" w:cs="Times New Roman"/>
          <w:color w:val="auto"/>
          <w:szCs w:val="21"/>
        </w:rPr>
        <w:t>evidence of myocardial ischemia</w:t>
      </w:r>
      <w:r>
        <w:rPr>
          <w:rFonts w:ascii="Times New Roman" w:hAnsi="Times New Roman" w:eastAsia="宋体" w:cs="Times New Roman"/>
          <w:color w:val="auto"/>
          <w:szCs w:val="21"/>
          <w:shd w:val="clear" w:color="auto" w:fill="FFFFFF"/>
        </w:rPr>
        <w:t xml:space="preserve">. In addition, a long-term CAG follow-up (stent implantation time &gt; 1 year) should be performed as part of routine surveillance after treatment of other lesions </w:t>
      </w:r>
      <w:r>
        <w:rPr>
          <w:rFonts w:ascii="Times New Roman" w:hAnsi="Times New Roman" w:cs="Times New Roman"/>
          <w:color w:val="auto"/>
          <w:szCs w:val="21"/>
        </w:rPr>
        <w:t>or evidence of myocardial ischemia</w:t>
      </w:r>
      <w:r>
        <w:rPr>
          <w:rFonts w:hint="eastAsia" w:ascii="Times New Roman" w:hAnsi="Times New Roman" w:cs="Times New Roman"/>
          <w:color w:val="auto"/>
          <w:szCs w:val="21"/>
        </w:rPr>
        <w:t xml:space="preserve"> </w:t>
      </w:r>
      <w:r>
        <w:rPr>
          <w:rFonts w:ascii="Times New Roman" w:hAnsi="Times New Roman" w:cs="Times New Roman"/>
          <w:color w:val="auto"/>
          <w:szCs w:val="21"/>
        </w:rPr>
        <w:t>[</w:t>
      </w:r>
      <w:r>
        <w:rPr>
          <w:color w:val="auto"/>
        </w:rPr>
        <w:fldChar w:fldCharType="begin"/>
      </w:r>
      <w:r>
        <w:rPr>
          <w:color w:val="auto"/>
        </w:rPr>
        <w:instrText xml:space="preserve"> HYPERLINK \l "Reference1" </w:instrText>
      </w:r>
      <w:r>
        <w:rPr>
          <w:color w:val="auto"/>
        </w:rPr>
        <w:fldChar w:fldCharType="separate"/>
      </w:r>
      <w:r>
        <w:rPr>
          <w:rStyle w:val="13"/>
          <w:rFonts w:ascii="Times New Roman" w:hAnsi="Times New Roman" w:cs="Times New Roman"/>
          <w:color w:val="auto"/>
          <w:szCs w:val="21"/>
          <w:u w:val="none"/>
        </w:rPr>
        <w:t>1</w:t>
      </w:r>
      <w:r>
        <w:rPr>
          <w:rStyle w:val="13"/>
          <w:rFonts w:ascii="Times New Roman" w:hAnsi="Times New Roman" w:cs="Times New Roman"/>
          <w:color w:val="auto"/>
          <w:szCs w:val="21"/>
          <w:u w:val="none"/>
        </w:rPr>
        <w:fldChar w:fldCharType="end"/>
      </w:r>
      <w:r>
        <w:rPr>
          <w:rFonts w:ascii="Times New Roman" w:hAnsi="Times New Roman" w:cs="Times New Roman"/>
          <w:color w:val="auto"/>
          <w:szCs w:val="21"/>
        </w:rPr>
        <w:t xml:space="preserve">, </w:t>
      </w:r>
      <w:r>
        <w:rPr>
          <w:color w:val="auto"/>
        </w:rPr>
        <w:fldChar w:fldCharType="begin"/>
      </w:r>
      <w:r>
        <w:rPr>
          <w:color w:val="auto"/>
        </w:rPr>
        <w:instrText xml:space="preserve"> HYPERLINK \l "Reference2" </w:instrText>
      </w:r>
      <w:r>
        <w:rPr>
          <w:color w:val="auto"/>
        </w:rPr>
        <w:fldChar w:fldCharType="separate"/>
      </w:r>
      <w:r>
        <w:rPr>
          <w:rStyle w:val="13"/>
          <w:rFonts w:ascii="Times New Roman" w:hAnsi="Times New Roman" w:cs="Times New Roman"/>
          <w:color w:val="auto"/>
          <w:szCs w:val="21"/>
          <w:u w:val="none"/>
        </w:rPr>
        <w:t>2</w:t>
      </w:r>
      <w:r>
        <w:rPr>
          <w:rStyle w:val="13"/>
          <w:rFonts w:ascii="Times New Roman" w:hAnsi="Times New Roman" w:cs="Times New Roman"/>
          <w:color w:val="auto"/>
          <w:szCs w:val="21"/>
          <w:u w:val="none"/>
        </w:rPr>
        <w:fldChar w:fldCharType="end"/>
      </w:r>
      <w:r>
        <w:rPr>
          <w:rFonts w:ascii="Times New Roman" w:hAnsi="Times New Roman" w:cs="Times New Roman"/>
          <w:color w:val="auto"/>
          <w:szCs w:val="21"/>
        </w:rPr>
        <w:t>].</w:t>
      </w:r>
    </w:p>
    <w:p>
      <w:pPr>
        <w:snapToGrid w:val="0"/>
        <w:spacing w:line="360" w:lineRule="auto"/>
        <w:contextualSpacing/>
        <w:rPr>
          <w:rFonts w:ascii="Times New Roman" w:hAnsi="Times New Roman" w:cs="Times New Roman"/>
          <w:color w:val="auto"/>
          <w:szCs w:val="21"/>
        </w:rPr>
      </w:pPr>
    </w:p>
    <w:bookmarkEnd w:id="4"/>
    <w:p>
      <w:pPr>
        <w:numPr>
          <w:ilvl w:val="12"/>
          <w:numId w:val="0"/>
        </w:numPr>
        <w:snapToGrid w:val="0"/>
        <w:spacing w:line="360" w:lineRule="auto"/>
        <w:contextualSpacing/>
        <w:rPr>
          <w:rFonts w:ascii="Times New Roman" w:hAnsi="Times New Roman" w:eastAsia="黑体" w:cs="Times New Roman"/>
          <w:b/>
          <w:color w:val="auto"/>
          <w:szCs w:val="21"/>
        </w:rPr>
      </w:pPr>
      <w:r>
        <w:rPr>
          <w:rFonts w:ascii="Times New Roman" w:hAnsi="Times New Roman" w:eastAsia="黑体" w:cs="Times New Roman"/>
          <w:b/>
          <w:color w:val="auto"/>
          <w:szCs w:val="21"/>
        </w:rPr>
        <w:t xml:space="preserve">3.  Quantitative coronary angiographic </w:t>
      </w:r>
      <w:bookmarkStart w:id="5" w:name="OLE_LINK1"/>
      <w:r>
        <w:rPr>
          <w:rFonts w:ascii="Times New Roman" w:hAnsi="Times New Roman" w:eastAsia="黑体" w:cs="Times New Roman"/>
          <w:b/>
          <w:color w:val="auto"/>
          <w:szCs w:val="21"/>
        </w:rPr>
        <w:t>analysis</w:t>
      </w:r>
      <w:bookmarkEnd w:id="5"/>
    </w:p>
    <w:p>
      <w:pPr>
        <w:snapToGrid w:val="0"/>
        <w:spacing w:line="360" w:lineRule="auto"/>
        <w:contextualSpacing/>
        <w:rPr>
          <w:rFonts w:ascii="Times New Roman" w:hAnsi="Times New Roman" w:cs="Times New Roman"/>
          <w:color w:val="auto"/>
          <w:szCs w:val="21"/>
        </w:rPr>
      </w:pPr>
      <w:r>
        <w:rPr>
          <w:rFonts w:ascii="Times New Roman" w:hAnsi="Times New Roman" w:cs="Times New Roman"/>
          <w:color w:val="auto"/>
          <w:szCs w:val="21"/>
        </w:rPr>
        <w:t xml:space="preserve">Lesion length, reference vessel diameter, </w:t>
      </w:r>
      <w:bookmarkStart w:id="6" w:name="_Hlk124148084"/>
      <w:r>
        <w:rPr>
          <w:rFonts w:ascii="Times New Roman" w:hAnsi="Times New Roman" w:cs="Times New Roman"/>
          <w:color w:val="auto"/>
          <w:szCs w:val="21"/>
        </w:rPr>
        <w:t xml:space="preserve">minimal lumen diameter </w:t>
      </w:r>
      <w:bookmarkEnd w:id="6"/>
      <w:r>
        <w:rPr>
          <w:rFonts w:ascii="Times New Roman" w:hAnsi="Times New Roman" w:cs="Times New Roman"/>
          <w:color w:val="auto"/>
          <w:szCs w:val="21"/>
        </w:rPr>
        <w:t>(MLD), and diameter stenosis were analyzed using quantitative coronary analysis (QCA) software (Artis VC21C, Siemens AG, Berlin, and Munich). The angiographic pattern of ISR was classified according to Mehran’s classification</w:t>
      </w:r>
      <w:r>
        <w:rPr>
          <w:rFonts w:hint="eastAsia" w:ascii="Times New Roman" w:hAnsi="Times New Roman" w:cs="Times New Roman"/>
          <w:color w:val="auto"/>
          <w:szCs w:val="21"/>
        </w:rPr>
        <w:t xml:space="preserve"> </w:t>
      </w:r>
      <w:r>
        <w:rPr>
          <w:rFonts w:ascii="Times New Roman" w:hAnsi="Times New Roman" w:cs="Times New Roman"/>
          <w:color w:val="auto"/>
          <w:szCs w:val="21"/>
        </w:rPr>
        <w:t>[</w:t>
      </w:r>
      <w:r>
        <w:rPr>
          <w:color w:val="auto"/>
        </w:rPr>
        <w:fldChar w:fldCharType="begin"/>
      </w:r>
      <w:r>
        <w:rPr>
          <w:color w:val="auto"/>
        </w:rPr>
        <w:instrText xml:space="preserve"> HYPERLINK \l "Reference3" </w:instrText>
      </w:r>
      <w:r>
        <w:rPr>
          <w:color w:val="auto"/>
        </w:rPr>
        <w:fldChar w:fldCharType="separate"/>
      </w:r>
      <w:r>
        <w:rPr>
          <w:rStyle w:val="13"/>
          <w:rFonts w:ascii="Times New Roman" w:hAnsi="Times New Roman" w:cs="Times New Roman"/>
          <w:color w:val="auto"/>
          <w:szCs w:val="21"/>
          <w:u w:val="none"/>
        </w:rPr>
        <w:t>3</w:t>
      </w:r>
      <w:r>
        <w:rPr>
          <w:rStyle w:val="13"/>
          <w:rFonts w:ascii="Times New Roman" w:hAnsi="Times New Roman" w:cs="Times New Roman"/>
          <w:color w:val="auto"/>
          <w:szCs w:val="21"/>
          <w:u w:val="none"/>
        </w:rPr>
        <w:fldChar w:fldCharType="end"/>
      </w:r>
      <w:r>
        <w:rPr>
          <w:rFonts w:ascii="Times New Roman" w:hAnsi="Times New Roman" w:cs="Times New Roman"/>
          <w:color w:val="auto"/>
          <w:szCs w:val="21"/>
        </w:rPr>
        <w:t>]. The QCA</w:t>
      </w:r>
      <w:r>
        <w:rPr>
          <w:rFonts w:hint="eastAsia" w:ascii="Times New Roman" w:hAnsi="Times New Roman" w:cs="Times New Roman"/>
          <w:color w:val="auto"/>
          <w:szCs w:val="21"/>
        </w:rPr>
        <w:t xml:space="preserve"> analysis</w:t>
      </w:r>
      <w:r>
        <w:rPr>
          <w:rFonts w:ascii="Times New Roman" w:hAnsi="Times New Roman" w:cs="Times New Roman"/>
          <w:color w:val="auto"/>
          <w:szCs w:val="21"/>
        </w:rPr>
        <w:t xml:space="preserve"> was performed by two experienced coronary intervention professionals who were blinded to the clinical data of the patients.</w:t>
      </w:r>
    </w:p>
    <w:p>
      <w:pPr>
        <w:snapToGrid w:val="0"/>
        <w:spacing w:line="360" w:lineRule="auto"/>
        <w:contextualSpacing/>
        <w:rPr>
          <w:rFonts w:ascii="Times New Roman" w:hAnsi="Times New Roman" w:cs="Times New Roman"/>
          <w:color w:val="auto"/>
          <w:szCs w:val="21"/>
        </w:rPr>
      </w:pPr>
    </w:p>
    <w:p>
      <w:pPr>
        <w:numPr>
          <w:ilvl w:val="12"/>
          <w:numId w:val="0"/>
        </w:numPr>
        <w:snapToGrid w:val="0"/>
        <w:spacing w:line="360" w:lineRule="auto"/>
        <w:contextualSpacing/>
        <w:rPr>
          <w:rFonts w:ascii="Times New Roman" w:hAnsi="Times New Roman" w:cs="Times New Roman"/>
          <w:color w:val="auto"/>
          <w:szCs w:val="21"/>
        </w:rPr>
      </w:pPr>
      <w:r>
        <w:rPr>
          <w:rFonts w:ascii="Times New Roman" w:hAnsi="Times New Roman" w:eastAsia="黑体" w:cs="Times New Roman"/>
          <w:b/>
          <w:color w:val="auto"/>
          <w:szCs w:val="21"/>
        </w:rPr>
        <w:t>4.   OCT image acquisition and analysis</w:t>
      </w:r>
    </w:p>
    <w:p>
      <w:pPr>
        <w:widowControl/>
        <w:snapToGrid w:val="0"/>
        <w:spacing w:line="360" w:lineRule="auto"/>
        <w:contextualSpacing/>
        <w:rPr>
          <w:rStyle w:val="25"/>
          <w:color w:val="auto"/>
          <w:sz w:val="21"/>
          <w:szCs w:val="21"/>
        </w:rPr>
      </w:pPr>
      <w:r>
        <w:rPr>
          <w:rFonts w:ascii="Times New Roman" w:hAnsi="Times New Roman" w:cs="Times New Roman"/>
          <w:color w:val="auto"/>
          <w:szCs w:val="21"/>
        </w:rPr>
        <w:t xml:space="preserve">OCT images of all ISR lesions were obtained using the frequency-domain OCT C7XR/ILUMIEN/ILUMIEN OPTIS intracavitary imaging system (St. Jude Medical, St. Paul, MN, USA). All images in this study were analyzed offline by LightLab OCT imaging Inc., Westford, MA, USA (Light Lab imaging Inc., Westford, MA, USA). All cross-sectional images were preliminarily assessed qualitatively and excluded from the analysis if any part of the stent was outside the field of view, side branches were present, or image quality was poor due to incomplete blood clearance or artifacts. Qualitative analysis was performed for each frame, while quantitative analysis was performed every 1 mm along the entire stent segment. All OCT analysis reports were reviewed by two technicians blinded to patients’ CAG and clinical data. </w:t>
      </w:r>
      <w:r>
        <w:rPr>
          <w:rStyle w:val="25"/>
          <w:color w:val="auto"/>
          <w:sz w:val="21"/>
          <w:szCs w:val="21"/>
        </w:rPr>
        <w:t xml:space="preserve">If there were disagreements between the two </w:t>
      </w:r>
      <w:r>
        <w:rPr>
          <w:rFonts w:ascii="Times New Roman" w:hAnsi="Times New Roman" w:cs="Times New Roman"/>
          <w:color w:val="auto"/>
          <w:szCs w:val="21"/>
        </w:rPr>
        <w:t>technicians</w:t>
      </w:r>
      <w:r>
        <w:rPr>
          <w:rStyle w:val="25"/>
          <w:color w:val="auto"/>
          <w:sz w:val="21"/>
          <w:szCs w:val="21"/>
        </w:rPr>
        <w:t>, a third analyst read the images independently and reached a consensus.</w:t>
      </w:r>
    </w:p>
    <w:p>
      <w:pPr>
        <w:widowControl/>
        <w:snapToGrid w:val="0"/>
        <w:spacing w:line="360" w:lineRule="auto"/>
        <w:contextualSpacing/>
        <w:rPr>
          <w:rStyle w:val="25"/>
          <w:color w:val="auto"/>
          <w:sz w:val="21"/>
          <w:szCs w:val="21"/>
        </w:rPr>
      </w:pPr>
    </w:p>
    <w:p>
      <w:pPr>
        <w:numPr>
          <w:ilvl w:val="12"/>
          <w:numId w:val="0"/>
        </w:numPr>
        <w:snapToGrid w:val="0"/>
        <w:spacing w:line="360" w:lineRule="auto"/>
        <w:contextualSpacing/>
        <w:rPr>
          <w:rFonts w:ascii="Times New Roman" w:hAnsi="Times New Roman" w:cs="Times New Roman"/>
          <w:color w:val="auto"/>
          <w:szCs w:val="21"/>
        </w:rPr>
      </w:pPr>
      <w:r>
        <w:rPr>
          <w:rFonts w:ascii="Times New Roman" w:hAnsi="Times New Roman" w:cs="Times New Roman"/>
          <w:b/>
          <w:bCs/>
          <w:color w:val="auto"/>
          <w:szCs w:val="21"/>
        </w:rPr>
        <w:t xml:space="preserve">5.  Definition of neointima morphology by optical coherence </w:t>
      </w:r>
      <w:r>
        <w:rPr>
          <w:rFonts w:hint="eastAsia" w:ascii="Times New Roman" w:hAnsi="Times New Roman" w:cs="Times New Roman"/>
          <w:b/>
          <w:bCs/>
          <w:color w:val="auto"/>
          <w:szCs w:val="21"/>
        </w:rPr>
        <w:t>t</w:t>
      </w:r>
      <w:r>
        <w:rPr>
          <w:rFonts w:ascii="Times New Roman" w:hAnsi="Times New Roman" w:cs="Times New Roman"/>
          <w:b/>
          <w:bCs/>
          <w:color w:val="auto"/>
          <w:szCs w:val="21"/>
        </w:rPr>
        <w:t xml:space="preserve">omography (OCT) </w:t>
      </w:r>
    </w:p>
    <w:p>
      <w:pPr>
        <w:snapToGrid w:val="0"/>
        <w:spacing w:line="360" w:lineRule="auto"/>
        <w:contextualSpacing/>
        <w:rPr>
          <w:rFonts w:ascii="Times New Roman" w:hAnsi="Times New Roman" w:cs="Times New Roman"/>
          <w:color w:val="auto"/>
          <w:szCs w:val="21"/>
        </w:rPr>
      </w:pPr>
      <w:r>
        <w:rPr>
          <w:rFonts w:ascii="Times New Roman" w:hAnsi="Times New Roman" w:eastAsia="黑体" w:cs="Times New Roman"/>
          <w:bCs/>
          <w:color w:val="auto"/>
          <w:szCs w:val="21"/>
        </w:rPr>
        <w:t xml:space="preserve">The </w:t>
      </w:r>
      <w:r>
        <w:rPr>
          <w:rFonts w:ascii="Times New Roman" w:hAnsi="Times New Roman" w:cs="Times New Roman"/>
          <w:bCs/>
          <w:color w:val="auto"/>
          <w:szCs w:val="21"/>
        </w:rPr>
        <w:t>neo</w:t>
      </w:r>
      <w:r>
        <w:rPr>
          <w:rFonts w:ascii="Times New Roman" w:hAnsi="Times New Roman" w:cs="Times New Roman"/>
          <w:color w:val="auto"/>
          <w:szCs w:val="21"/>
        </w:rPr>
        <w:t>intima was defined as the tissue between the vascular lumen's margin and the stent trabeculae's inner edge. The neointimal area was calculated as the difference between the stent and lumen areas. The neointimal burden was calculated as [neointimal area ×100] ÷ stent area. A homogenous neointima was defined as an area within the intima with a uniform signal-rich band without focal variation or attenuation. A heterogeneous neointima was defined as the area in the intima with focally changing optical properties and various backscattering patterns.</w:t>
      </w:r>
    </w:p>
    <w:p>
      <w:pPr>
        <w:snapToGrid w:val="0"/>
        <w:spacing w:line="360" w:lineRule="auto"/>
        <w:ind w:firstLine="420" w:firstLineChars="200"/>
        <w:contextualSpacing/>
        <w:rPr>
          <w:rFonts w:ascii="Times New Roman" w:hAnsi="Times New Roman" w:cs="Times New Roman"/>
          <w:color w:val="auto"/>
          <w:szCs w:val="21"/>
        </w:rPr>
      </w:pPr>
      <w:r>
        <w:rPr>
          <w:rFonts w:ascii="Times New Roman" w:hAnsi="Times New Roman" w:cs="Times New Roman"/>
          <w:color w:val="auto"/>
          <w:szCs w:val="21"/>
        </w:rPr>
        <w:t>Plaque rupture was defined as the discontinuity of the fibrous cap of a lipid plaque, accompanied by the formation of a cavity.</w:t>
      </w:r>
      <w:r>
        <w:rPr>
          <w:rFonts w:hint="eastAsia" w:ascii="Times New Roman" w:hAnsi="Times New Roman" w:cs="Times New Roman"/>
          <w:color w:val="auto"/>
          <w:szCs w:val="21"/>
          <w:lang w:val="en-US" w:eastAsia="zh-CN"/>
        </w:rPr>
        <w:t xml:space="preserve"> </w:t>
      </w:r>
      <w:r>
        <w:rPr>
          <w:rFonts w:ascii="Times New Roman" w:hAnsi="Times New Roman" w:cs="Times New Roman"/>
          <w:color w:val="auto"/>
          <w:szCs w:val="21"/>
        </w:rPr>
        <w:t xml:space="preserve">A red thrombus was defined as a tissue image with a weak signal and high backscattering with shadows. A white thrombus was defined as a tissue image with a strong signal and low backscattering without shadows. TCFA </w:t>
      </w:r>
      <w:r>
        <w:rPr>
          <w:rFonts w:hint="eastAsia" w:ascii="Times New Roman" w:hAnsi="Times New Roman" w:cs="Times New Roman"/>
          <w:color w:val="auto"/>
          <w:szCs w:val="21"/>
        </w:rPr>
        <w:t>was</w:t>
      </w:r>
      <w:r>
        <w:rPr>
          <w:rFonts w:ascii="Times New Roman" w:hAnsi="Times New Roman" w:cs="Times New Roman"/>
          <w:color w:val="auto"/>
          <w:szCs w:val="21"/>
        </w:rPr>
        <w:t xml:space="preserve"> described as lipid-rich neointima with a fibrous cap thickness at the thinnest part &lt;65 μm and</w:t>
      </w:r>
      <w:bookmarkStart w:id="7" w:name="OLE_LINK8"/>
      <w:r>
        <w:rPr>
          <w:rFonts w:ascii="Times New Roman" w:hAnsi="Times New Roman" w:cs="Times New Roman"/>
          <w:color w:val="auto"/>
          <w:szCs w:val="21"/>
        </w:rPr>
        <w:t xml:space="preserve"> lipid arc</w:t>
      </w:r>
      <w:r>
        <w:rPr>
          <w:rFonts w:hint="eastAsia" w:ascii="Times New Roman" w:hAnsi="Times New Roman" w:cs="Times New Roman"/>
          <w:color w:val="auto"/>
          <w:szCs w:val="21"/>
        </w:rPr>
        <w:t xml:space="preserve"> </w:t>
      </w:r>
      <w:bookmarkEnd w:id="7"/>
      <w:r>
        <w:rPr>
          <w:rFonts w:ascii="Times New Roman" w:hAnsi="Times New Roman" w:cs="Times New Roman"/>
          <w:color w:val="auto"/>
          <w:szCs w:val="21"/>
        </w:rPr>
        <w:t xml:space="preserve">&gt;180°. </w:t>
      </w:r>
      <w:r>
        <w:rPr>
          <w:rFonts w:ascii="Times New Roman" w:hAnsi="Times New Roman" w:eastAsia="宋体" w:cs="Times New Roman"/>
          <w:color w:val="auto"/>
          <w:szCs w:val="21"/>
          <w:shd w:val="clear" w:color="auto" w:fill="FFFFFF"/>
          <w:lang w:bidi="ar"/>
        </w:rPr>
        <w:t xml:space="preserve">Plaque erosion </w:t>
      </w:r>
      <w:r>
        <w:rPr>
          <w:rFonts w:ascii="Times New Roman" w:hAnsi="Times New Roman" w:eastAsia="宋体" w:cs="Times New Roman"/>
          <w:color w:val="auto"/>
          <w:szCs w:val="21"/>
          <w:lang w:bidi="ar"/>
        </w:rPr>
        <w:t xml:space="preserve">was defined as an intact fibrous cap without plaque rupture accompanied by thrombosis and an identifiable plaque structure under the thrombosis or an intact fibrous cap, absence of thrombosis in </w:t>
      </w:r>
      <w:r>
        <w:rPr>
          <w:rFonts w:ascii="Times New Roman" w:hAnsi="Times New Roman" w:eastAsia="宋体" w:cs="Times New Roman"/>
          <w:color w:val="auto"/>
          <w:szCs w:val="21"/>
          <w:shd w:val="clear" w:color="auto" w:fill="FFFFFF"/>
          <w:lang w:bidi="ar"/>
        </w:rPr>
        <w:t xml:space="preserve">the culprit lesion, irregular luminal surface or presence of thrombosis at the lesion, indistinct plaque structure at the thrombus, and absence of superficial lipids or calcification proximal or distal to the thrombus </w:t>
      </w:r>
      <w:r>
        <w:rPr>
          <w:rFonts w:hint="eastAsia" w:ascii="Times New Roman" w:hAnsi="Times New Roman" w:eastAsia="宋体" w:cs="Times New Roman"/>
          <w:color w:val="auto"/>
          <w:szCs w:val="21"/>
          <w:shd w:val="clear" w:color="auto" w:fill="FFFFFF"/>
          <w:lang w:bidi="ar"/>
        </w:rPr>
        <w:t>[</w:t>
      </w:r>
      <w:r>
        <w:rPr>
          <w:color w:val="auto"/>
        </w:rPr>
        <w:fldChar w:fldCharType="begin"/>
      </w:r>
      <w:r>
        <w:rPr>
          <w:color w:val="auto"/>
        </w:rPr>
        <w:instrText xml:space="preserve"> HYPERLINK \l "Reference4" </w:instrText>
      </w:r>
      <w:r>
        <w:rPr>
          <w:color w:val="auto"/>
        </w:rPr>
        <w:fldChar w:fldCharType="separate"/>
      </w:r>
      <w:r>
        <w:rPr>
          <w:rStyle w:val="13"/>
          <w:rFonts w:hint="eastAsia" w:ascii="Times New Roman" w:hAnsi="Times New Roman" w:eastAsia="宋体" w:cs="Times New Roman"/>
          <w:color w:val="auto"/>
          <w:szCs w:val="21"/>
          <w:u w:val="none"/>
          <w:shd w:val="clear" w:color="auto" w:fill="FFFFFF"/>
          <w:lang w:bidi="ar"/>
        </w:rPr>
        <w:t>4</w:t>
      </w:r>
      <w:r>
        <w:rPr>
          <w:rStyle w:val="13"/>
          <w:rFonts w:hint="eastAsia" w:ascii="Times New Roman" w:hAnsi="Times New Roman" w:eastAsia="宋体" w:cs="Times New Roman"/>
          <w:color w:val="auto"/>
          <w:szCs w:val="21"/>
          <w:u w:val="none"/>
          <w:shd w:val="clear" w:color="auto" w:fill="FFFFFF"/>
          <w:lang w:bidi="ar"/>
        </w:rPr>
        <w:fldChar w:fldCharType="end"/>
      </w:r>
      <w:r>
        <w:rPr>
          <w:rFonts w:hint="eastAsia" w:ascii="Times New Roman" w:hAnsi="Times New Roman" w:eastAsia="宋体" w:cs="Times New Roman"/>
          <w:color w:val="auto"/>
          <w:szCs w:val="21"/>
          <w:shd w:val="clear" w:color="auto" w:fill="FFFFFF"/>
          <w:lang w:bidi="ar"/>
        </w:rPr>
        <w:t xml:space="preserve">]. </w:t>
      </w:r>
      <w:r>
        <w:rPr>
          <w:rFonts w:ascii="Times New Roman" w:hAnsi="Times New Roman" w:cs="Times New Roman"/>
          <w:color w:val="auto"/>
          <w:szCs w:val="21"/>
        </w:rPr>
        <w:t>Macrophages were characterized as having specular or banded structures with high reflection, and strong attenuation on OCT images and radiate shadows often formed behind the specular region with a high signal</w:t>
      </w:r>
      <w:r>
        <w:rPr>
          <w:rFonts w:hint="eastAsia" w:ascii="Times New Roman" w:hAnsi="Times New Roman" w:cs="Times New Roman"/>
          <w:color w:val="auto"/>
          <w:szCs w:val="21"/>
        </w:rPr>
        <w:t xml:space="preserve"> </w:t>
      </w:r>
      <w:r>
        <w:rPr>
          <w:rFonts w:ascii="Times New Roman" w:hAnsi="Times New Roman" w:cs="Times New Roman"/>
          <w:color w:val="auto"/>
          <w:szCs w:val="21"/>
        </w:rPr>
        <w:t>[</w:t>
      </w:r>
      <w:r>
        <w:rPr>
          <w:color w:val="auto"/>
        </w:rPr>
        <w:fldChar w:fldCharType="begin"/>
      </w:r>
      <w:r>
        <w:rPr>
          <w:color w:val="auto"/>
        </w:rPr>
        <w:instrText xml:space="preserve"> HYPERLINK \l "Reference5" </w:instrText>
      </w:r>
      <w:r>
        <w:rPr>
          <w:color w:val="auto"/>
        </w:rPr>
        <w:fldChar w:fldCharType="separate"/>
      </w:r>
      <w:r>
        <w:rPr>
          <w:rStyle w:val="13"/>
          <w:rFonts w:ascii="Times New Roman" w:hAnsi="Times New Roman" w:cs="Times New Roman"/>
          <w:color w:val="auto"/>
          <w:szCs w:val="21"/>
          <w:u w:val="none"/>
        </w:rPr>
        <w:t>5</w:t>
      </w:r>
      <w:r>
        <w:rPr>
          <w:rStyle w:val="13"/>
          <w:rFonts w:ascii="Times New Roman" w:hAnsi="Times New Roman" w:cs="Times New Roman"/>
          <w:color w:val="auto"/>
          <w:szCs w:val="21"/>
          <w:u w:val="none"/>
        </w:rPr>
        <w:fldChar w:fldCharType="end"/>
      </w:r>
      <w:r>
        <w:rPr>
          <w:rFonts w:ascii="Times New Roman" w:hAnsi="Times New Roman" w:cs="Times New Roman"/>
          <w:color w:val="auto"/>
          <w:szCs w:val="21"/>
        </w:rPr>
        <w:t>]. Peri-low intensity area (PLIA) was defined as the area around the stent strut with a uniformly lower intensity appearance than the surrounding tissue on OCT images without significant signal attenuation behind this area</w:t>
      </w:r>
      <w:r>
        <w:rPr>
          <w:rFonts w:hint="eastAsia" w:ascii="Times New Roman" w:hAnsi="Times New Roman" w:cs="Times New Roman"/>
          <w:color w:val="auto"/>
          <w:szCs w:val="21"/>
        </w:rPr>
        <w:t xml:space="preserve"> </w:t>
      </w:r>
      <w:r>
        <w:rPr>
          <w:rFonts w:ascii="Times New Roman" w:hAnsi="Times New Roman" w:cs="Times New Roman"/>
          <w:color w:val="auto"/>
          <w:szCs w:val="21"/>
        </w:rPr>
        <w:t>[</w:t>
      </w:r>
      <w:r>
        <w:rPr>
          <w:color w:val="auto"/>
        </w:rPr>
        <w:fldChar w:fldCharType="begin"/>
      </w:r>
      <w:r>
        <w:rPr>
          <w:color w:val="auto"/>
        </w:rPr>
        <w:instrText xml:space="preserve"> HYPERLINK \l "Reference6" </w:instrText>
      </w:r>
      <w:r>
        <w:rPr>
          <w:color w:val="auto"/>
        </w:rPr>
        <w:fldChar w:fldCharType="separate"/>
      </w:r>
      <w:r>
        <w:rPr>
          <w:rStyle w:val="13"/>
          <w:rFonts w:ascii="Times New Roman" w:hAnsi="Times New Roman" w:cs="Times New Roman"/>
          <w:color w:val="auto"/>
          <w:szCs w:val="21"/>
          <w:u w:val="none"/>
        </w:rPr>
        <w:t>6</w:t>
      </w:r>
      <w:r>
        <w:rPr>
          <w:rStyle w:val="13"/>
          <w:rFonts w:ascii="Times New Roman" w:hAnsi="Times New Roman" w:cs="Times New Roman"/>
          <w:color w:val="auto"/>
          <w:szCs w:val="21"/>
          <w:u w:val="none"/>
        </w:rPr>
        <w:fldChar w:fldCharType="end"/>
      </w:r>
      <w:r>
        <w:rPr>
          <w:rFonts w:ascii="Times New Roman" w:hAnsi="Times New Roman" w:cs="Times New Roman"/>
          <w:color w:val="auto"/>
          <w:szCs w:val="21"/>
        </w:rPr>
        <w:t xml:space="preserve">]. </w:t>
      </w:r>
      <w:bookmarkStart w:id="8" w:name="OLE_LINK7"/>
      <w:r>
        <w:rPr>
          <w:rFonts w:ascii="Times New Roman" w:hAnsi="Times New Roman" w:cs="Times New Roman"/>
          <w:color w:val="auto"/>
          <w:szCs w:val="21"/>
        </w:rPr>
        <w:t>Cholesterol crystals</w:t>
      </w:r>
      <w:bookmarkEnd w:id="8"/>
      <w:r>
        <w:rPr>
          <w:rFonts w:ascii="Times New Roman" w:hAnsi="Times New Roman" w:cs="Times New Roman"/>
          <w:color w:val="auto"/>
          <w:szCs w:val="21"/>
        </w:rPr>
        <w:t xml:space="preserve"> were defined as expanded cholesterol that crystallized when passing from a liquid to a solid state</w:t>
      </w:r>
      <w:r>
        <w:rPr>
          <w:rFonts w:hint="eastAsia" w:ascii="Times New Roman" w:hAnsi="Times New Roman" w:cs="Times New Roman"/>
          <w:color w:val="auto"/>
          <w:szCs w:val="21"/>
        </w:rPr>
        <w:t xml:space="preserve"> </w:t>
      </w:r>
      <w:r>
        <w:rPr>
          <w:rFonts w:ascii="Times New Roman" w:hAnsi="Times New Roman" w:cs="Times New Roman"/>
          <w:color w:val="auto"/>
          <w:szCs w:val="21"/>
        </w:rPr>
        <w:t>[</w:t>
      </w:r>
      <w:r>
        <w:rPr>
          <w:color w:val="auto"/>
        </w:rPr>
        <w:fldChar w:fldCharType="begin"/>
      </w:r>
      <w:r>
        <w:rPr>
          <w:color w:val="auto"/>
        </w:rPr>
        <w:instrText xml:space="preserve"> HYPERLINK \l "Reference7" </w:instrText>
      </w:r>
      <w:r>
        <w:rPr>
          <w:color w:val="auto"/>
        </w:rPr>
        <w:fldChar w:fldCharType="separate"/>
      </w:r>
      <w:r>
        <w:rPr>
          <w:rStyle w:val="13"/>
          <w:rFonts w:ascii="Times New Roman" w:hAnsi="Times New Roman" w:cs="Times New Roman"/>
          <w:color w:val="auto"/>
          <w:szCs w:val="21"/>
          <w:u w:val="none"/>
        </w:rPr>
        <w:t>7</w:t>
      </w:r>
      <w:r>
        <w:rPr>
          <w:rStyle w:val="13"/>
          <w:rFonts w:ascii="Times New Roman" w:hAnsi="Times New Roman" w:cs="Times New Roman"/>
          <w:color w:val="auto"/>
          <w:szCs w:val="21"/>
          <w:u w:val="none"/>
        </w:rPr>
        <w:fldChar w:fldCharType="end"/>
      </w:r>
      <w:r>
        <w:rPr>
          <w:rFonts w:ascii="Times New Roman" w:hAnsi="Times New Roman" w:cs="Times New Roman"/>
          <w:color w:val="auto"/>
          <w:szCs w:val="21"/>
        </w:rPr>
        <w:t>]. Layered intima was defined as intima with one or more layers of different optical densities, clearly demarcated from the underlying components</w:t>
      </w:r>
      <w:r>
        <w:rPr>
          <w:rFonts w:hint="eastAsia" w:ascii="Times New Roman" w:hAnsi="Times New Roman" w:cs="Times New Roman"/>
          <w:color w:val="auto"/>
          <w:szCs w:val="21"/>
        </w:rPr>
        <w:t xml:space="preserve"> </w:t>
      </w:r>
      <w:r>
        <w:rPr>
          <w:rFonts w:ascii="Times New Roman" w:hAnsi="Times New Roman" w:cs="Times New Roman"/>
          <w:color w:val="auto"/>
          <w:szCs w:val="21"/>
        </w:rPr>
        <w:t>[</w:t>
      </w:r>
      <w:r>
        <w:rPr>
          <w:color w:val="auto"/>
        </w:rPr>
        <w:fldChar w:fldCharType="begin"/>
      </w:r>
      <w:r>
        <w:rPr>
          <w:color w:val="auto"/>
        </w:rPr>
        <w:instrText xml:space="preserve"> HYPERLINK \l "Reference8" </w:instrText>
      </w:r>
      <w:r>
        <w:rPr>
          <w:color w:val="auto"/>
        </w:rPr>
        <w:fldChar w:fldCharType="separate"/>
      </w:r>
      <w:r>
        <w:rPr>
          <w:rStyle w:val="13"/>
          <w:rFonts w:ascii="Times New Roman" w:hAnsi="Times New Roman" w:cs="Times New Roman"/>
          <w:color w:val="auto"/>
          <w:szCs w:val="21"/>
          <w:u w:val="none"/>
        </w:rPr>
        <w:t>8</w:t>
      </w:r>
      <w:r>
        <w:rPr>
          <w:rStyle w:val="13"/>
          <w:rFonts w:ascii="Times New Roman" w:hAnsi="Times New Roman" w:cs="Times New Roman"/>
          <w:color w:val="auto"/>
          <w:szCs w:val="21"/>
          <w:u w:val="none"/>
        </w:rPr>
        <w:fldChar w:fldCharType="end"/>
      </w:r>
      <w:r>
        <w:rPr>
          <w:rFonts w:ascii="Times New Roman" w:hAnsi="Times New Roman" w:cs="Times New Roman"/>
          <w:color w:val="auto"/>
          <w:szCs w:val="21"/>
        </w:rPr>
        <w:t>].</w:t>
      </w:r>
    </w:p>
    <w:p>
      <w:pPr>
        <w:snapToGrid w:val="0"/>
        <w:spacing w:line="360" w:lineRule="auto"/>
        <w:ind w:firstLine="420" w:firstLineChars="200"/>
        <w:contextualSpacing/>
        <w:rPr>
          <w:rFonts w:ascii="Times New Roman" w:hAnsi="Times New Roman" w:cs="Times New Roman"/>
          <w:color w:val="auto"/>
          <w:szCs w:val="21"/>
        </w:rPr>
      </w:pPr>
    </w:p>
    <w:p>
      <w:pPr>
        <w:snapToGrid w:val="0"/>
        <w:spacing w:line="360" w:lineRule="auto"/>
        <w:contextualSpacing/>
        <w:rPr>
          <w:rFonts w:ascii="Times New Roman" w:hAnsi="Times New Roman" w:cs="Times New Roman"/>
          <w:color w:val="auto"/>
          <w:szCs w:val="21"/>
        </w:rPr>
      </w:pPr>
      <w:r>
        <w:rPr>
          <w:rFonts w:ascii="Times New Roman" w:hAnsi="Times New Roman" w:eastAsia="黑体" w:cs="Times New Roman"/>
          <w:b/>
          <w:color w:val="auto"/>
          <w:szCs w:val="21"/>
        </w:rPr>
        <w:t>6.  Statistical analysis</w:t>
      </w:r>
    </w:p>
    <w:p>
      <w:pPr>
        <w:snapToGrid w:val="0"/>
        <w:spacing w:line="360" w:lineRule="auto"/>
        <w:ind w:firstLine="420" w:firstLineChars="200"/>
        <w:contextualSpacing/>
        <w:rPr>
          <w:rFonts w:ascii="Times New Roman" w:hAnsi="Times New Roman" w:cs="Times New Roman"/>
          <w:color w:val="auto"/>
          <w:szCs w:val="21"/>
        </w:rPr>
      </w:pPr>
      <w:r>
        <w:rPr>
          <w:rFonts w:ascii="Times New Roman" w:hAnsi="Times New Roman" w:cs="Times New Roman"/>
          <w:color w:val="auto"/>
          <w:kern w:val="0"/>
          <w:szCs w:val="21"/>
        </w:rPr>
        <w:t xml:space="preserve">Data analysis in this study was performed using SPSS (version 20.0, IBM, Armonk, NY). Categorical data are presented as </w:t>
      </w:r>
      <w:r>
        <w:rPr>
          <w:rFonts w:ascii="Times New Roman" w:hAnsi="Times New Roman" w:eastAsia="Cambria" w:cs="Times New Roman"/>
          <w:color w:val="auto"/>
          <w:szCs w:val="21"/>
          <w:shd w:val="clear" w:color="auto" w:fill="FFFFFF"/>
        </w:rPr>
        <w:t>number</w:t>
      </w:r>
      <w:r>
        <w:rPr>
          <w:rFonts w:ascii="Times New Roman" w:hAnsi="Times New Roman" w:cs="Times New Roman"/>
          <w:color w:val="auto"/>
          <w:kern w:val="0"/>
          <w:szCs w:val="21"/>
        </w:rPr>
        <w:t xml:space="preserve">s (percentages), and differences between groups were compared using the chi-square test or Fisher’s exact test. The Kolmogorov–Smirnov test was used to evaluate the distribution of continuous data. Normally distributed continuous data </w:t>
      </w:r>
      <w:bookmarkStart w:id="9" w:name="OLE_LINK20"/>
      <w:r>
        <w:rPr>
          <w:rFonts w:ascii="Times New Roman" w:hAnsi="Times New Roman" w:cs="Times New Roman"/>
          <w:color w:val="auto"/>
          <w:kern w:val="0"/>
          <w:szCs w:val="21"/>
        </w:rPr>
        <w:t>are presented</w:t>
      </w:r>
      <w:bookmarkEnd w:id="9"/>
      <w:r>
        <w:rPr>
          <w:rFonts w:ascii="Times New Roman" w:hAnsi="Times New Roman" w:cs="Times New Roman"/>
          <w:color w:val="auto"/>
          <w:kern w:val="0"/>
          <w:szCs w:val="21"/>
        </w:rPr>
        <w:t xml:space="preserve"> as </w:t>
      </w:r>
      <w:r>
        <w:rPr>
          <w:rFonts w:ascii="Times New Roman" w:hAnsi="Times New Roman" w:eastAsia="Cambria" w:cs="Times New Roman"/>
          <w:color w:val="auto"/>
          <w:szCs w:val="21"/>
          <w:shd w:val="clear" w:color="auto" w:fill="FFFFFF"/>
        </w:rPr>
        <w:t>mean</w:t>
      </w:r>
      <w:r>
        <w:rPr>
          <w:rFonts w:ascii="Times New Roman" w:hAnsi="Times New Roman" w:cs="Times New Roman"/>
          <w:color w:val="auto"/>
          <w:szCs w:val="21"/>
          <w:shd w:val="clear" w:color="auto" w:fill="FFFFFF"/>
        </w:rPr>
        <w:t xml:space="preserve"> </w:t>
      </w:r>
      <w:r>
        <w:rPr>
          <w:rFonts w:ascii="Times New Roman" w:hAnsi="Times New Roman" w:eastAsia="Cambria" w:cs="Times New Roman"/>
          <w:color w:val="auto"/>
          <w:szCs w:val="21"/>
          <w:shd w:val="clear" w:color="auto" w:fill="FFFFFF"/>
        </w:rPr>
        <w:t>±</w:t>
      </w:r>
      <w:r>
        <w:rPr>
          <w:rFonts w:ascii="Times New Roman" w:hAnsi="Times New Roman" w:cs="Times New Roman"/>
          <w:color w:val="auto"/>
          <w:szCs w:val="21"/>
          <w:shd w:val="clear" w:color="auto" w:fill="FFFFFF"/>
        </w:rPr>
        <w:t xml:space="preserve"> </w:t>
      </w:r>
      <w:r>
        <w:rPr>
          <w:rFonts w:ascii="Times New Roman" w:hAnsi="Times New Roman" w:eastAsia="Cambria" w:cs="Times New Roman"/>
          <w:color w:val="auto"/>
          <w:szCs w:val="21"/>
          <w:shd w:val="clear" w:color="auto" w:fill="FFFFFF"/>
        </w:rPr>
        <w:t>standard deviation</w:t>
      </w:r>
      <w:r>
        <w:rPr>
          <w:rFonts w:ascii="Times New Roman" w:hAnsi="Times New Roman" w:cs="Times New Roman"/>
          <w:color w:val="auto"/>
          <w:szCs w:val="21"/>
          <w:shd w:val="clear" w:color="auto" w:fill="FFFFFF"/>
        </w:rPr>
        <w:t xml:space="preserve"> (</w:t>
      </w:r>
      <w:r>
        <w:rPr>
          <w:rFonts w:ascii="Times New Roman" w:hAnsi="Times New Roman" w:eastAsia="Cambria" w:cs="Times New Roman"/>
          <w:color w:val="auto"/>
          <w:szCs w:val="21"/>
          <w:shd w:val="clear" w:color="auto" w:fill="FFFFFF"/>
        </w:rPr>
        <w:t>SD</w:t>
      </w:r>
      <w:r>
        <w:rPr>
          <w:rFonts w:ascii="Times New Roman" w:hAnsi="Times New Roman" w:cs="Times New Roman"/>
          <w:color w:val="auto"/>
          <w:szCs w:val="21"/>
          <w:shd w:val="clear" w:color="auto" w:fill="FFFFFF"/>
        </w:rPr>
        <w:t>)</w:t>
      </w:r>
      <w:r>
        <w:rPr>
          <w:rFonts w:ascii="Times New Roman" w:hAnsi="Times New Roman" w:cs="Times New Roman"/>
          <w:color w:val="auto"/>
          <w:kern w:val="0"/>
          <w:szCs w:val="21"/>
        </w:rPr>
        <w:t xml:space="preserve">, and the independent sample t-test and one-way analysis of variance (ANOVA) were used to compare differences between two and three groups, respectively. Skewed continuous data are presented as </w:t>
      </w:r>
      <w:r>
        <w:rPr>
          <w:rFonts w:ascii="Times New Roman" w:hAnsi="Times New Roman" w:eastAsia="Cambria" w:cs="Times New Roman"/>
          <w:color w:val="auto"/>
          <w:szCs w:val="21"/>
          <w:shd w:val="clear" w:color="auto" w:fill="FFFFFF"/>
        </w:rPr>
        <w:t>median (interquartile range)</w:t>
      </w:r>
      <w:r>
        <w:rPr>
          <w:rFonts w:ascii="Times New Roman" w:hAnsi="Times New Roman" w:cs="Times New Roman"/>
          <w:color w:val="auto"/>
          <w:kern w:val="0"/>
          <w:szCs w:val="21"/>
        </w:rPr>
        <w:t xml:space="preserve">, and the Mann–Whitney U and Kruskal–Wallis tests were used to compare the </w:t>
      </w:r>
      <w:bookmarkStart w:id="10" w:name="OLE_LINK80"/>
      <w:bookmarkStart w:id="11" w:name="OLE_LINK74"/>
      <w:r>
        <w:rPr>
          <w:rFonts w:ascii="Times New Roman" w:hAnsi="Times New Roman" w:cs="Times New Roman"/>
          <w:color w:val="auto"/>
          <w:kern w:val="0"/>
          <w:szCs w:val="21"/>
        </w:rPr>
        <w:t>differences between</w:t>
      </w:r>
      <w:bookmarkEnd w:id="10"/>
      <w:r>
        <w:rPr>
          <w:rFonts w:ascii="Times New Roman" w:hAnsi="Times New Roman" w:cs="Times New Roman"/>
          <w:color w:val="auto"/>
          <w:kern w:val="0"/>
          <w:szCs w:val="21"/>
        </w:rPr>
        <w:t xml:space="preserve"> two and three groups</w:t>
      </w:r>
      <w:bookmarkStart w:id="12" w:name="OLE_LINK78"/>
      <w:r>
        <w:rPr>
          <w:rFonts w:ascii="Times New Roman" w:hAnsi="Times New Roman" w:cs="Times New Roman"/>
          <w:color w:val="auto"/>
          <w:kern w:val="0"/>
          <w:szCs w:val="21"/>
        </w:rPr>
        <w:t>, respectively</w:t>
      </w:r>
      <w:bookmarkEnd w:id="12"/>
      <w:r>
        <w:rPr>
          <w:rFonts w:ascii="Times New Roman" w:hAnsi="Times New Roman" w:cs="Times New Roman"/>
          <w:color w:val="auto"/>
          <w:kern w:val="0"/>
          <w:szCs w:val="21"/>
        </w:rPr>
        <w:t xml:space="preserve">. </w:t>
      </w:r>
      <w:bookmarkEnd w:id="11"/>
      <w:r>
        <w:rPr>
          <w:rFonts w:ascii="Times New Roman" w:hAnsi="Times New Roman" w:eastAsia="Segoe UI" w:cs="Times New Roman"/>
          <w:color w:val="auto"/>
          <w:szCs w:val="21"/>
          <w:shd w:val="clear" w:color="auto" w:fill="FFFFFF"/>
        </w:rPr>
        <w:t xml:space="preserve">Overall comparisons were considered statistically significant using a 2-sided </w:t>
      </w:r>
      <w:r>
        <w:rPr>
          <w:rFonts w:ascii="Times New Roman" w:hAnsi="Times New Roman" w:eastAsia="Segoe UI" w:cs="Times New Roman"/>
          <w:i/>
          <w:iCs/>
          <w:color w:val="auto"/>
          <w:szCs w:val="21"/>
          <w:shd w:val="clear" w:color="auto" w:fill="FFFFFF"/>
        </w:rPr>
        <w:t>p</w:t>
      </w:r>
      <w:r>
        <w:rPr>
          <w:rFonts w:ascii="Times New Roman" w:hAnsi="Times New Roman" w:eastAsia="Segoe UI" w:cs="Times New Roman"/>
          <w:color w:val="auto"/>
          <w:szCs w:val="21"/>
          <w:shd w:val="clear" w:color="auto" w:fill="FFFFFF"/>
        </w:rPr>
        <w:t xml:space="preserve"> &lt; 0.05. </w:t>
      </w:r>
      <w:r>
        <w:rPr>
          <w:rFonts w:ascii="Times New Roman" w:hAnsi="Times New Roman" w:cs="Times New Roman"/>
          <w:color w:val="auto"/>
          <w:kern w:val="0"/>
          <w:szCs w:val="21"/>
        </w:rPr>
        <w:t xml:space="preserve">When the comparisons between the three groups were significant, two-group post-hoc comparisons were performed using Mann–Whitney U test, chi-square test, or Fisher’s exact test, while Bonferroni correction was used to control type I error, and a </w:t>
      </w:r>
      <w:r>
        <w:rPr>
          <w:rFonts w:ascii="Times New Roman" w:hAnsi="Times New Roman" w:cs="Times New Roman"/>
          <w:i/>
          <w:iCs/>
          <w:color w:val="auto"/>
          <w:kern w:val="0"/>
          <w:szCs w:val="21"/>
        </w:rPr>
        <w:t>p</w:t>
      </w:r>
      <w:r>
        <w:rPr>
          <w:rFonts w:ascii="Times New Roman" w:hAnsi="Times New Roman" w:cs="Times New Roman"/>
          <w:color w:val="auto"/>
          <w:kern w:val="0"/>
          <w:szCs w:val="21"/>
        </w:rPr>
        <w:t xml:space="preserve"> &lt; 0.017 was considered significant. Furthermore, </w:t>
      </w:r>
      <w:r>
        <w:rPr>
          <w:rFonts w:ascii="Times New Roman" w:hAnsi="Times New Roman" w:cs="Times New Roman"/>
          <w:color w:val="auto"/>
          <w:szCs w:val="21"/>
        </w:rPr>
        <w:t>the inter- and intra-observer reproducibility of the imaging analysis was evaluated using the kappa coefficient.</w:t>
      </w:r>
    </w:p>
    <w:p>
      <w:pPr>
        <w:spacing w:line="276" w:lineRule="auto"/>
        <w:ind w:firstLine="420" w:firstLineChars="200"/>
        <w:rPr>
          <w:rFonts w:ascii="Times New Roman" w:hAnsi="Times New Roman" w:cs="Times New Roman"/>
          <w:color w:val="auto"/>
          <w:szCs w:val="21"/>
        </w:rPr>
      </w:pPr>
    </w:p>
    <w:p>
      <w:pPr>
        <w:spacing w:line="276" w:lineRule="auto"/>
        <w:rPr>
          <w:rFonts w:ascii="Times New Roman" w:hAnsi="Times New Roman" w:cs="Times New Roman"/>
          <w:b/>
          <w:bCs/>
          <w:color w:val="auto"/>
          <w:szCs w:val="21"/>
        </w:rPr>
      </w:pPr>
      <w:bookmarkStart w:id="13" w:name="OLE_LINK6"/>
      <w:bookmarkStart w:id="14" w:name="OLE_LINK5"/>
      <w:r>
        <w:rPr>
          <w:rFonts w:ascii="Times New Roman" w:hAnsi="Times New Roman" w:cs="Times New Roman"/>
          <w:b/>
          <w:bCs/>
          <w:color w:val="auto"/>
          <w:szCs w:val="21"/>
        </w:rPr>
        <w:t>Reference</w:t>
      </w:r>
      <w:bookmarkEnd w:id="13"/>
      <w:r>
        <w:rPr>
          <w:rFonts w:ascii="Times New Roman" w:hAnsi="Times New Roman" w:cs="Times New Roman"/>
          <w:b/>
          <w:bCs/>
          <w:color w:val="auto"/>
          <w:szCs w:val="21"/>
        </w:rPr>
        <w:t>s</w:t>
      </w:r>
    </w:p>
    <w:bookmarkEnd w:id="14"/>
    <w:p>
      <w:pPr>
        <w:pStyle w:val="22"/>
        <w:numPr>
          <w:ilvl w:val="0"/>
          <w:numId w:val="3"/>
        </w:numPr>
        <w:spacing w:line="276" w:lineRule="auto"/>
        <w:rPr>
          <w:rFonts w:ascii="Times New Roman" w:hAnsi="Times New Roman" w:cs="Times New Roman"/>
          <w:color w:val="auto"/>
          <w:sz w:val="21"/>
          <w:szCs w:val="21"/>
          <w:u w:val="single"/>
        </w:rPr>
      </w:pPr>
      <w:bookmarkStart w:id="15" w:name="Reference1"/>
      <w:bookmarkStart w:id="16" w:name="_ENREF_1"/>
      <w:r>
        <w:rPr>
          <w:rFonts w:ascii="Times New Roman" w:hAnsi="Times New Roman" w:cs="Times New Roman"/>
          <w:color w:val="auto"/>
          <w:sz w:val="21"/>
          <w:szCs w:val="21"/>
        </w:rPr>
        <w:t>Habara M, Terashima M, Nasu K, Kaneda H, Inoue K, Ito T, et al. Difference of tissue characteristics between early and very late restenosis lesions after bare-metal stent implantation: an optical coherence tomography study</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Circulation Cardiovascular interventions. 2011</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4</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232-8.</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u w:val="single"/>
        </w:rPr>
        <w:t xml:space="preserve">https://doi.org/10.1161/CIRCINTERVENTIONS.110.959999. </w:t>
      </w:r>
      <w:bookmarkEnd w:id="15"/>
      <w:bookmarkEnd w:id="16"/>
    </w:p>
    <w:p>
      <w:pPr>
        <w:pStyle w:val="22"/>
        <w:numPr>
          <w:ilvl w:val="0"/>
          <w:numId w:val="3"/>
        </w:numPr>
        <w:spacing w:line="276" w:lineRule="auto"/>
        <w:rPr>
          <w:rFonts w:ascii="Times New Roman" w:hAnsi="Times New Roman" w:cs="Times New Roman"/>
          <w:color w:val="auto"/>
          <w:sz w:val="21"/>
          <w:szCs w:val="21"/>
          <w:u w:val="single"/>
        </w:rPr>
      </w:pPr>
      <w:bookmarkStart w:id="17" w:name="_ENREF_2"/>
      <w:bookmarkStart w:id="18" w:name="Reference2"/>
      <w:r>
        <w:rPr>
          <w:rFonts w:ascii="Times New Roman" w:hAnsi="Times New Roman" w:cs="Times New Roman"/>
          <w:color w:val="auto"/>
          <w:sz w:val="21"/>
          <w:szCs w:val="21"/>
        </w:rPr>
        <w:t>Habara M, Terashima M, Nasu K, Kaneda H, Yokota D, Ito T, et al. Morphological differences of tissue characteristics between early, late, and very late restenosis lesions after first generation drug-eluting stent implantation: an optical coherence tomography study</w:t>
      </w:r>
      <w:r>
        <w:rPr>
          <w:rFonts w:hint="eastAsia" w:ascii="Times New Roman" w:hAnsi="Times New Roman" w:cs="Times New Roman"/>
          <w:color w:val="auto"/>
          <w:sz w:val="21"/>
          <w:szCs w:val="21"/>
        </w:rPr>
        <w:t>.</w:t>
      </w:r>
      <w:r>
        <w:rPr>
          <w:rFonts w:ascii="Times New Roman" w:hAnsi="Times New Roman" w:cs="Times New Roman"/>
          <w:color w:val="auto"/>
          <w:sz w:val="21"/>
          <w:szCs w:val="21"/>
        </w:rPr>
        <w:t xml:space="preserve"> European Heart Journal - Cardiovascular Imaging. 2013</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14</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 xml:space="preserve">276-84. </w:t>
      </w:r>
      <w:r>
        <w:rPr>
          <w:rFonts w:ascii="Times New Roman" w:hAnsi="Times New Roman" w:cs="Times New Roman"/>
          <w:color w:val="auto"/>
          <w:sz w:val="21"/>
          <w:szCs w:val="21"/>
          <w:u w:val="single"/>
        </w:rPr>
        <w:t xml:space="preserve">https://doi.org/10.1093/ehjci/jes183. </w:t>
      </w:r>
      <w:bookmarkEnd w:id="17"/>
    </w:p>
    <w:bookmarkEnd w:id="18"/>
    <w:p>
      <w:pPr>
        <w:pStyle w:val="22"/>
        <w:numPr>
          <w:ilvl w:val="0"/>
          <w:numId w:val="3"/>
        </w:numPr>
        <w:spacing w:line="276" w:lineRule="auto"/>
        <w:rPr>
          <w:rFonts w:ascii="Times New Roman" w:hAnsi="Times New Roman" w:cs="Times New Roman"/>
          <w:color w:val="auto"/>
          <w:sz w:val="21"/>
          <w:szCs w:val="21"/>
        </w:rPr>
      </w:pPr>
      <w:bookmarkStart w:id="19" w:name="_ENREF_3"/>
      <w:bookmarkStart w:id="20" w:name="Reference3"/>
      <w:r>
        <w:rPr>
          <w:rFonts w:ascii="Times New Roman" w:hAnsi="Times New Roman" w:cs="Times New Roman"/>
          <w:color w:val="auto"/>
          <w:sz w:val="21"/>
          <w:szCs w:val="21"/>
        </w:rPr>
        <w:t>Mehran R. Patterns of in-stent restenosis : Angiographic classification and implications for long-term clinical outcome</w:t>
      </w:r>
      <w:r>
        <w:rPr>
          <w:rFonts w:hint="eastAsia" w:ascii="Times New Roman" w:hAnsi="Times New Roman" w:cs="Times New Roman"/>
          <w:color w:val="auto"/>
          <w:sz w:val="21"/>
          <w:szCs w:val="21"/>
        </w:rPr>
        <w:t>.</w:t>
      </w:r>
      <w:r>
        <w:rPr>
          <w:rFonts w:ascii="Times New Roman" w:hAnsi="Times New Roman" w:cs="Times New Roman"/>
          <w:color w:val="auto"/>
          <w:sz w:val="21"/>
          <w:szCs w:val="21"/>
        </w:rPr>
        <w:t xml:space="preserve"> Circulation. </w:t>
      </w:r>
      <w:bookmarkEnd w:id="19"/>
      <w:r>
        <w:rPr>
          <w:rFonts w:ascii="Times New Roman" w:hAnsi="Times New Roman" w:cs="Times New Roman"/>
          <w:color w:val="auto"/>
          <w:sz w:val="21"/>
          <w:szCs w:val="21"/>
        </w:rPr>
        <w:t>1999</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100</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1872-8.</w:t>
      </w:r>
    </w:p>
    <w:p>
      <w:pPr>
        <w:pStyle w:val="22"/>
        <w:numPr>
          <w:ilvl w:val="12"/>
          <w:numId w:val="0"/>
        </w:numPr>
        <w:spacing w:line="276" w:lineRule="auto"/>
        <w:ind w:firstLine="400" w:firstLineChars="200"/>
        <w:rPr>
          <w:rFonts w:ascii="Times New Roman" w:hAnsi="Times New Roman" w:cs="Times New Roman"/>
          <w:color w:val="auto"/>
          <w:sz w:val="21"/>
          <w:szCs w:val="21"/>
          <w:u w:val="single"/>
        </w:rPr>
      </w:pPr>
      <w:r>
        <w:rPr>
          <w:color w:val="auto"/>
        </w:rPr>
        <w:fldChar w:fldCharType="begin"/>
      </w:r>
      <w:r>
        <w:rPr>
          <w:color w:val="auto"/>
        </w:rPr>
        <w:instrText xml:space="preserve"> HYPERLINK "https://doi.org/" </w:instrText>
      </w:r>
      <w:r>
        <w:rPr>
          <w:color w:val="auto"/>
        </w:rPr>
        <w:fldChar w:fldCharType="separate"/>
      </w:r>
      <w:r>
        <w:rPr>
          <w:rStyle w:val="13"/>
          <w:rFonts w:ascii="Times New Roman" w:hAnsi="Times New Roman" w:cs="Times New Roman"/>
          <w:color w:val="auto"/>
          <w:sz w:val="21"/>
          <w:szCs w:val="21"/>
        </w:rPr>
        <w:t>https://doi.org/</w:t>
      </w:r>
      <w:r>
        <w:rPr>
          <w:rStyle w:val="13"/>
          <w:rFonts w:ascii="Times New Roman" w:hAnsi="Times New Roman" w:cs="Times New Roman"/>
          <w:color w:val="auto"/>
          <w:sz w:val="21"/>
          <w:szCs w:val="21"/>
        </w:rPr>
        <w:fldChar w:fldCharType="end"/>
      </w:r>
      <w:r>
        <w:rPr>
          <w:rFonts w:ascii="Times New Roman" w:hAnsi="Times New Roman" w:cs="Times New Roman"/>
          <w:color w:val="auto"/>
          <w:sz w:val="21"/>
          <w:szCs w:val="21"/>
          <w:u w:val="single"/>
        </w:rPr>
        <w:t xml:space="preserve"> 10.1161/01.cir.100.18.1872.</w:t>
      </w:r>
      <w:bookmarkEnd w:id="20"/>
    </w:p>
    <w:p>
      <w:pPr>
        <w:pStyle w:val="22"/>
        <w:numPr>
          <w:ilvl w:val="0"/>
          <w:numId w:val="3"/>
        </w:numPr>
        <w:spacing w:line="276" w:lineRule="auto"/>
        <w:rPr>
          <w:rFonts w:ascii="Times New Roman" w:hAnsi="Times New Roman" w:cs="Times New Roman"/>
          <w:color w:val="auto"/>
          <w:sz w:val="21"/>
          <w:szCs w:val="21"/>
        </w:rPr>
      </w:pPr>
      <w:bookmarkStart w:id="21" w:name="Reference4"/>
      <w:r>
        <w:rPr>
          <w:rFonts w:ascii="Times New Roman" w:hAnsi="Times New Roman" w:cs="Times New Roman"/>
          <w:color w:val="auto"/>
          <w:sz w:val="21"/>
          <w:szCs w:val="21"/>
        </w:rPr>
        <w:t>Jia H, Abtahian F, Aguirre AD, Lee S, Chia S, Lowe H, et al. In Vivo Diagnosis of Plaque Erosion and Calcified Nodule in Patients With Acute Coronary Syndrome by Intravascular Optical Coherence Tomography</w:t>
      </w:r>
      <w:r>
        <w:rPr>
          <w:rFonts w:ascii="Times New Roman" w:hAnsi="Times New Roman" w:eastAsia="Segoe UI" w:cs="Times New Roman"/>
          <w:color w:val="auto"/>
          <w:sz w:val="21"/>
          <w:szCs w:val="21"/>
          <w:shd w:val="clear" w:color="auto" w:fill="FFFFFF"/>
        </w:rPr>
        <w:t>. J Am Coll Cardiol. 2013</w:t>
      </w:r>
      <w:r>
        <w:rPr>
          <w:rFonts w:ascii="Times New Roman" w:hAnsi="Times New Roman" w:eastAsia="宋体" w:cs="Times New Roman"/>
          <w:color w:val="auto"/>
          <w:sz w:val="21"/>
          <w:szCs w:val="21"/>
          <w:shd w:val="clear" w:color="auto" w:fill="FFFFFF"/>
        </w:rPr>
        <w:t xml:space="preserve">; </w:t>
      </w:r>
      <w:r>
        <w:rPr>
          <w:rFonts w:ascii="Times New Roman" w:hAnsi="Times New Roman" w:cs="Times New Roman"/>
          <w:color w:val="auto"/>
          <w:sz w:val="21"/>
          <w:szCs w:val="21"/>
        </w:rPr>
        <w:t xml:space="preserve">62: 1748-1758. </w:t>
      </w:r>
    </w:p>
    <w:p>
      <w:pPr>
        <w:pStyle w:val="22"/>
        <w:numPr>
          <w:ilvl w:val="12"/>
          <w:numId w:val="0"/>
        </w:numPr>
        <w:spacing w:line="276" w:lineRule="auto"/>
        <w:ind w:firstLine="420" w:firstLineChars="200"/>
        <w:rPr>
          <w:rFonts w:ascii="Times New Roman" w:hAnsi="Times New Roman" w:cs="Times New Roman"/>
          <w:color w:val="auto"/>
          <w:sz w:val="21"/>
          <w:szCs w:val="21"/>
          <w:u w:val="single"/>
        </w:rPr>
      </w:pPr>
      <w:r>
        <w:rPr>
          <w:rFonts w:ascii="Times New Roman" w:hAnsi="Times New Roman" w:cs="Times New Roman"/>
          <w:color w:val="auto"/>
          <w:sz w:val="21"/>
          <w:szCs w:val="21"/>
          <w:u w:val="single"/>
        </w:rPr>
        <w:t>https://doi.org/10.1016/j.jacc.2013.05.071</w:t>
      </w:r>
    </w:p>
    <w:bookmarkEnd w:id="21"/>
    <w:p>
      <w:pPr>
        <w:pStyle w:val="22"/>
        <w:numPr>
          <w:ilvl w:val="0"/>
          <w:numId w:val="3"/>
        </w:numPr>
        <w:spacing w:line="276" w:lineRule="auto"/>
        <w:rPr>
          <w:rFonts w:ascii="Times New Roman" w:hAnsi="Times New Roman" w:cs="Times New Roman"/>
          <w:color w:val="auto"/>
          <w:sz w:val="21"/>
          <w:szCs w:val="21"/>
        </w:rPr>
      </w:pPr>
      <w:bookmarkStart w:id="22" w:name="_ENREF_4"/>
      <w:bookmarkStart w:id="23" w:name="Reference5"/>
      <w:r>
        <w:rPr>
          <w:rFonts w:ascii="Times New Roman" w:hAnsi="Times New Roman" w:cs="Times New Roman"/>
          <w:color w:val="auto"/>
          <w:sz w:val="21"/>
          <w:szCs w:val="21"/>
        </w:rPr>
        <w:t>Tearney GJ, Regar E, Akasaka T, Adriaenssens T, Barlis P, Bezerra HG, et al. Consensus Standards for Acquisition, Measurement, and Reporting of Intravascular Optical Coherence Tomography Studies</w:t>
      </w:r>
      <w:r>
        <w:rPr>
          <w:rFonts w:hint="eastAsia" w:ascii="Times New Roman" w:hAnsi="Times New Roman" w:cs="Times New Roman"/>
          <w:color w:val="auto"/>
          <w:sz w:val="21"/>
          <w:szCs w:val="21"/>
        </w:rPr>
        <w:t>.</w:t>
      </w:r>
      <w:r>
        <w:rPr>
          <w:rFonts w:ascii="Times New Roman" w:hAnsi="Times New Roman" w:cs="Times New Roman"/>
          <w:color w:val="auto"/>
          <w:sz w:val="21"/>
          <w:szCs w:val="21"/>
        </w:rPr>
        <w:t xml:space="preserve"> Journal of the American College of Cardiology. 2012</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59</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 xml:space="preserve">1058-72. </w:t>
      </w:r>
      <w:bookmarkEnd w:id="22"/>
      <w:r>
        <w:rPr>
          <w:color w:val="auto"/>
        </w:rPr>
        <w:fldChar w:fldCharType="begin"/>
      </w:r>
      <w:r>
        <w:rPr>
          <w:color w:val="auto"/>
        </w:rPr>
        <w:instrText xml:space="preserve"> HYPERLINK "https://doi.org/" </w:instrText>
      </w:r>
      <w:r>
        <w:rPr>
          <w:color w:val="auto"/>
        </w:rPr>
        <w:fldChar w:fldCharType="separate"/>
      </w:r>
      <w:r>
        <w:rPr>
          <w:rStyle w:val="13"/>
          <w:rFonts w:ascii="Times New Roman" w:hAnsi="Times New Roman" w:cs="Times New Roman"/>
          <w:color w:val="auto"/>
          <w:sz w:val="21"/>
          <w:szCs w:val="21"/>
        </w:rPr>
        <w:t>https://doi.org/</w:t>
      </w:r>
      <w:r>
        <w:rPr>
          <w:rStyle w:val="13"/>
          <w:rFonts w:ascii="Times New Roman" w:hAnsi="Times New Roman" w:cs="Times New Roman"/>
          <w:color w:val="auto"/>
          <w:sz w:val="21"/>
          <w:szCs w:val="21"/>
        </w:rPr>
        <w:fldChar w:fldCharType="end"/>
      </w:r>
      <w:r>
        <w:rPr>
          <w:rFonts w:ascii="Times New Roman" w:hAnsi="Times New Roman" w:cs="Times New Roman"/>
          <w:color w:val="auto"/>
          <w:sz w:val="21"/>
          <w:szCs w:val="21"/>
          <w:u w:val="single"/>
        </w:rPr>
        <w:t xml:space="preserve"> 10.1016/j.jacc.2011.09.079.</w:t>
      </w:r>
    </w:p>
    <w:bookmarkEnd w:id="23"/>
    <w:p>
      <w:pPr>
        <w:pStyle w:val="22"/>
        <w:numPr>
          <w:ilvl w:val="0"/>
          <w:numId w:val="3"/>
        </w:numPr>
        <w:spacing w:line="276" w:lineRule="auto"/>
        <w:rPr>
          <w:rFonts w:ascii="Times New Roman" w:hAnsi="Times New Roman" w:cs="Times New Roman"/>
          <w:color w:val="auto"/>
          <w:sz w:val="21"/>
          <w:szCs w:val="21"/>
        </w:rPr>
      </w:pPr>
      <w:bookmarkStart w:id="24" w:name="_ENREF_5"/>
      <w:bookmarkStart w:id="25" w:name="Reference6"/>
      <w:r>
        <w:rPr>
          <w:rFonts w:ascii="Times New Roman" w:hAnsi="Times New Roman" w:cs="Times New Roman"/>
          <w:color w:val="auto"/>
          <w:sz w:val="21"/>
          <w:szCs w:val="21"/>
        </w:rPr>
        <w:t>Otake H, Shite J, Ikeno F, Shinke T, Teramoto T, Miyoshi N, et al. Evaluation of the peri-strut low intensity area following sirolimus- and paclitaxel-eluting stents implantation: Insights from an optical coherence tomography study in humans</w:t>
      </w:r>
      <w:r>
        <w:rPr>
          <w:rFonts w:hint="eastAsia" w:ascii="Times New Roman" w:hAnsi="Times New Roman" w:cs="Times New Roman"/>
          <w:color w:val="auto"/>
          <w:sz w:val="21"/>
          <w:szCs w:val="21"/>
        </w:rPr>
        <w:t>.</w:t>
      </w:r>
      <w:r>
        <w:rPr>
          <w:rFonts w:ascii="Times New Roman" w:hAnsi="Times New Roman" w:cs="Times New Roman"/>
          <w:color w:val="auto"/>
          <w:sz w:val="21"/>
          <w:szCs w:val="21"/>
        </w:rPr>
        <w:t xml:space="preserve"> International Journal of Cardiology. </w:t>
      </w:r>
      <w:bookmarkEnd w:id="24"/>
      <w:r>
        <w:rPr>
          <w:rFonts w:ascii="Times New Roman" w:hAnsi="Times New Roman" w:cs="Times New Roman"/>
          <w:color w:val="auto"/>
          <w:sz w:val="21"/>
          <w:szCs w:val="21"/>
        </w:rPr>
        <w:t>2012</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157</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 xml:space="preserve">38-42. </w:t>
      </w:r>
      <w:r>
        <w:rPr>
          <w:color w:val="auto"/>
        </w:rPr>
        <w:fldChar w:fldCharType="begin"/>
      </w:r>
      <w:r>
        <w:rPr>
          <w:color w:val="auto"/>
        </w:rPr>
        <w:instrText xml:space="preserve"> HYPERLINK "https://doi.org/" </w:instrText>
      </w:r>
      <w:r>
        <w:rPr>
          <w:color w:val="auto"/>
        </w:rPr>
        <w:fldChar w:fldCharType="separate"/>
      </w:r>
      <w:r>
        <w:rPr>
          <w:rStyle w:val="13"/>
          <w:rFonts w:ascii="Times New Roman" w:hAnsi="Times New Roman" w:cs="Times New Roman"/>
          <w:color w:val="auto"/>
          <w:sz w:val="21"/>
          <w:szCs w:val="21"/>
        </w:rPr>
        <w:t>https://doi.org/</w:t>
      </w:r>
      <w:r>
        <w:rPr>
          <w:rStyle w:val="13"/>
          <w:rFonts w:ascii="Times New Roman" w:hAnsi="Times New Roman" w:cs="Times New Roman"/>
          <w:color w:val="auto"/>
          <w:sz w:val="21"/>
          <w:szCs w:val="21"/>
        </w:rPr>
        <w:fldChar w:fldCharType="end"/>
      </w:r>
      <w:r>
        <w:rPr>
          <w:rFonts w:ascii="Times New Roman" w:hAnsi="Times New Roman" w:cs="Times New Roman"/>
          <w:color w:val="auto"/>
          <w:sz w:val="21"/>
          <w:szCs w:val="21"/>
          <w:u w:val="single"/>
        </w:rPr>
        <w:t xml:space="preserve"> 10.1016/j.ijcard.2010.11.006.</w:t>
      </w:r>
    </w:p>
    <w:bookmarkEnd w:id="25"/>
    <w:p>
      <w:pPr>
        <w:pStyle w:val="22"/>
        <w:numPr>
          <w:ilvl w:val="0"/>
          <w:numId w:val="3"/>
        </w:numPr>
        <w:spacing w:line="276" w:lineRule="auto"/>
        <w:rPr>
          <w:rFonts w:ascii="Times New Roman" w:hAnsi="Times New Roman" w:cs="Times New Roman"/>
          <w:color w:val="auto"/>
          <w:sz w:val="21"/>
          <w:szCs w:val="21"/>
          <w:u w:val="single"/>
        </w:rPr>
      </w:pPr>
      <w:bookmarkStart w:id="26" w:name="_ENREF_6"/>
      <w:bookmarkStart w:id="27" w:name="Reference7"/>
      <w:r>
        <w:rPr>
          <w:rFonts w:ascii="Times New Roman" w:hAnsi="Times New Roman" w:cs="Times New Roman"/>
          <w:color w:val="auto"/>
          <w:sz w:val="21"/>
          <w:szCs w:val="21"/>
        </w:rPr>
        <w:t>Araki M, Park S-J, Dauerman HL, Uemura S, Kim J-S, Di Mario C, et al. Optical coherence tomography in coronary atherosclerosis assessment and intervention, Nature Reviews Cardiology. 2022</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19</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684-703.</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u w:val="single"/>
        </w:rPr>
        <w:t xml:space="preserve">https://doi.org/10.1038/s41569-022-00687-9. </w:t>
      </w:r>
      <w:bookmarkEnd w:id="26"/>
    </w:p>
    <w:bookmarkEnd w:id="27"/>
    <w:p>
      <w:pPr>
        <w:pStyle w:val="22"/>
        <w:numPr>
          <w:ilvl w:val="0"/>
          <w:numId w:val="3"/>
        </w:numPr>
        <w:spacing w:line="276" w:lineRule="auto"/>
        <w:rPr>
          <w:rFonts w:ascii="Times New Roman" w:hAnsi="Times New Roman" w:cs="Times New Roman"/>
          <w:color w:val="auto"/>
          <w:sz w:val="21"/>
          <w:szCs w:val="21"/>
          <w:u w:val="single"/>
        </w:rPr>
      </w:pPr>
      <w:bookmarkStart w:id="28" w:name="_ENREF_7"/>
      <w:bookmarkStart w:id="29" w:name="Reference8"/>
      <w:r>
        <w:rPr>
          <w:rFonts w:ascii="Times New Roman" w:hAnsi="Times New Roman" w:cs="Times New Roman"/>
          <w:color w:val="auto"/>
          <w:sz w:val="21"/>
          <w:szCs w:val="21"/>
        </w:rPr>
        <w:t xml:space="preserve">Yamamoto MH, Yamashita K, Matsumura M, Fujino A, Ishida M, Ebara S, et al. Serial 3-Vessel Optical Coherence Tomography and Intravascular Ultrasound Analysis of Changing Morphologies Associated With Lesion Progression in Patients With Stable Angina Pectoris. </w:t>
      </w:r>
      <w:bookmarkEnd w:id="28"/>
      <w:r>
        <w:rPr>
          <w:rFonts w:ascii="Times New Roman" w:hAnsi="Times New Roman" w:cs="Times New Roman"/>
          <w:color w:val="auto"/>
          <w:sz w:val="21"/>
          <w:szCs w:val="21"/>
        </w:rPr>
        <w:t>Circ Cardiovasc Imaging.</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2017</w:t>
      </w:r>
      <w:r>
        <w:rPr>
          <w:rFonts w:hint="eastAsia" w:ascii="Times New Roman" w:hAnsi="Times New Roman" w:cs="Times New Roman"/>
          <w:color w:val="auto"/>
          <w:sz w:val="21"/>
          <w:szCs w:val="21"/>
        </w:rPr>
        <w:t xml:space="preserve">; </w:t>
      </w:r>
      <w:r>
        <w:rPr>
          <w:rFonts w:ascii="Times New Roman" w:hAnsi="Times New Roman" w:cs="Times New Roman"/>
          <w:color w:val="auto"/>
          <w:sz w:val="21"/>
          <w:szCs w:val="21"/>
        </w:rPr>
        <w:t>10</w:t>
      </w:r>
      <w:r>
        <w:rPr>
          <w:rFonts w:hint="eastAsia" w:ascii="Times New Roman" w:hAnsi="Times New Roman" w:cs="Times New Roman"/>
          <w:color w:val="auto"/>
          <w:sz w:val="21"/>
          <w:szCs w:val="21"/>
        </w:rPr>
        <w:t>:</w:t>
      </w:r>
      <w:r>
        <w:rPr>
          <w:rFonts w:ascii="Times New Roman" w:hAnsi="Times New Roman" w:cs="Times New Roman"/>
          <w:color w:val="auto"/>
          <w:sz w:val="21"/>
          <w:szCs w:val="21"/>
        </w:rPr>
        <w:t xml:space="preserve"> e006347.</w:t>
      </w:r>
      <w:r>
        <w:rPr>
          <w:rFonts w:hint="eastAsia" w:ascii="Times New Roman" w:hAnsi="Times New Roman" w:cs="Times New Roman"/>
          <w:color w:val="auto"/>
          <w:sz w:val="21"/>
          <w:szCs w:val="21"/>
        </w:rPr>
        <w:t xml:space="preserve"> </w:t>
      </w:r>
    </w:p>
    <w:p>
      <w:pPr>
        <w:pStyle w:val="22"/>
        <w:numPr>
          <w:ilvl w:val="12"/>
          <w:numId w:val="0"/>
        </w:numPr>
        <w:spacing w:line="276" w:lineRule="auto"/>
        <w:ind w:firstLine="400" w:firstLineChars="200"/>
        <w:rPr>
          <w:rFonts w:ascii="Times New Roman" w:hAnsi="Times New Roman" w:cs="Times New Roman"/>
          <w:color w:val="auto"/>
          <w:sz w:val="21"/>
          <w:szCs w:val="21"/>
          <w:u w:val="single"/>
        </w:rPr>
      </w:pPr>
      <w:r>
        <w:rPr>
          <w:color w:val="auto"/>
        </w:rPr>
        <w:fldChar w:fldCharType="begin"/>
      </w:r>
      <w:r>
        <w:rPr>
          <w:color w:val="auto"/>
        </w:rPr>
        <w:instrText xml:space="preserve"> HYPERLINK "https://doi.org/" </w:instrText>
      </w:r>
      <w:r>
        <w:rPr>
          <w:color w:val="auto"/>
        </w:rPr>
        <w:fldChar w:fldCharType="separate"/>
      </w:r>
      <w:r>
        <w:rPr>
          <w:rStyle w:val="13"/>
          <w:rFonts w:ascii="Times New Roman" w:hAnsi="Times New Roman" w:cs="Times New Roman"/>
          <w:color w:val="auto"/>
          <w:sz w:val="21"/>
          <w:szCs w:val="21"/>
        </w:rPr>
        <w:t>https://doi.org/</w:t>
      </w:r>
      <w:r>
        <w:rPr>
          <w:rStyle w:val="13"/>
          <w:rFonts w:ascii="Times New Roman" w:hAnsi="Times New Roman" w:cs="Times New Roman"/>
          <w:color w:val="auto"/>
          <w:sz w:val="21"/>
          <w:szCs w:val="21"/>
        </w:rPr>
        <w:fldChar w:fldCharType="end"/>
      </w:r>
      <w:r>
        <w:rPr>
          <w:rFonts w:ascii="Times New Roman" w:hAnsi="Times New Roman" w:cs="Times New Roman"/>
          <w:color w:val="auto"/>
          <w:sz w:val="21"/>
          <w:szCs w:val="21"/>
          <w:u w:val="single"/>
        </w:rPr>
        <w:t xml:space="preserve"> 10.1161/CIRCIMAGING.117.006347.</w:t>
      </w:r>
      <w:bookmarkEnd w:id="29"/>
    </w:p>
    <w:p>
      <w:pPr>
        <w:pStyle w:val="22"/>
        <w:spacing w:line="276" w:lineRule="auto"/>
        <w:rPr>
          <w:rFonts w:ascii="Times New Roman" w:hAnsi="Times New Roman" w:cs="Times New Roman"/>
          <w:color w:val="auto"/>
          <w:sz w:val="21"/>
          <w:szCs w:val="21"/>
          <w:u w:val="single"/>
        </w:rPr>
      </w:pPr>
    </w:p>
    <w:p>
      <w:pPr>
        <w:pStyle w:val="22"/>
        <w:spacing w:line="276" w:lineRule="auto"/>
        <w:rPr>
          <w:rFonts w:ascii="Times New Roman" w:hAnsi="Times New Roman" w:cs="Times New Roman"/>
          <w:color w:val="auto"/>
          <w:sz w:val="21"/>
          <w:szCs w:val="21"/>
          <w:u w:val="single"/>
        </w:rPr>
      </w:pPr>
    </w:p>
    <w:p>
      <w:pPr>
        <w:pStyle w:val="22"/>
        <w:spacing w:line="276" w:lineRule="auto"/>
        <w:rPr>
          <w:rFonts w:ascii="Times New Roman" w:hAnsi="Times New Roman" w:cs="Times New Roman"/>
          <w:color w:val="auto"/>
          <w:sz w:val="21"/>
          <w:szCs w:val="21"/>
          <w:u w:val="single"/>
        </w:rPr>
      </w:pPr>
    </w:p>
    <w:p>
      <w:pPr>
        <w:pStyle w:val="22"/>
        <w:spacing w:line="276" w:lineRule="auto"/>
        <w:rPr>
          <w:rFonts w:ascii="Times New Roman" w:hAnsi="Times New Roman" w:cs="Times New Roman"/>
          <w:b/>
          <w:bCs/>
          <w:color w:val="auto"/>
          <w:sz w:val="21"/>
          <w:szCs w:val="21"/>
        </w:rPr>
      </w:pPr>
      <w:bookmarkStart w:id="30" w:name="OLE_LINK48"/>
      <w:r>
        <w:rPr>
          <w:color w:val="auto"/>
        </w:rPr>
        <w:drawing>
          <wp:inline distT="0" distB="0" distL="114300" distR="114300">
            <wp:extent cx="5268595" cy="3512820"/>
            <wp:effectExtent l="0" t="0" r="4445" b="7620"/>
            <wp:docPr id="2" name="图片 2" descr="调整字体后3 15 5副本5 20调整支架周围微血管18 12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调整字体后3 15 5副本5 20调整支架周围微血管18 12 600"/>
                    <pic:cNvPicPr>
                      <a:picLocks noChangeAspect="1"/>
                    </pic:cNvPicPr>
                  </pic:nvPicPr>
                  <pic:blipFill>
                    <a:blip r:embed="rId5"/>
                    <a:stretch>
                      <a:fillRect/>
                    </a:stretch>
                  </pic:blipFill>
                  <pic:spPr>
                    <a:xfrm>
                      <a:off x="0" y="0"/>
                      <a:ext cx="5268595" cy="3512820"/>
                    </a:xfrm>
                    <a:prstGeom prst="rect">
                      <a:avLst/>
                    </a:prstGeom>
                  </pic:spPr>
                </pic:pic>
              </a:graphicData>
            </a:graphic>
          </wp:inline>
        </w:drawing>
      </w:r>
      <w:r>
        <w:rPr>
          <w:rFonts w:ascii="Times New Roman" w:hAnsi="Times New Roman" w:cs="Times New Roman"/>
          <w:b/>
          <w:bCs/>
          <w:color w:val="auto"/>
          <w:sz w:val="21"/>
          <w:szCs w:val="21"/>
        </w:rPr>
        <w:t xml:space="preserve">Supplementary Fig. </w:t>
      </w:r>
      <w:bookmarkEnd w:id="30"/>
      <w:r>
        <w:rPr>
          <w:rFonts w:ascii="Times New Roman" w:hAnsi="Times New Roman" w:cs="Times New Roman"/>
          <w:b/>
          <w:bCs/>
          <w:color w:val="auto"/>
          <w:sz w:val="21"/>
          <w:szCs w:val="21"/>
        </w:rPr>
        <w:t>1.</w:t>
      </w:r>
      <w:r>
        <w:rPr>
          <w:rFonts w:ascii="Times New Roman" w:hAnsi="Times New Roman" w:cs="Times New Roman"/>
          <w:color w:val="auto"/>
          <w:sz w:val="21"/>
          <w:szCs w:val="21"/>
        </w:rPr>
        <w:t xml:space="preserve"> </w:t>
      </w:r>
      <w:r>
        <w:rPr>
          <w:rFonts w:ascii="Times New Roman" w:hAnsi="Times New Roman" w:cs="Times New Roman"/>
          <w:b/>
          <w:bCs/>
          <w:color w:val="auto"/>
          <w:sz w:val="21"/>
          <w:szCs w:val="21"/>
        </w:rPr>
        <w:t xml:space="preserve">The prevalence of NA and NV. </w:t>
      </w:r>
      <w:r>
        <w:rPr>
          <w:rFonts w:ascii="Times New Roman" w:hAnsi="Times New Roman" w:cs="Times New Roman"/>
          <w:b w:val="0"/>
          <w:bCs w:val="0"/>
          <w:color w:val="auto"/>
          <w:sz w:val="21"/>
          <w:szCs w:val="21"/>
        </w:rPr>
        <w:t>ISR</w:t>
      </w:r>
      <w:r>
        <w:rPr>
          <w:rFonts w:hint="eastAsia" w:ascii="Times New Roman" w:hAnsi="Times New Roman" w:cs="Times New Roman"/>
          <w:b w:val="0"/>
          <w:bCs w:val="0"/>
          <w:color w:val="auto"/>
          <w:sz w:val="21"/>
          <w:szCs w:val="21"/>
          <w:lang w:val="en-US" w:eastAsia="zh-CN"/>
        </w:rPr>
        <w:t>:</w:t>
      </w:r>
      <w:r>
        <w:rPr>
          <w:rFonts w:ascii="Times New Roman" w:hAnsi="Times New Roman" w:cs="Times New Roman"/>
          <w:b w:val="0"/>
          <w:bCs w:val="0"/>
          <w:color w:val="auto"/>
          <w:sz w:val="21"/>
          <w:szCs w:val="21"/>
        </w:rPr>
        <w:t xml:space="preserve"> in-stent restenosis;</w:t>
      </w:r>
      <w:r>
        <w:rPr>
          <w:rFonts w:hint="eastAsia" w:ascii="Times New Roman" w:hAnsi="Times New Roman" w:cs="Times New Roman"/>
          <w:b w:val="0"/>
          <w:bCs w:val="0"/>
          <w:color w:val="auto"/>
          <w:sz w:val="21"/>
          <w:szCs w:val="21"/>
          <w:lang w:val="en-US" w:eastAsia="zh-CN"/>
        </w:rPr>
        <w:t xml:space="preserve"> </w:t>
      </w:r>
      <w:r>
        <w:rPr>
          <w:rFonts w:ascii="Times New Roman" w:hAnsi="Times New Roman" w:cs="Times New Roman"/>
          <w:color w:val="auto"/>
          <w:sz w:val="21"/>
          <w:szCs w:val="21"/>
        </w:rPr>
        <w:t>NA</w:t>
      </w:r>
      <w:r>
        <w:rPr>
          <w:rFonts w:ascii="Times New Roman" w:hAnsi="Times New Roman" w:eastAsia="黑体" w:cs="Times New Roman"/>
          <w:bCs/>
          <w:color w:val="auto"/>
          <w:sz w:val="21"/>
          <w:szCs w:val="21"/>
        </w:rPr>
        <w:t xml:space="preserve">: </w:t>
      </w:r>
      <w:r>
        <w:rPr>
          <w:rFonts w:ascii="Times New Roman" w:hAnsi="Times New Roman" w:cs="Times New Roman"/>
          <w:color w:val="auto"/>
          <w:sz w:val="21"/>
          <w:szCs w:val="21"/>
        </w:rPr>
        <w:t>neoatherosclerosis; NV</w:t>
      </w:r>
      <w:r>
        <w:rPr>
          <w:rFonts w:ascii="Times New Roman" w:hAnsi="Times New Roman" w:eastAsia="黑体" w:cs="Times New Roman"/>
          <w:bCs/>
          <w:color w:val="auto"/>
          <w:sz w:val="21"/>
          <w:szCs w:val="21"/>
        </w:rPr>
        <w:t xml:space="preserve">: </w:t>
      </w:r>
      <w:r>
        <w:rPr>
          <w:rFonts w:ascii="Times New Roman" w:hAnsi="Times New Roman" w:cs="Times New Roman"/>
          <w:color w:val="auto"/>
          <w:sz w:val="21"/>
          <w:szCs w:val="21"/>
        </w:rPr>
        <w:t>neovascularization.</w:t>
      </w:r>
    </w:p>
    <w:p>
      <w:pPr>
        <w:spacing w:line="276" w:lineRule="auto"/>
        <w:ind w:firstLine="480" w:firstLineChars="200"/>
        <w:rPr>
          <w:rFonts w:ascii="Times New Roman" w:hAnsi="Times New Roman" w:cs="Times New Roman"/>
          <w:color w:val="auto"/>
          <w:kern w:val="0"/>
          <w:sz w:val="24"/>
          <w:szCs w:val="24"/>
        </w:rPr>
      </w:pPr>
    </w:p>
    <w:p>
      <w:pPr>
        <w:spacing w:line="276" w:lineRule="auto"/>
        <w:ind w:firstLine="480" w:firstLineChars="200"/>
        <w:rPr>
          <w:rFonts w:ascii="Times New Roman" w:hAnsi="Times New Roman" w:cs="Times New Roman"/>
          <w:color w:val="auto"/>
          <w:kern w:val="0"/>
          <w:sz w:val="24"/>
          <w:szCs w:val="24"/>
        </w:rPr>
      </w:pPr>
    </w:p>
    <w:p>
      <w:pPr>
        <w:spacing w:line="276" w:lineRule="auto"/>
        <w:ind w:firstLine="480" w:firstLineChars="200"/>
        <w:rPr>
          <w:rFonts w:ascii="Times New Roman" w:hAnsi="Times New Roman" w:cs="Times New Roman"/>
          <w:color w:val="auto"/>
          <w:kern w:val="0"/>
          <w:sz w:val="24"/>
          <w:szCs w:val="24"/>
        </w:rPr>
      </w:pPr>
    </w:p>
    <w:p>
      <w:pPr>
        <w:spacing w:line="276" w:lineRule="auto"/>
        <w:ind w:firstLine="480" w:firstLineChars="200"/>
        <w:rPr>
          <w:rFonts w:ascii="Times New Roman" w:hAnsi="Times New Roman" w:cs="Times New Roman"/>
          <w:color w:val="auto"/>
          <w:kern w:val="0"/>
          <w:sz w:val="24"/>
          <w:szCs w:val="24"/>
        </w:rPr>
      </w:pPr>
    </w:p>
    <w:p>
      <w:pPr>
        <w:spacing w:line="276" w:lineRule="auto"/>
        <w:ind w:firstLine="480" w:firstLineChars="200"/>
        <w:rPr>
          <w:rFonts w:ascii="Times New Roman" w:hAnsi="Times New Roman" w:cs="Times New Roman"/>
          <w:color w:val="auto"/>
          <w:kern w:val="0"/>
          <w:sz w:val="24"/>
          <w:szCs w:val="24"/>
        </w:rPr>
      </w:pPr>
    </w:p>
    <w:p>
      <w:pPr>
        <w:spacing w:line="276" w:lineRule="auto"/>
        <w:ind w:firstLine="480" w:firstLineChars="200"/>
        <w:rPr>
          <w:rFonts w:ascii="Times New Roman" w:hAnsi="Times New Roman" w:cs="Times New Roman"/>
          <w:color w:val="auto"/>
          <w:kern w:val="0"/>
          <w:sz w:val="24"/>
          <w:szCs w:val="24"/>
        </w:rPr>
      </w:pPr>
    </w:p>
    <w:p>
      <w:pPr>
        <w:spacing w:line="276" w:lineRule="auto"/>
        <w:ind w:firstLine="480" w:firstLineChars="200"/>
        <w:rPr>
          <w:rFonts w:ascii="Times New Roman" w:hAnsi="Times New Roman" w:cs="Times New Roman"/>
          <w:color w:val="auto"/>
          <w:kern w:val="0"/>
          <w:sz w:val="24"/>
          <w:szCs w:val="24"/>
        </w:rPr>
      </w:pPr>
    </w:p>
    <w:p>
      <w:pPr>
        <w:spacing w:line="276" w:lineRule="auto"/>
        <w:rPr>
          <w:rFonts w:ascii="Times New Roman" w:hAnsi="Times New Roman" w:cs="Times New Roman"/>
          <w:color w:val="auto"/>
          <w:kern w:val="0"/>
          <w:sz w:val="24"/>
          <w:szCs w:val="24"/>
        </w:rPr>
      </w:pPr>
    </w:p>
    <w:p>
      <w:pPr>
        <w:widowControl/>
        <w:jc w:val="left"/>
        <w:rPr>
          <w:rFonts w:ascii="Times New Roman" w:hAnsi="Times New Roman" w:eastAsia="黑体" w:cs="Times New Roman"/>
          <w:b/>
          <w:bCs/>
          <w:color w:val="auto"/>
          <w:szCs w:val="21"/>
        </w:rPr>
      </w:pPr>
      <w:r>
        <w:rPr>
          <w:rFonts w:ascii="Times New Roman" w:hAnsi="Times New Roman" w:eastAsia="黑体" w:cs="Times New Roman"/>
          <w:b/>
          <w:bCs/>
          <w:color w:val="auto"/>
          <w:szCs w:val="21"/>
        </w:rPr>
        <w:br w:type="page"/>
      </w:r>
    </w:p>
    <w:p>
      <w:pPr>
        <w:spacing w:line="276" w:lineRule="auto"/>
        <w:rPr>
          <w:rFonts w:ascii="Times New Roman" w:hAnsi="Times New Roman" w:eastAsia="黑体" w:cs="Times New Roman"/>
          <w:b/>
          <w:bCs/>
          <w:color w:val="auto"/>
          <w:szCs w:val="21"/>
        </w:rPr>
      </w:pPr>
      <w:r>
        <w:rPr>
          <w:rFonts w:ascii="Times New Roman" w:hAnsi="Times New Roman" w:eastAsia="黑体" w:cs="Times New Roman"/>
          <w:b/>
          <w:bCs/>
          <w:color w:val="auto"/>
          <w:szCs w:val="21"/>
        </w:rPr>
        <w:t>Supplementary Table 1. Angiographic characteristics.</w:t>
      </w:r>
    </w:p>
    <w:tbl>
      <w:tblPr>
        <w:tblStyle w:val="10"/>
        <w:tblW w:w="10205" w:type="dxa"/>
        <w:jc w:val="center"/>
        <w:tblLayout w:type="fixed"/>
        <w:tblCellMar>
          <w:top w:w="0" w:type="dxa"/>
          <w:left w:w="108" w:type="dxa"/>
          <w:bottom w:w="0" w:type="dxa"/>
          <w:right w:w="108" w:type="dxa"/>
        </w:tblCellMar>
      </w:tblPr>
      <w:tblGrid>
        <w:gridCol w:w="236"/>
        <w:gridCol w:w="2487"/>
        <w:gridCol w:w="1673"/>
        <w:gridCol w:w="1673"/>
        <w:gridCol w:w="1674"/>
        <w:gridCol w:w="1674"/>
        <w:gridCol w:w="788"/>
      </w:tblGrid>
      <w:tr>
        <w:tblPrEx>
          <w:tblCellMar>
            <w:top w:w="0" w:type="dxa"/>
            <w:left w:w="108" w:type="dxa"/>
            <w:bottom w:w="0" w:type="dxa"/>
            <w:right w:w="108" w:type="dxa"/>
          </w:tblCellMar>
        </w:tblPrEx>
        <w:trPr>
          <w:trHeight w:val="359" w:hRule="atLeast"/>
          <w:jc w:val="center"/>
        </w:trPr>
        <w:tc>
          <w:tcPr>
            <w:tcW w:w="1333" w:type="pct"/>
            <w:gridSpan w:val="2"/>
            <w:vMerge w:val="restart"/>
            <w:tcBorders>
              <w:top w:val="single" w:color="auto" w:sz="4" w:space="0"/>
              <w:bottom w:val="single" w:color="auto" w:sz="4" w:space="0"/>
            </w:tcBorders>
            <w:shd w:val="clear" w:color="auto" w:fill="FFFFFF"/>
          </w:tcPr>
          <w:p>
            <w:pPr>
              <w:spacing w:line="276" w:lineRule="auto"/>
              <w:jc w:val="left"/>
              <w:rPr>
                <w:rFonts w:ascii="Times New Roman" w:hAnsi="Times New Roman" w:cs="Times New Roman"/>
                <w:b/>
                <w:bCs/>
                <w:color w:val="auto"/>
                <w:sz w:val="20"/>
                <w:szCs w:val="20"/>
              </w:rPr>
            </w:pPr>
          </w:p>
        </w:tc>
        <w:tc>
          <w:tcPr>
            <w:tcW w:w="820" w:type="pct"/>
            <w:vMerge w:val="restart"/>
            <w:tcBorders>
              <w:top w:val="single" w:color="auto" w:sz="4" w:space="0"/>
              <w:bottom w:val="single" w:color="auto" w:sz="4" w:space="0"/>
            </w:tcBorders>
            <w:shd w:val="clear" w:color="auto" w:fill="FFFFFF"/>
          </w:tcPr>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Overall</w:t>
            </w:r>
          </w:p>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(n=227)</w:t>
            </w:r>
          </w:p>
        </w:tc>
        <w:tc>
          <w:tcPr>
            <w:tcW w:w="820" w:type="pct"/>
            <w:vMerge w:val="restart"/>
            <w:tcBorders>
              <w:top w:val="single" w:color="auto" w:sz="4" w:space="0"/>
              <w:bottom w:val="single" w:color="auto" w:sz="4" w:space="0"/>
            </w:tcBorders>
            <w:shd w:val="clear" w:color="auto" w:fill="FFFFFF"/>
          </w:tcPr>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E-ISR</w:t>
            </w:r>
          </w:p>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 xml:space="preserve"> (n=55)</w:t>
            </w:r>
          </w:p>
        </w:tc>
        <w:tc>
          <w:tcPr>
            <w:tcW w:w="820" w:type="pct"/>
            <w:vMerge w:val="restart"/>
            <w:tcBorders>
              <w:top w:val="single" w:color="auto" w:sz="4" w:space="0"/>
              <w:bottom w:val="single" w:color="auto" w:sz="4" w:space="0"/>
            </w:tcBorders>
            <w:shd w:val="clear" w:color="auto" w:fill="FFFFFF"/>
          </w:tcPr>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L-ISR</w:t>
            </w:r>
          </w:p>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 xml:space="preserve"> (n=78)</w:t>
            </w:r>
          </w:p>
        </w:tc>
        <w:tc>
          <w:tcPr>
            <w:tcW w:w="820" w:type="pct"/>
            <w:vMerge w:val="restart"/>
            <w:tcBorders>
              <w:top w:val="single" w:color="auto" w:sz="4" w:space="0"/>
              <w:bottom w:val="single" w:color="auto" w:sz="4" w:space="0"/>
            </w:tcBorders>
            <w:shd w:val="clear" w:color="auto" w:fill="FFFFFF"/>
          </w:tcPr>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 xml:space="preserve">VL-ISR </w:t>
            </w:r>
          </w:p>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(n=94)</w:t>
            </w:r>
          </w:p>
        </w:tc>
        <w:tc>
          <w:tcPr>
            <w:tcW w:w="386" w:type="pct"/>
            <w:vMerge w:val="restart"/>
            <w:tcBorders>
              <w:top w:val="single" w:color="auto" w:sz="4" w:space="0"/>
              <w:bottom w:val="single" w:color="auto" w:sz="4" w:space="0"/>
            </w:tcBorders>
            <w:shd w:val="clear" w:color="auto" w:fill="FFFFFF"/>
          </w:tcPr>
          <w:p>
            <w:pPr>
              <w:spacing w:line="276" w:lineRule="auto"/>
              <w:jc w:val="center"/>
              <w:rPr>
                <w:rFonts w:ascii="Times New Roman" w:hAnsi="Times New Roman" w:cs="Times New Roman"/>
                <w:b/>
                <w:bCs/>
                <w:color w:val="auto"/>
                <w:sz w:val="20"/>
                <w:szCs w:val="20"/>
              </w:rPr>
            </w:pPr>
            <w:r>
              <w:rPr>
                <w:rFonts w:hint="eastAsia" w:ascii="Times New Roman" w:hAnsi="Times New Roman" w:cs="Times New Roman"/>
                <w:b/>
                <w:bCs/>
                <w:i/>
                <w:iCs/>
                <w:color w:val="auto"/>
                <w:sz w:val="20"/>
                <w:szCs w:val="20"/>
              </w:rPr>
              <w:t>p</w:t>
            </w:r>
            <w:r>
              <w:rPr>
                <w:rFonts w:ascii="Times New Roman" w:hAnsi="Times New Roman" w:cs="Times New Roman"/>
                <w:b/>
                <w:bCs/>
                <w:color w:val="auto"/>
                <w:sz w:val="20"/>
                <w:szCs w:val="20"/>
              </w:rPr>
              <w:t xml:space="preserve"> value</w:t>
            </w:r>
          </w:p>
        </w:tc>
      </w:tr>
      <w:tr>
        <w:tblPrEx>
          <w:tblCellMar>
            <w:top w:w="0" w:type="dxa"/>
            <w:left w:w="108" w:type="dxa"/>
            <w:bottom w:w="0" w:type="dxa"/>
            <w:right w:w="108" w:type="dxa"/>
          </w:tblCellMar>
        </w:tblPrEx>
        <w:trPr>
          <w:trHeight w:val="359" w:hRule="atLeast"/>
          <w:jc w:val="center"/>
        </w:trPr>
        <w:tc>
          <w:tcPr>
            <w:tcW w:w="1333" w:type="pct"/>
            <w:gridSpan w:val="2"/>
            <w:vMerge w:val="continue"/>
            <w:tcBorders>
              <w:top w:val="single" w:color="auto" w:sz="4" w:space="0"/>
              <w:bottom w:val="single" w:color="auto" w:sz="4" w:space="0"/>
              <w:tl2br w:val="nil"/>
              <w:tr2bl w:val="nil"/>
            </w:tcBorders>
            <w:vAlign w:val="center"/>
          </w:tcPr>
          <w:p>
            <w:pPr>
              <w:widowControl/>
              <w:spacing w:line="276" w:lineRule="auto"/>
              <w:jc w:val="left"/>
              <w:rPr>
                <w:rFonts w:ascii="Times New Roman" w:hAnsi="Times New Roman" w:cs="Times New Roman"/>
                <w:b/>
                <w:bCs/>
                <w:color w:val="auto"/>
                <w:sz w:val="20"/>
                <w:szCs w:val="20"/>
              </w:rPr>
            </w:pPr>
          </w:p>
        </w:tc>
        <w:tc>
          <w:tcPr>
            <w:tcW w:w="820" w:type="pct"/>
            <w:vMerge w:val="continue"/>
            <w:tcBorders>
              <w:top w:val="single" w:color="auto" w:sz="4" w:space="0"/>
              <w:bottom w:val="single" w:color="auto" w:sz="4" w:space="0"/>
              <w:tl2br w:val="nil"/>
              <w:tr2bl w:val="nil"/>
            </w:tcBorders>
            <w:vAlign w:val="center"/>
          </w:tcPr>
          <w:p>
            <w:pPr>
              <w:widowControl/>
              <w:spacing w:line="276" w:lineRule="auto"/>
              <w:jc w:val="left"/>
              <w:rPr>
                <w:rFonts w:ascii="Times New Roman" w:hAnsi="Times New Roman" w:cs="Times New Roman"/>
                <w:b/>
                <w:bCs/>
                <w:color w:val="auto"/>
                <w:sz w:val="20"/>
                <w:szCs w:val="20"/>
              </w:rPr>
            </w:pPr>
          </w:p>
        </w:tc>
        <w:tc>
          <w:tcPr>
            <w:tcW w:w="820" w:type="pct"/>
            <w:vMerge w:val="continue"/>
            <w:tcBorders>
              <w:top w:val="single" w:color="auto" w:sz="4" w:space="0"/>
              <w:bottom w:val="single" w:color="auto" w:sz="4" w:space="0"/>
              <w:tl2br w:val="nil"/>
              <w:tr2bl w:val="nil"/>
            </w:tcBorders>
            <w:vAlign w:val="center"/>
          </w:tcPr>
          <w:p>
            <w:pPr>
              <w:widowControl/>
              <w:spacing w:line="276" w:lineRule="auto"/>
              <w:jc w:val="left"/>
              <w:rPr>
                <w:rFonts w:ascii="Times New Roman" w:hAnsi="Times New Roman" w:cs="Times New Roman"/>
                <w:b/>
                <w:bCs/>
                <w:color w:val="auto"/>
                <w:sz w:val="20"/>
                <w:szCs w:val="20"/>
              </w:rPr>
            </w:pPr>
          </w:p>
        </w:tc>
        <w:tc>
          <w:tcPr>
            <w:tcW w:w="820" w:type="pct"/>
            <w:vMerge w:val="continue"/>
            <w:tcBorders>
              <w:top w:val="single" w:color="auto" w:sz="4" w:space="0"/>
              <w:bottom w:val="single" w:color="auto" w:sz="4" w:space="0"/>
              <w:tl2br w:val="nil"/>
              <w:tr2bl w:val="nil"/>
            </w:tcBorders>
            <w:vAlign w:val="center"/>
          </w:tcPr>
          <w:p>
            <w:pPr>
              <w:widowControl/>
              <w:spacing w:line="276" w:lineRule="auto"/>
              <w:jc w:val="left"/>
              <w:rPr>
                <w:rFonts w:ascii="Times New Roman" w:hAnsi="Times New Roman" w:cs="Times New Roman"/>
                <w:b/>
                <w:bCs/>
                <w:color w:val="auto"/>
                <w:sz w:val="20"/>
                <w:szCs w:val="20"/>
              </w:rPr>
            </w:pPr>
          </w:p>
        </w:tc>
        <w:tc>
          <w:tcPr>
            <w:tcW w:w="820" w:type="pct"/>
            <w:vMerge w:val="continue"/>
            <w:tcBorders>
              <w:top w:val="single" w:color="auto" w:sz="4" w:space="0"/>
              <w:bottom w:val="single" w:color="auto" w:sz="4" w:space="0"/>
              <w:tl2br w:val="nil"/>
              <w:tr2bl w:val="nil"/>
            </w:tcBorders>
            <w:vAlign w:val="center"/>
          </w:tcPr>
          <w:p>
            <w:pPr>
              <w:widowControl/>
              <w:spacing w:line="276" w:lineRule="auto"/>
              <w:jc w:val="left"/>
              <w:rPr>
                <w:rFonts w:ascii="Times New Roman" w:hAnsi="Times New Roman" w:cs="Times New Roman"/>
                <w:b/>
                <w:bCs/>
                <w:color w:val="auto"/>
                <w:sz w:val="20"/>
                <w:szCs w:val="20"/>
              </w:rPr>
            </w:pPr>
          </w:p>
        </w:tc>
        <w:tc>
          <w:tcPr>
            <w:tcW w:w="386" w:type="pct"/>
            <w:vMerge w:val="continue"/>
            <w:tcBorders>
              <w:top w:val="single" w:color="auto" w:sz="4" w:space="0"/>
              <w:bottom w:val="single" w:color="auto" w:sz="4" w:space="0"/>
              <w:tl2br w:val="nil"/>
              <w:tr2bl w:val="nil"/>
            </w:tcBorders>
            <w:vAlign w:val="center"/>
          </w:tcPr>
          <w:p>
            <w:pPr>
              <w:widowControl/>
              <w:spacing w:line="276" w:lineRule="auto"/>
              <w:jc w:val="left"/>
              <w:rPr>
                <w:rFonts w:ascii="Times New Roman" w:hAnsi="Times New Roman" w:cs="Times New Roman"/>
                <w:b/>
                <w:bCs/>
                <w:color w:val="auto"/>
                <w:sz w:val="20"/>
                <w:szCs w:val="20"/>
              </w:rPr>
            </w:pPr>
          </w:p>
        </w:tc>
      </w:tr>
      <w:tr>
        <w:tblPrEx>
          <w:tblCellMar>
            <w:top w:w="0" w:type="dxa"/>
            <w:left w:w="108" w:type="dxa"/>
            <w:bottom w:w="0" w:type="dxa"/>
            <w:right w:w="108" w:type="dxa"/>
          </w:tblCellMar>
        </w:tblPrEx>
        <w:trPr>
          <w:trHeight w:val="23" w:hRule="atLeast"/>
          <w:jc w:val="center"/>
        </w:trPr>
        <w:tc>
          <w:tcPr>
            <w:tcW w:w="1333" w:type="pct"/>
            <w:gridSpan w:val="2"/>
            <w:tcBorders>
              <w:top w:val="single" w:color="auto" w:sz="4" w:space="0"/>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Length, mm </w:t>
            </w:r>
          </w:p>
        </w:tc>
        <w:tc>
          <w:tcPr>
            <w:tcW w:w="820" w:type="pct"/>
            <w:tcBorders>
              <w:top w:val="single" w:color="auto" w:sz="4" w:space="0"/>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12.10 (8.70–17.90)</w:t>
            </w:r>
          </w:p>
        </w:tc>
        <w:tc>
          <w:tcPr>
            <w:tcW w:w="820" w:type="pct"/>
            <w:tcBorders>
              <w:top w:val="single" w:color="auto" w:sz="4" w:space="0"/>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9.50</w:t>
            </w:r>
          </w:p>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 xml:space="preserve"> (8.30–17.60)</w:t>
            </w:r>
          </w:p>
        </w:tc>
        <w:tc>
          <w:tcPr>
            <w:tcW w:w="820" w:type="pct"/>
            <w:tcBorders>
              <w:top w:val="single" w:color="auto" w:sz="4" w:space="0"/>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11.85 (8.45–18.23)</w:t>
            </w:r>
          </w:p>
        </w:tc>
        <w:tc>
          <w:tcPr>
            <w:tcW w:w="820" w:type="pct"/>
            <w:tcBorders>
              <w:top w:val="single" w:color="auto" w:sz="4" w:space="0"/>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13.40 (9.05–18.00)</w:t>
            </w:r>
          </w:p>
        </w:tc>
        <w:tc>
          <w:tcPr>
            <w:tcW w:w="386" w:type="pct"/>
            <w:tcBorders>
              <w:top w:val="single" w:color="auto" w:sz="4" w:space="0"/>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0.195</w:t>
            </w:r>
          </w:p>
        </w:tc>
      </w:tr>
      <w:tr>
        <w:tblPrEx>
          <w:tblCellMar>
            <w:top w:w="0" w:type="dxa"/>
            <w:left w:w="108" w:type="dxa"/>
            <w:bottom w:w="0" w:type="dxa"/>
            <w:right w:w="108" w:type="dxa"/>
          </w:tblCellMar>
        </w:tblPrEx>
        <w:trPr>
          <w:trHeight w:val="23" w:hRule="atLeast"/>
          <w:jc w:val="center"/>
        </w:trPr>
        <w:tc>
          <w:tcPr>
            <w:tcW w:w="1333" w:type="pct"/>
            <w:gridSpan w:val="2"/>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Reference vessel diameter, mm </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3.18±0.41</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3.08±0.35</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3.21±0.38</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3.22±0.45</w:t>
            </w: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0.090</w:t>
            </w:r>
          </w:p>
        </w:tc>
      </w:tr>
      <w:tr>
        <w:tblPrEx>
          <w:tblCellMar>
            <w:top w:w="0" w:type="dxa"/>
            <w:left w:w="108" w:type="dxa"/>
            <w:bottom w:w="0" w:type="dxa"/>
            <w:right w:w="108" w:type="dxa"/>
          </w:tblCellMar>
        </w:tblPrEx>
        <w:trPr>
          <w:trHeight w:val="23" w:hRule="atLeast"/>
          <w:jc w:val="center"/>
        </w:trPr>
        <w:tc>
          <w:tcPr>
            <w:tcW w:w="1333" w:type="pct"/>
            <w:gridSpan w:val="2"/>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MLD, mm</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1.14±0.22</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1.10±0.23</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1.17±0.20</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1.13±0.22</w:t>
            </w: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0.167</w:t>
            </w:r>
          </w:p>
        </w:tc>
      </w:tr>
      <w:tr>
        <w:tblPrEx>
          <w:tblCellMar>
            <w:top w:w="0" w:type="dxa"/>
            <w:left w:w="108" w:type="dxa"/>
            <w:bottom w:w="0" w:type="dxa"/>
            <w:right w:w="108" w:type="dxa"/>
          </w:tblCellMar>
        </w:tblPrEx>
        <w:trPr>
          <w:trHeight w:val="23" w:hRule="atLeast"/>
          <w:jc w:val="center"/>
        </w:trPr>
        <w:tc>
          <w:tcPr>
            <w:tcW w:w="1333" w:type="pct"/>
            <w:gridSpan w:val="2"/>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Diameter stenosis (%)</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64.11±5.91</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64.12±6.89</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63.31±5.78</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64.76±5.35</w:t>
            </w: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0.279</w:t>
            </w:r>
          </w:p>
        </w:tc>
      </w:tr>
      <w:tr>
        <w:tblPrEx>
          <w:tblCellMar>
            <w:top w:w="0" w:type="dxa"/>
            <w:left w:w="108" w:type="dxa"/>
            <w:bottom w:w="0" w:type="dxa"/>
            <w:right w:w="108" w:type="dxa"/>
          </w:tblCellMar>
        </w:tblPrEx>
        <w:trPr>
          <w:trHeight w:val="23" w:hRule="atLeast"/>
          <w:jc w:val="center"/>
        </w:trPr>
        <w:tc>
          <w:tcPr>
            <w:tcW w:w="1333" w:type="pct"/>
            <w:gridSpan w:val="2"/>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ISR location</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0.914</w:t>
            </w:r>
          </w:p>
        </w:tc>
      </w:tr>
      <w:tr>
        <w:tblPrEx>
          <w:tblCellMar>
            <w:top w:w="0" w:type="dxa"/>
            <w:left w:w="108" w:type="dxa"/>
            <w:bottom w:w="0" w:type="dxa"/>
            <w:right w:w="108" w:type="dxa"/>
          </w:tblCellMar>
        </w:tblPrEx>
        <w:trPr>
          <w:trHeight w:val="23" w:hRule="atLeast"/>
          <w:jc w:val="center"/>
        </w:trPr>
        <w:tc>
          <w:tcPr>
            <w:tcW w:w="114" w:type="pct"/>
            <w:vMerge w:val="restart"/>
            <w:tcBorders>
              <w:tl2br w:val="nil"/>
              <w:tr2bl w:val="nil"/>
            </w:tcBorders>
            <w:shd w:val="clear" w:color="auto" w:fill="FFFFFF"/>
          </w:tcPr>
          <w:p>
            <w:pPr>
              <w:spacing w:line="276" w:lineRule="auto"/>
              <w:rPr>
                <w:rFonts w:ascii="Times New Roman" w:hAnsi="Times New Roman" w:cs="Times New Roman"/>
                <w:color w:val="auto"/>
                <w:sz w:val="20"/>
                <w:szCs w:val="20"/>
              </w:rPr>
            </w:pPr>
          </w:p>
        </w:tc>
        <w:tc>
          <w:tcPr>
            <w:tcW w:w="1218" w:type="pct"/>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LAD</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143 (63.0)</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34 (61.8)</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50 (64.1)</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59 (62.8)</w:t>
            </w: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r>
      <w:tr>
        <w:tblPrEx>
          <w:tblCellMar>
            <w:top w:w="0" w:type="dxa"/>
            <w:left w:w="108" w:type="dxa"/>
            <w:bottom w:w="0" w:type="dxa"/>
            <w:right w:w="108" w:type="dxa"/>
          </w:tblCellMar>
        </w:tblPrEx>
        <w:trPr>
          <w:trHeight w:val="23" w:hRule="atLeast"/>
          <w:jc w:val="center"/>
        </w:trPr>
        <w:tc>
          <w:tcPr>
            <w:tcW w:w="114" w:type="pct"/>
            <w:vMerge w:val="continue"/>
            <w:tcBorders>
              <w:tl2br w:val="nil"/>
              <w:tr2bl w:val="nil"/>
            </w:tcBorders>
            <w:shd w:val="clear" w:color="auto" w:fill="FFFFFF"/>
          </w:tcPr>
          <w:p>
            <w:pPr>
              <w:spacing w:line="276" w:lineRule="auto"/>
              <w:rPr>
                <w:rFonts w:ascii="Times New Roman" w:hAnsi="Times New Roman" w:cs="Times New Roman"/>
                <w:color w:val="auto"/>
                <w:sz w:val="20"/>
                <w:szCs w:val="20"/>
              </w:rPr>
            </w:pPr>
          </w:p>
        </w:tc>
        <w:tc>
          <w:tcPr>
            <w:tcW w:w="1218" w:type="pct"/>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LCX</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23 (10.1)</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 (12.7)</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 (7.7)</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10 (10.6)</w:t>
            </w: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r>
      <w:tr>
        <w:tblPrEx>
          <w:tblCellMar>
            <w:top w:w="0" w:type="dxa"/>
            <w:left w:w="108" w:type="dxa"/>
            <w:bottom w:w="0" w:type="dxa"/>
            <w:right w:w="108" w:type="dxa"/>
          </w:tblCellMar>
        </w:tblPrEx>
        <w:trPr>
          <w:trHeight w:val="23" w:hRule="atLeast"/>
          <w:jc w:val="center"/>
        </w:trPr>
        <w:tc>
          <w:tcPr>
            <w:tcW w:w="114" w:type="pct"/>
            <w:vMerge w:val="continue"/>
            <w:tcBorders>
              <w:tl2br w:val="nil"/>
              <w:tr2bl w:val="nil"/>
            </w:tcBorders>
            <w:shd w:val="clear" w:color="auto" w:fill="FFFFFF"/>
          </w:tcPr>
          <w:p>
            <w:pPr>
              <w:spacing w:line="276" w:lineRule="auto"/>
              <w:rPr>
                <w:rFonts w:ascii="Times New Roman" w:hAnsi="Times New Roman" w:cs="Times New Roman"/>
                <w:color w:val="auto"/>
                <w:sz w:val="20"/>
                <w:szCs w:val="20"/>
              </w:rPr>
            </w:pPr>
          </w:p>
        </w:tc>
        <w:tc>
          <w:tcPr>
            <w:tcW w:w="1218" w:type="pct"/>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RCA</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61 (26.9)</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14 (25.5)</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22 (28.2)</w:t>
            </w:r>
          </w:p>
        </w:tc>
        <w:tc>
          <w:tcPr>
            <w:tcW w:w="820" w:type="pct"/>
            <w:tcBorders>
              <w:tl2br w:val="nil"/>
              <w:tr2bl w:val="nil"/>
            </w:tcBorders>
            <w:shd w:val="clear" w:color="auto" w:fill="FFFFFF"/>
          </w:tcPr>
          <w:p>
            <w:pPr>
              <w:spacing w:line="276" w:lineRule="auto"/>
              <w:jc w:val="center"/>
              <w:rPr>
                <w:rFonts w:ascii="Times New Roman" w:hAnsi="Times New Roman" w:eastAsia="宋体" w:cs="Times New Roman"/>
                <w:color w:val="auto"/>
                <w:sz w:val="20"/>
                <w:szCs w:val="20"/>
              </w:rPr>
            </w:pPr>
            <w:r>
              <w:rPr>
                <w:rFonts w:ascii="Times New Roman" w:hAnsi="Times New Roman" w:cs="Times New Roman"/>
                <w:color w:val="auto"/>
                <w:sz w:val="20"/>
                <w:szCs w:val="20"/>
              </w:rPr>
              <w:t>25 (26.6)</w:t>
            </w: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r>
      <w:tr>
        <w:tblPrEx>
          <w:tblCellMar>
            <w:top w:w="0" w:type="dxa"/>
            <w:left w:w="108" w:type="dxa"/>
            <w:bottom w:w="0" w:type="dxa"/>
            <w:right w:w="108" w:type="dxa"/>
          </w:tblCellMar>
        </w:tblPrEx>
        <w:trPr>
          <w:trHeight w:val="23" w:hRule="atLeast"/>
          <w:jc w:val="center"/>
        </w:trPr>
        <w:tc>
          <w:tcPr>
            <w:tcW w:w="1333" w:type="pct"/>
            <w:gridSpan w:val="2"/>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Restenotic pattern </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r>
      <w:tr>
        <w:tblPrEx>
          <w:tblCellMar>
            <w:top w:w="0" w:type="dxa"/>
            <w:left w:w="108" w:type="dxa"/>
            <w:bottom w:w="0" w:type="dxa"/>
            <w:right w:w="108" w:type="dxa"/>
          </w:tblCellMar>
        </w:tblPrEx>
        <w:trPr>
          <w:trHeight w:val="23" w:hRule="atLeast"/>
          <w:jc w:val="center"/>
        </w:trPr>
        <w:tc>
          <w:tcPr>
            <w:tcW w:w="114" w:type="pct"/>
            <w:vMerge w:val="restart"/>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  </w:t>
            </w:r>
          </w:p>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 </w:t>
            </w:r>
          </w:p>
        </w:tc>
        <w:tc>
          <w:tcPr>
            <w:tcW w:w="1218" w:type="pct"/>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Focal</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94 (41.4)</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29 (52.7)</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30 (38.5)</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35 (37.2)</w:t>
            </w: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0.145</w:t>
            </w:r>
          </w:p>
        </w:tc>
      </w:tr>
      <w:tr>
        <w:tblPrEx>
          <w:tblCellMar>
            <w:top w:w="0" w:type="dxa"/>
            <w:left w:w="108" w:type="dxa"/>
            <w:bottom w:w="0" w:type="dxa"/>
            <w:right w:w="108" w:type="dxa"/>
          </w:tblCellMar>
        </w:tblPrEx>
        <w:trPr>
          <w:trHeight w:val="23" w:hRule="atLeast"/>
          <w:jc w:val="center"/>
        </w:trPr>
        <w:tc>
          <w:tcPr>
            <w:tcW w:w="114" w:type="pct"/>
            <w:vMerge w:val="continue"/>
            <w:tcBorders>
              <w:tl2br w:val="nil"/>
              <w:tr2bl w:val="nil"/>
            </w:tcBorders>
            <w:vAlign w:val="center"/>
          </w:tcPr>
          <w:p>
            <w:pPr>
              <w:spacing w:line="276" w:lineRule="auto"/>
              <w:rPr>
                <w:rFonts w:ascii="Times New Roman" w:hAnsi="Times New Roman" w:cs="Times New Roman"/>
                <w:color w:val="auto"/>
                <w:sz w:val="20"/>
                <w:szCs w:val="20"/>
              </w:rPr>
            </w:pPr>
          </w:p>
        </w:tc>
        <w:tc>
          <w:tcPr>
            <w:tcW w:w="1218" w:type="pct"/>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Diffuse</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133 (58.6)</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26 (47.3)</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48 (61.5)</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59 (62.8)</w:t>
            </w: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0.145</w:t>
            </w:r>
          </w:p>
        </w:tc>
      </w:tr>
      <w:tr>
        <w:tblPrEx>
          <w:tblCellMar>
            <w:top w:w="0" w:type="dxa"/>
            <w:left w:w="108" w:type="dxa"/>
            <w:bottom w:w="0" w:type="dxa"/>
            <w:right w:w="108" w:type="dxa"/>
          </w:tblCellMar>
        </w:tblPrEx>
        <w:trPr>
          <w:trHeight w:val="23" w:hRule="atLeast"/>
          <w:jc w:val="center"/>
        </w:trPr>
        <w:tc>
          <w:tcPr>
            <w:tcW w:w="1333" w:type="pct"/>
            <w:gridSpan w:val="2"/>
            <w:tcBorders>
              <w:tl2br w:val="nil"/>
              <w:tr2bl w:val="nil"/>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Previous stent type</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c>
          <w:tcPr>
            <w:tcW w:w="386" w:type="pct"/>
            <w:tcBorders>
              <w:tl2br w:val="nil"/>
              <w:tr2bl w:val="nil"/>
            </w:tcBorders>
            <w:shd w:val="clear" w:color="auto" w:fill="FFFFFF"/>
          </w:tcPr>
          <w:p>
            <w:pPr>
              <w:spacing w:line="276" w:lineRule="auto"/>
              <w:jc w:val="center"/>
              <w:rPr>
                <w:rFonts w:ascii="Times New Roman" w:hAnsi="Times New Roman" w:eastAsia="宋体" w:cs="Times New Roman"/>
                <w:color w:val="auto"/>
                <w:sz w:val="20"/>
                <w:szCs w:val="20"/>
              </w:rPr>
            </w:pPr>
            <w:r>
              <w:rPr>
                <w:rFonts w:ascii="Times New Roman" w:hAnsi="Times New Roman" w:cs="Times New Roman"/>
                <w:color w:val="auto"/>
                <w:sz w:val="20"/>
                <w:szCs w:val="20"/>
              </w:rPr>
              <w:t>0.479</w:t>
            </w:r>
          </w:p>
        </w:tc>
      </w:tr>
      <w:tr>
        <w:tblPrEx>
          <w:tblCellMar>
            <w:top w:w="0" w:type="dxa"/>
            <w:left w:w="108" w:type="dxa"/>
            <w:bottom w:w="0" w:type="dxa"/>
            <w:right w:w="108" w:type="dxa"/>
          </w:tblCellMar>
        </w:tblPrEx>
        <w:trPr>
          <w:trHeight w:val="23" w:hRule="atLeast"/>
          <w:jc w:val="center"/>
        </w:trPr>
        <w:tc>
          <w:tcPr>
            <w:tcW w:w="114" w:type="pct"/>
            <w:vMerge w:val="restart"/>
            <w:shd w:val="clear" w:color="auto" w:fill="FFFFFF"/>
          </w:tcPr>
          <w:p>
            <w:pPr>
              <w:spacing w:line="276" w:lineRule="auto"/>
              <w:rPr>
                <w:rFonts w:ascii="Times New Roman" w:hAnsi="Times New Roman" w:cs="Times New Roman"/>
                <w:color w:val="auto"/>
                <w:sz w:val="20"/>
                <w:szCs w:val="20"/>
              </w:rPr>
            </w:pPr>
          </w:p>
        </w:tc>
        <w:tc>
          <w:tcPr>
            <w:tcW w:w="1218" w:type="pct"/>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First-generation DES</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172 (75.8)</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40 (72.7)</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56 (71.8)</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76 (80.9)</w:t>
            </w: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r>
      <w:tr>
        <w:tblPrEx>
          <w:tblCellMar>
            <w:top w:w="0" w:type="dxa"/>
            <w:left w:w="108" w:type="dxa"/>
            <w:bottom w:w="0" w:type="dxa"/>
            <w:right w:w="108" w:type="dxa"/>
          </w:tblCellMar>
        </w:tblPrEx>
        <w:trPr>
          <w:trHeight w:val="23" w:hRule="atLeast"/>
          <w:jc w:val="center"/>
        </w:trPr>
        <w:tc>
          <w:tcPr>
            <w:tcW w:w="114" w:type="pct"/>
            <w:vMerge w:val="continue"/>
            <w:vAlign w:val="center"/>
          </w:tcPr>
          <w:p>
            <w:pPr>
              <w:spacing w:line="276" w:lineRule="auto"/>
              <w:rPr>
                <w:rFonts w:ascii="Times New Roman" w:hAnsi="Times New Roman" w:cs="Times New Roman"/>
                <w:color w:val="auto"/>
                <w:sz w:val="20"/>
                <w:szCs w:val="20"/>
              </w:rPr>
            </w:pPr>
          </w:p>
        </w:tc>
        <w:tc>
          <w:tcPr>
            <w:tcW w:w="1218" w:type="pct"/>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New-generation DES</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44 (19.4)</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13 (23.6)</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18 (23.1)</w:t>
            </w:r>
          </w:p>
        </w:tc>
        <w:tc>
          <w:tcPr>
            <w:tcW w:w="820"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13 (13.8)</w:t>
            </w:r>
          </w:p>
        </w:tc>
        <w:tc>
          <w:tcPr>
            <w:tcW w:w="386" w:type="pct"/>
            <w:tcBorders>
              <w:tl2br w:val="nil"/>
              <w:tr2bl w:val="nil"/>
            </w:tcBorders>
            <w:shd w:val="clear" w:color="auto" w:fill="FFFFFF"/>
          </w:tcPr>
          <w:p>
            <w:pPr>
              <w:spacing w:line="276" w:lineRule="auto"/>
              <w:jc w:val="center"/>
              <w:rPr>
                <w:rFonts w:ascii="Times New Roman" w:hAnsi="Times New Roman" w:cs="Times New Roman"/>
                <w:color w:val="auto"/>
                <w:sz w:val="20"/>
                <w:szCs w:val="20"/>
              </w:rPr>
            </w:pPr>
          </w:p>
        </w:tc>
      </w:tr>
      <w:tr>
        <w:tblPrEx>
          <w:tblCellMar>
            <w:top w:w="0" w:type="dxa"/>
            <w:left w:w="108" w:type="dxa"/>
            <w:bottom w:w="0" w:type="dxa"/>
            <w:right w:w="108" w:type="dxa"/>
          </w:tblCellMar>
        </w:tblPrEx>
        <w:trPr>
          <w:trHeight w:val="23" w:hRule="atLeast"/>
          <w:jc w:val="center"/>
        </w:trPr>
        <w:tc>
          <w:tcPr>
            <w:tcW w:w="114" w:type="pct"/>
            <w:vMerge w:val="continue"/>
            <w:tcBorders>
              <w:bottom w:val="single" w:color="auto" w:sz="4" w:space="0"/>
            </w:tcBorders>
            <w:vAlign w:val="center"/>
          </w:tcPr>
          <w:p>
            <w:pPr>
              <w:spacing w:line="276" w:lineRule="auto"/>
              <w:rPr>
                <w:rFonts w:ascii="Times New Roman" w:hAnsi="Times New Roman" w:cs="Times New Roman"/>
                <w:color w:val="auto"/>
                <w:sz w:val="20"/>
                <w:szCs w:val="20"/>
              </w:rPr>
            </w:pPr>
          </w:p>
        </w:tc>
        <w:tc>
          <w:tcPr>
            <w:tcW w:w="1218" w:type="pct"/>
            <w:tcBorders>
              <w:bottom w:val="single" w:color="auto" w:sz="4" w:space="0"/>
            </w:tcBorders>
            <w:shd w:val="clear" w:color="auto" w:fill="FFFFFF"/>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Unknown</w:t>
            </w:r>
          </w:p>
        </w:tc>
        <w:tc>
          <w:tcPr>
            <w:tcW w:w="820" w:type="pct"/>
            <w:tcBorders>
              <w:bottom w:val="single" w:color="auto" w:sz="4" w:space="0"/>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11 (4.8)</w:t>
            </w:r>
          </w:p>
        </w:tc>
        <w:tc>
          <w:tcPr>
            <w:tcW w:w="820" w:type="pct"/>
            <w:tcBorders>
              <w:bottom w:val="single" w:color="auto" w:sz="4" w:space="0"/>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 (3.6)</w:t>
            </w:r>
          </w:p>
        </w:tc>
        <w:tc>
          <w:tcPr>
            <w:tcW w:w="820" w:type="pct"/>
            <w:tcBorders>
              <w:bottom w:val="single" w:color="auto" w:sz="4" w:space="0"/>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 (5.1)</w:t>
            </w:r>
          </w:p>
        </w:tc>
        <w:tc>
          <w:tcPr>
            <w:tcW w:w="820" w:type="pct"/>
            <w:tcBorders>
              <w:bottom w:val="single" w:color="auto" w:sz="4" w:space="0"/>
            </w:tcBorders>
            <w:shd w:val="clear" w:color="auto" w:fill="FFFFFF"/>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 (5.3)</w:t>
            </w:r>
          </w:p>
        </w:tc>
        <w:tc>
          <w:tcPr>
            <w:tcW w:w="386" w:type="pct"/>
            <w:tcBorders>
              <w:bottom w:val="single" w:color="auto" w:sz="4" w:space="0"/>
            </w:tcBorders>
            <w:shd w:val="clear" w:color="auto" w:fill="FFFFFF"/>
          </w:tcPr>
          <w:p>
            <w:pPr>
              <w:spacing w:line="276" w:lineRule="auto"/>
              <w:jc w:val="center"/>
              <w:rPr>
                <w:rFonts w:ascii="Times New Roman" w:hAnsi="Times New Roman" w:cs="Times New Roman"/>
                <w:color w:val="auto"/>
                <w:sz w:val="20"/>
                <w:szCs w:val="20"/>
              </w:rPr>
            </w:pPr>
          </w:p>
        </w:tc>
      </w:tr>
    </w:tbl>
    <w:p>
      <w:pPr>
        <w:spacing w:line="276" w:lineRule="auto"/>
        <w:rPr>
          <w:rFonts w:ascii="Times New Roman" w:hAnsi="Times New Roman" w:cs="Times New Roman"/>
          <w:color w:val="auto"/>
          <w:szCs w:val="21"/>
        </w:rPr>
      </w:pPr>
      <w:r>
        <w:rPr>
          <w:rFonts w:ascii="Times New Roman" w:hAnsi="Times New Roman" w:cs="Times New Roman"/>
          <w:color w:val="auto"/>
          <w:szCs w:val="21"/>
        </w:rPr>
        <w:t xml:space="preserve">Data are expressed as the median [interquartile range], mean±SD (standard deviation), or n (%). DES: Drug eluting stent; E-ISR: early in-stent restenosis; LAD: left anterior descending artery; LCX: left circumflex artery; L-ISR: late in-stent restenosis; MLD: minimal lumen diameter; RCA: right coronary artery; VL-ISR: very late in-stent restenosis. </w:t>
      </w:r>
    </w:p>
    <w:p>
      <w:pPr>
        <w:spacing w:line="276" w:lineRule="auto"/>
        <w:jc w:val="left"/>
        <w:rPr>
          <w:rFonts w:ascii="Times New Roman" w:hAnsi="Times New Roman" w:cs="Times New Roman"/>
          <w:b/>
          <w:bCs/>
          <w:color w:val="auto"/>
          <w:sz w:val="24"/>
          <w:szCs w:val="24"/>
        </w:rPr>
      </w:pPr>
    </w:p>
    <w:p>
      <w:pPr>
        <w:spacing w:line="276" w:lineRule="auto"/>
        <w:jc w:val="left"/>
        <w:rPr>
          <w:rFonts w:ascii="Times New Roman" w:hAnsi="Times New Roman" w:cs="Times New Roman"/>
          <w:b/>
          <w:bCs/>
          <w:color w:val="auto"/>
          <w:sz w:val="24"/>
          <w:szCs w:val="24"/>
        </w:rPr>
      </w:pPr>
    </w:p>
    <w:p>
      <w:pPr>
        <w:spacing w:line="276" w:lineRule="auto"/>
        <w:jc w:val="left"/>
        <w:rPr>
          <w:rFonts w:ascii="Times New Roman" w:hAnsi="Times New Roman" w:cs="Times New Roman"/>
          <w:b/>
          <w:bCs/>
          <w:color w:val="auto"/>
          <w:sz w:val="24"/>
          <w:szCs w:val="24"/>
        </w:rPr>
      </w:pPr>
    </w:p>
    <w:p>
      <w:pPr>
        <w:spacing w:line="276" w:lineRule="auto"/>
        <w:jc w:val="left"/>
        <w:rPr>
          <w:rFonts w:ascii="Times New Roman" w:hAnsi="Times New Roman" w:cs="Times New Roman"/>
          <w:b/>
          <w:bCs/>
          <w:color w:val="auto"/>
          <w:sz w:val="24"/>
          <w:szCs w:val="24"/>
        </w:rPr>
      </w:pPr>
    </w:p>
    <w:p>
      <w:pPr>
        <w:spacing w:line="276" w:lineRule="auto"/>
        <w:jc w:val="left"/>
        <w:rPr>
          <w:rFonts w:ascii="Times New Roman" w:hAnsi="Times New Roman" w:cs="Times New Roman"/>
          <w:b/>
          <w:bCs/>
          <w:color w:val="auto"/>
          <w:sz w:val="24"/>
          <w:szCs w:val="24"/>
        </w:rPr>
      </w:pPr>
    </w:p>
    <w:p>
      <w:pPr>
        <w:spacing w:line="276" w:lineRule="auto"/>
        <w:jc w:val="left"/>
        <w:rPr>
          <w:rFonts w:ascii="Times New Roman" w:hAnsi="Times New Roman" w:cs="Times New Roman"/>
          <w:b/>
          <w:bCs/>
          <w:color w:val="auto"/>
          <w:szCs w:val="21"/>
        </w:rPr>
      </w:pPr>
    </w:p>
    <w:p>
      <w:pPr>
        <w:widowControl/>
        <w:jc w:val="left"/>
        <w:rPr>
          <w:rFonts w:ascii="Times New Roman" w:hAnsi="Times New Roman" w:cs="Times New Roman"/>
          <w:b/>
          <w:bCs/>
          <w:color w:val="auto"/>
          <w:szCs w:val="21"/>
        </w:rPr>
      </w:pPr>
      <w:r>
        <w:rPr>
          <w:rFonts w:ascii="Times New Roman" w:hAnsi="Times New Roman" w:cs="Times New Roman"/>
          <w:b/>
          <w:bCs/>
          <w:color w:val="auto"/>
          <w:szCs w:val="21"/>
        </w:rPr>
        <w:br w:type="page"/>
      </w:r>
    </w:p>
    <w:p>
      <w:pPr>
        <w:spacing w:line="276" w:lineRule="auto"/>
        <w:jc w:val="left"/>
        <w:rPr>
          <w:rFonts w:ascii="Times New Roman" w:hAnsi="Times New Roman" w:eastAsia="黑体" w:cs="Times New Roman"/>
          <w:color w:val="auto"/>
          <w:szCs w:val="21"/>
        </w:rPr>
      </w:pPr>
      <w:r>
        <w:rPr>
          <w:rFonts w:ascii="Times New Roman" w:hAnsi="Times New Roman" w:cs="Times New Roman"/>
          <w:b/>
          <w:bCs/>
          <w:color w:val="auto"/>
          <w:szCs w:val="21"/>
        </w:rPr>
        <w:t xml:space="preserve">Supplementary </w:t>
      </w:r>
      <w:r>
        <w:rPr>
          <w:rFonts w:ascii="Times New Roman" w:hAnsi="Times New Roman" w:eastAsia="黑体" w:cs="Times New Roman"/>
          <w:b/>
          <w:bCs/>
          <w:color w:val="auto"/>
          <w:szCs w:val="21"/>
        </w:rPr>
        <w:t>Table 2. Analysis of the minimum lumen area site by OCT.</w:t>
      </w:r>
    </w:p>
    <w:tbl>
      <w:tblPr>
        <w:tblStyle w:val="10"/>
        <w:tblW w:w="6059"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240"/>
        <w:gridCol w:w="142"/>
        <w:gridCol w:w="1566"/>
        <w:gridCol w:w="1215"/>
        <w:gridCol w:w="1215"/>
        <w:gridCol w:w="1215"/>
        <w:gridCol w:w="1214"/>
        <w:gridCol w:w="825"/>
        <w:gridCol w:w="825"/>
        <w:gridCol w:w="825"/>
        <w:gridCol w:w="92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954" w:type="pct"/>
            <w:gridSpan w:val="3"/>
            <w:vMerge w:val="restart"/>
            <w:tcBorders>
              <w:top w:val="single" w:color="auto" w:sz="4" w:space="0"/>
              <w:left w:val="nil"/>
              <w:bottom w:val="nil"/>
              <w:right w:val="nil"/>
            </w:tcBorders>
          </w:tcPr>
          <w:p>
            <w:pPr>
              <w:spacing w:line="276" w:lineRule="auto"/>
              <w:rPr>
                <w:rFonts w:ascii="Times New Roman" w:hAnsi="Times New Roman" w:cs="Times New Roman"/>
                <w:b/>
                <w:bCs/>
                <w:color w:val="auto"/>
                <w:sz w:val="20"/>
                <w:szCs w:val="20"/>
              </w:rPr>
            </w:pPr>
          </w:p>
        </w:tc>
        <w:tc>
          <w:tcPr>
            <w:tcW w:w="595" w:type="pct"/>
            <w:vMerge w:val="restart"/>
            <w:tcBorders>
              <w:top w:val="single" w:color="auto" w:sz="4" w:space="0"/>
              <w:left w:val="nil"/>
              <w:bottom w:val="nil"/>
              <w:right w:val="nil"/>
            </w:tcBorders>
          </w:tcPr>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Overall</w:t>
            </w:r>
          </w:p>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(n=227)</w:t>
            </w:r>
          </w:p>
        </w:tc>
        <w:tc>
          <w:tcPr>
            <w:tcW w:w="595" w:type="pct"/>
            <w:vMerge w:val="restart"/>
            <w:tcBorders>
              <w:top w:val="single" w:color="auto" w:sz="4" w:space="0"/>
              <w:left w:val="nil"/>
              <w:bottom w:val="nil"/>
              <w:right w:val="nil"/>
            </w:tcBorders>
          </w:tcPr>
          <w:p>
            <w:pPr>
              <w:numPr>
                <w:ilvl w:val="0"/>
                <w:numId w:val="4"/>
              </w:num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ISR</w:t>
            </w:r>
          </w:p>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(n=55)</w:t>
            </w:r>
          </w:p>
        </w:tc>
        <w:tc>
          <w:tcPr>
            <w:tcW w:w="595" w:type="pct"/>
            <w:vMerge w:val="restart"/>
            <w:tcBorders>
              <w:top w:val="single" w:color="auto" w:sz="4" w:space="0"/>
              <w:left w:val="nil"/>
              <w:bottom w:val="nil"/>
              <w:right w:val="nil"/>
            </w:tcBorders>
          </w:tcPr>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L-ISR</w:t>
            </w:r>
          </w:p>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 xml:space="preserve"> (n=78)</w:t>
            </w:r>
          </w:p>
        </w:tc>
        <w:tc>
          <w:tcPr>
            <w:tcW w:w="594" w:type="pct"/>
            <w:vMerge w:val="restart"/>
            <w:tcBorders>
              <w:top w:val="single" w:color="auto" w:sz="4" w:space="0"/>
              <w:left w:val="nil"/>
              <w:bottom w:val="nil"/>
              <w:right w:val="nil"/>
            </w:tcBorders>
          </w:tcPr>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 xml:space="preserve">VL-ISR </w:t>
            </w:r>
          </w:p>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(n=94)</w:t>
            </w:r>
          </w:p>
        </w:tc>
        <w:tc>
          <w:tcPr>
            <w:tcW w:w="404" w:type="pct"/>
            <w:vMerge w:val="restart"/>
            <w:tcBorders>
              <w:top w:val="single" w:color="auto" w:sz="4" w:space="0"/>
              <w:left w:val="nil"/>
              <w:bottom w:val="nil"/>
              <w:right w:val="nil"/>
            </w:tcBorders>
          </w:tcPr>
          <w:p>
            <w:pPr>
              <w:spacing w:line="276" w:lineRule="auto"/>
              <w:jc w:val="center"/>
              <w:rPr>
                <w:rFonts w:ascii="Times New Roman" w:hAnsi="Times New Roman" w:cs="Times New Roman"/>
                <w:b/>
                <w:bCs/>
                <w:i/>
                <w:iCs/>
                <w:color w:val="auto"/>
                <w:sz w:val="20"/>
                <w:szCs w:val="20"/>
              </w:rPr>
            </w:pPr>
            <w:r>
              <w:rPr>
                <w:rFonts w:hint="eastAsia" w:ascii="Times New Roman" w:hAnsi="Times New Roman" w:cs="Times New Roman"/>
                <w:b/>
                <w:bCs/>
                <w:i/>
                <w:iCs/>
                <w:color w:val="auto"/>
                <w:sz w:val="20"/>
                <w:szCs w:val="20"/>
              </w:rPr>
              <w:t>p</w:t>
            </w:r>
            <w:r>
              <w:rPr>
                <w:rFonts w:ascii="Times New Roman" w:hAnsi="Times New Roman" w:cs="Times New Roman"/>
                <w:b/>
                <w:bCs/>
                <w:color w:val="auto"/>
                <w:sz w:val="20"/>
                <w:szCs w:val="20"/>
              </w:rPr>
              <w:t xml:space="preserve"> value</w:t>
            </w:r>
          </w:p>
        </w:tc>
        <w:tc>
          <w:tcPr>
            <w:tcW w:w="1260" w:type="pct"/>
            <w:gridSpan w:val="3"/>
            <w:tcBorders>
              <w:top w:val="single" w:color="auto" w:sz="4" w:space="0"/>
              <w:left w:val="nil"/>
              <w:bottom w:val="single" w:color="auto" w:sz="4" w:space="0"/>
              <w:right w:val="nil"/>
            </w:tcBorders>
          </w:tcPr>
          <w:p>
            <w:pPr>
              <w:spacing w:line="276" w:lineRule="auto"/>
              <w:jc w:val="center"/>
              <w:rPr>
                <w:rFonts w:ascii="Times New Roman" w:hAnsi="Times New Roman" w:cs="Times New Roman"/>
                <w:b/>
                <w:bCs/>
                <w:i/>
                <w:iCs/>
                <w:color w:val="auto"/>
                <w:sz w:val="20"/>
                <w:szCs w:val="20"/>
              </w:rPr>
            </w:pPr>
            <w:r>
              <w:rPr>
                <w:rFonts w:hint="eastAsia" w:ascii="Times New Roman" w:hAnsi="Times New Roman" w:cs="Times New Roman"/>
                <w:b/>
                <w:bCs/>
                <w:i/>
                <w:iCs/>
                <w:color w:val="auto"/>
                <w:sz w:val="20"/>
                <w:szCs w:val="20"/>
              </w:rPr>
              <w:t>p</w:t>
            </w:r>
            <w:r>
              <w:rPr>
                <w:rFonts w:ascii="Times New Roman" w:hAnsi="Times New Roman" w:cs="Times New Roman"/>
                <w:b/>
                <w:bCs/>
                <w:color w:val="auto"/>
                <w:sz w:val="20"/>
                <w:szCs w:val="20"/>
              </w:rPr>
              <w:t xml:space="preserve"> value</w:t>
            </w:r>
            <w:r>
              <w:rPr>
                <w:rFonts w:ascii="Times New Roman" w:hAnsi="Times New Roman" w:cs="Times New Roman"/>
                <w:color w:val="auto"/>
                <w:sz w:val="20"/>
                <w:szCs w:val="20"/>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954" w:type="pct"/>
            <w:gridSpan w:val="3"/>
            <w:vMerge w:val="continue"/>
            <w:tcBorders>
              <w:top w:val="single" w:color="auto" w:sz="4" w:space="0"/>
              <w:left w:val="nil"/>
              <w:bottom w:val="nil"/>
              <w:right w:val="nil"/>
            </w:tcBorders>
            <w:vAlign w:val="center"/>
          </w:tcPr>
          <w:p>
            <w:pPr>
              <w:widowControl/>
              <w:spacing w:line="276" w:lineRule="auto"/>
              <w:jc w:val="left"/>
              <w:rPr>
                <w:rFonts w:ascii="Times New Roman" w:hAnsi="Times New Roman" w:cs="Times New Roman"/>
                <w:b/>
                <w:bCs/>
                <w:color w:val="auto"/>
                <w:sz w:val="20"/>
                <w:szCs w:val="20"/>
              </w:rPr>
            </w:pPr>
          </w:p>
        </w:tc>
        <w:tc>
          <w:tcPr>
            <w:tcW w:w="595" w:type="pct"/>
            <w:vMerge w:val="continue"/>
            <w:tcBorders>
              <w:top w:val="single" w:color="auto" w:sz="4" w:space="0"/>
              <w:left w:val="nil"/>
              <w:bottom w:val="nil"/>
              <w:right w:val="nil"/>
            </w:tcBorders>
            <w:vAlign w:val="center"/>
          </w:tcPr>
          <w:p>
            <w:pPr>
              <w:widowControl/>
              <w:spacing w:line="276" w:lineRule="auto"/>
              <w:jc w:val="left"/>
              <w:rPr>
                <w:rFonts w:ascii="Times New Roman" w:hAnsi="Times New Roman" w:cs="Times New Roman"/>
                <w:b/>
                <w:bCs/>
                <w:color w:val="auto"/>
                <w:sz w:val="20"/>
                <w:szCs w:val="20"/>
              </w:rPr>
            </w:pPr>
          </w:p>
        </w:tc>
        <w:tc>
          <w:tcPr>
            <w:tcW w:w="595" w:type="pct"/>
            <w:vMerge w:val="continue"/>
            <w:tcBorders>
              <w:top w:val="single" w:color="auto" w:sz="4" w:space="0"/>
              <w:left w:val="nil"/>
              <w:bottom w:val="nil"/>
              <w:right w:val="nil"/>
            </w:tcBorders>
            <w:vAlign w:val="center"/>
          </w:tcPr>
          <w:p>
            <w:pPr>
              <w:widowControl/>
              <w:spacing w:line="276" w:lineRule="auto"/>
              <w:jc w:val="left"/>
              <w:rPr>
                <w:rFonts w:ascii="Times New Roman" w:hAnsi="Times New Roman" w:cs="Times New Roman"/>
                <w:b/>
                <w:bCs/>
                <w:color w:val="auto"/>
                <w:sz w:val="20"/>
                <w:szCs w:val="20"/>
              </w:rPr>
            </w:pPr>
          </w:p>
        </w:tc>
        <w:tc>
          <w:tcPr>
            <w:tcW w:w="595" w:type="pct"/>
            <w:vMerge w:val="continue"/>
            <w:tcBorders>
              <w:top w:val="single" w:color="auto" w:sz="4" w:space="0"/>
              <w:left w:val="nil"/>
              <w:bottom w:val="nil"/>
              <w:right w:val="nil"/>
            </w:tcBorders>
            <w:vAlign w:val="center"/>
          </w:tcPr>
          <w:p>
            <w:pPr>
              <w:widowControl/>
              <w:spacing w:line="276" w:lineRule="auto"/>
              <w:jc w:val="left"/>
              <w:rPr>
                <w:rFonts w:ascii="Times New Roman" w:hAnsi="Times New Roman" w:cs="Times New Roman"/>
                <w:b/>
                <w:bCs/>
                <w:color w:val="auto"/>
                <w:sz w:val="20"/>
                <w:szCs w:val="20"/>
              </w:rPr>
            </w:pPr>
          </w:p>
        </w:tc>
        <w:tc>
          <w:tcPr>
            <w:tcW w:w="594" w:type="pct"/>
            <w:vMerge w:val="continue"/>
            <w:tcBorders>
              <w:top w:val="single" w:color="auto" w:sz="4" w:space="0"/>
              <w:left w:val="nil"/>
              <w:bottom w:val="nil"/>
              <w:right w:val="nil"/>
            </w:tcBorders>
            <w:vAlign w:val="center"/>
          </w:tcPr>
          <w:p>
            <w:pPr>
              <w:widowControl/>
              <w:spacing w:line="276" w:lineRule="auto"/>
              <w:jc w:val="left"/>
              <w:rPr>
                <w:rFonts w:ascii="Times New Roman" w:hAnsi="Times New Roman" w:cs="Times New Roman"/>
                <w:b/>
                <w:bCs/>
                <w:color w:val="auto"/>
                <w:sz w:val="20"/>
                <w:szCs w:val="20"/>
              </w:rPr>
            </w:pPr>
          </w:p>
        </w:tc>
        <w:tc>
          <w:tcPr>
            <w:tcW w:w="404" w:type="pct"/>
            <w:vMerge w:val="continue"/>
            <w:tcBorders>
              <w:top w:val="single" w:color="auto" w:sz="4" w:space="0"/>
              <w:left w:val="nil"/>
              <w:bottom w:val="nil"/>
              <w:right w:val="nil"/>
            </w:tcBorders>
            <w:vAlign w:val="center"/>
          </w:tcPr>
          <w:p>
            <w:pPr>
              <w:widowControl/>
              <w:spacing w:line="276" w:lineRule="auto"/>
              <w:jc w:val="left"/>
              <w:rPr>
                <w:rFonts w:ascii="Times New Roman" w:hAnsi="Times New Roman" w:cs="Times New Roman"/>
                <w:b/>
                <w:bCs/>
                <w:i/>
                <w:iCs/>
                <w:color w:val="auto"/>
                <w:sz w:val="20"/>
                <w:szCs w:val="20"/>
              </w:rPr>
            </w:pPr>
          </w:p>
        </w:tc>
        <w:tc>
          <w:tcPr>
            <w:tcW w:w="404" w:type="pct"/>
            <w:tcBorders>
              <w:top w:val="nil"/>
              <w:left w:val="nil"/>
              <w:bottom w:val="single" w:color="auto" w:sz="4" w:space="0"/>
              <w:right w:val="nil"/>
            </w:tcBorders>
          </w:tcPr>
          <w:p>
            <w:pPr>
              <w:spacing w:line="276" w:lineRule="auto"/>
              <w:rPr>
                <w:rFonts w:ascii="Times New Roman" w:hAnsi="Times New Roman" w:cs="Times New Roman"/>
                <w:b/>
                <w:bCs/>
                <w:i/>
                <w:iCs/>
                <w:color w:val="auto"/>
                <w:sz w:val="20"/>
                <w:szCs w:val="20"/>
              </w:rPr>
            </w:pPr>
            <w:r>
              <w:rPr>
                <w:rFonts w:ascii="Times New Roman" w:hAnsi="Times New Roman" w:cs="Times New Roman"/>
                <w:b/>
                <w:bCs/>
                <w:color w:val="auto"/>
                <w:sz w:val="20"/>
                <w:szCs w:val="20"/>
              </w:rPr>
              <w:t>①vs.②</w:t>
            </w:r>
          </w:p>
        </w:tc>
        <w:tc>
          <w:tcPr>
            <w:tcW w:w="404" w:type="pct"/>
            <w:tcBorders>
              <w:top w:val="nil"/>
              <w:left w:val="nil"/>
              <w:bottom w:val="single" w:color="auto" w:sz="4" w:space="0"/>
              <w:right w:val="nil"/>
            </w:tcBorders>
          </w:tcPr>
          <w:p>
            <w:pPr>
              <w:spacing w:line="276" w:lineRule="auto"/>
              <w:rPr>
                <w:rFonts w:ascii="Times New Roman" w:hAnsi="Times New Roman" w:cs="Times New Roman"/>
                <w:b/>
                <w:bCs/>
                <w:i/>
                <w:iCs/>
                <w:color w:val="auto"/>
                <w:sz w:val="20"/>
                <w:szCs w:val="20"/>
              </w:rPr>
            </w:pPr>
            <w:r>
              <w:rPr>
                <w:rFonts w:ascii="Times New Roman" w:hAnsi="Times New Roman" w:cs="Times New Roman"/>
                <w:b/>
                <w:bCs/>
                <w:color w:val="auto"/>
                <w:sz w:val="20"/>
                <w:szCs w:val="20"/>
              </w:rPr>
              <w:t>①vs.③</w:t>
            </w:r>
          </w:p>
        </w:tc>
        <w:tc>
          <w:tcPr>
            <w:tcW w:w="452" w:type="pct"/>
            <w:tcBorders>
              <w:top w:val="nil"/>
              <w:left w:val="nil"/>
              <w:bottom w:val="single" w:color="auto" w:sz="4" w:space="0"/>
              <w:right w:val="nil"/>
            </w:tcBorders>
          </w:tcPr>
          <w:p>
            <w:pPr>
              <w:spacing w:line="276" w:lineRule="auto"/>
              <w:rPr>
                <w:rFonts w:ascii="Times New Roman" w:hAnsi="Times New Roman" w:cs="Times New Roman"/>
                <w:b/>
                <w:bCs/>
                <w:i/>
                <w:iCs/>
                <w:color w:val="auto"/>
                <w:sz w:val="20"/>
                <w:szCs w:val="20"/>
              </w:rPr>
            </w:pPr>
            <w:r>
              <w:rPr>
                <w:rFonts w:ascii="Times New Roman" w:hAnsi="Times New Roman" w:cs="Times New Roman"/>
                <w:b/>
                <w:bCs/>
                <w:color w:val="auto"/>
                <w:sz w:val="20"/>
                <w:szCs w:val="20"/>
              </w:rPr>
              <w:t>②vs.③</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954" w:type="pct"/>
            <w:gridSpan w:val="3"/>
            <w:tcBorders>
              <w:top w:val="single" w:color="auto" w:sz="4" w:space="0"/>
              <w:left w:val="nil"/>
              <w:bottom w:val="nil"/>
              <w:right w:val="nil"/>
            </w:tcBorders>
          </w:tcPr>
          <w:p>
            <w:pPr>
              <w:autoSpaceDE w:val="0"/>
              <w:autoSpaceDN w:val="0"/>
              <w:adjustRightInd w:val="0"/>
              <w:spacing w:line="276" w:lineRule="auto"/>
              <w:rPr>
                <w:rFonts w:ascii="Times New Roman" w:hAnsi="Times New Roman" w:cs="Times New Roman"/>
                <w:b/>
                <w:color w:val="auto"/>
                <w:sz w:val="20"/>
                <w:szCs w:val="20"/>
              </w:rPr>
            </w:pPr>
            <w:r>
              <w:rPr>
                <w:rFonts w:ascii="Times New Roman" w:hAnsi="Times New Roman" w:cs="Times New Roman"/>
                <w:b/>
                <w:color w:val="auto"/>
                <w:sz w:val="20"/>
                <w:szCs w:val="20"/>
              </w:rPr>
              <w:t>Quantitative analysis</w:t>
            </w:r>
          </w:p>
        </w:tc>
        <w:tc>
          <w:tcPr>
            <w:tcW w:w="595"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c>
          <w:tcPr>
            <w:tcW w:w="595"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c>
          <w:tcPr>
            <w:tcW w:w="595"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c>
          <w:tcPr>
            <w:tcW w:w="594"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restar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836" w:type="pct"/>
            <w:gridSpan w:val="2"/>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lumen area, mm</w:t>
            </w:r>
            <w:r>
              <w:rPr>
                <w:rFonts w:ascii="Times New Roman" w:hAnsi="Times New Roman" w:cs="Times New Roman"/>
                <w:color w:val="auto"/>
                <w:sz w:val="20"/>
                <w:szCs w:val="20"/>
                <w:vertAlign w:val="superscript"/>
              </w:rPr>
              <w:t xml:space="preserve"> 2</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1.64±0.55</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1.51±0.56</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1.71±0.53</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1.66±0.55</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0.110</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top w:val="nil"/>
              <w:left w:val="nil"/>
              <w:bottom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Stent area, mm</w:t>
            </w:r>
            <w:r>
              <w:rPr>
                <w:rFonts w:ascii="Times New Roman" w:hAnsi="Times New Roman" w:cs="Times New Roman"/>
                <w:color w:val="auto"/>
                <w:sz w:val="20"/>
                <w:szCs w:val="20"/>
                <w:vertAlign w:val="superscript"/>
              </w:rPr>
              <w:t xml:space="preserve"> 2</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6.74±1.97</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6.30±1.88</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7.12±1.80</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6.67±2.11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0.056</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top w:val="nil"/>
              <w:left w:val="nil"/>
              <w:bottom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Neointimal </w:t>
            </w:r>
          </w:p>
          <w:p>
            <w:pPr>
              <w:autoSpaceDE w:val="0"/>
              <w:autoSpaceDN w:val="0"/>
              <w:adjustRightInd w:val="0"/>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area,</w:t>
            </w:r>
            <w:r>
              <w:rPr>
                <w:rFonts w:hint="eastAsia" w:ascii="Times New Roman" w:hAnsi="Times New Roman" w:cs="Times New Roman"/>
                <w:color w:val="auto"/>
                <w:sz w:val="20"/>
                <w:szCs w:val="20"/>
              </w:rPr>
              <w:t xml:space="preserve"> </w:t>
            </w:r>
            <w:r>
              <w:rPr>
                <w:rFonts w:ascii="Times New Roman" w:hAnsi="Times New Roman" w:cs="Times New Roman"/>
                <w:color w:val="auto"/>
                <w:sz w:val="20"/>
                <w:szCs w:val="20"/>
              </w:rPr>
              <w:t>mm</w:t>
            </w:r>
            <w:r>
              <w:rPr>
                <w:rFonts w:ascii="Times New Roman" w:hAnsi="Times New Roman" w:cs="Times New Roman"/>
                <w:color w:val="auto"/>
                <w:sz w:val="20"/>
                <w:szCs w:val="20"/>
                <w:vertAlign w:val="superscript"/>
              </w:rPr>
              <w:t>2</w:t>
            </w:r>
            <w:r>
              <w:rPr>
                <w:rFonts w:ascii="Times New Roman" w:hAnsi="Times New Roman" w:cs="Times New Roman"/>
                <w:color w:val="auto"/>
                <w:sz w:val="20"/>
                <w:szCs w:val="20"/>
              </w:rPr>
              <w:t xml:space="preserve"> </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5.10±1.81</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4.79±1.75</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5.41±1.65</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5.01±1.95</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0.126</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top w:val="nil"/>
              <w:left w:val="nil"/>
              <w:bottom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Neointimal </w:t>
            </w:r>
            <w:bookmarkStart w:id="31" w:name="OLE_LINK85"/>
          </w:p>
          <w:p>
            <w:pPr>
              <w:autoSpaceDE w:val="0"/>
              <w:autoSpaceDN w:val="0"/>
              <w:adjustRightInd w:val="0"/>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burden</w:t>
            </w:r>
            <w:bookmarkEnd w:id="31"/>
            <w:r>
              <w:rPr>
                <w:rFonts w:ascii="Times New Roman" w:hAnsi="Times New Roman" w:cs="Times New Roman"/>
                <w:color w:val="auto"/>
                <w:sz w:val="20"/>
                <w:szCs w:val="20"/>
              </w:rPr>
              <w:t xml:space="preserve"> (%) </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74.54±8.79</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74.81±9.91</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75.34±7.49</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73.73±9.11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0.478</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954" w:type="pct"/>
            <w:gridSpan w:val="3"/>
            <w:tcBorders>
              <w:top w:val="nil"/>
              <w:left w:val="nil"/>
              <w:bottom w:val="nil"/>
              <w:right w:val="nil"/>
            </w:tcBorders>
          </w:tcPr>
          <w:p>
            <w:pPr>
              <w:autoSpaceDE w:val="0"/>
              <w:autoSpaceDN w:val="0"/>
              <w:adjustRightInd w:val="0"/>
              <w:spacing w:line="276" w:lineRule="auto"/>
              <w:rPr>
                <w:rFonts w:ascii="Times New Roman" w:hAnsi="Times New Roman" w:cs="Times New Roman"/>
                <w:b/>
                <w:color w:val="auto"/>
                <w:sz w:val="20"/>
                <w:szCs w:val="20"/>
              </w:rPr>
            </w:pPr>
            <w:r>
              <w:rPr>
                <w:rFonts w:ascii="Times New Roman" w:hAnsi="Times New Roman" w:cs="Times New Roman"/>
                <w:b/>
                <w:color w:val="auto"/>
                <w:sz w:val="20"/>
                <w:szCs w:val="20"/>
              </w:rPr>
              <w:t>Qualitative analysis</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restart"/>
            <w:tcBorders>
              <w:top w:val="nil"/>
              <w:left w:val="nil"/>
              <w:right w:val="nil"/>
            </w:tcBorders>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Homogeneous</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49 (21.6)</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28 (50.9)</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13 (16.7)</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 (8.5)</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&lt;0.001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&lt;0.001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&lt;0.001</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Heterogeneous</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178 (78.4)</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27 (49.1)</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65 (83.3)</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86 (91.5)</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&lt;0.001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&lt;0.001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&lt;0.001</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Layered</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17 (7.5)</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 (7.3)</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 (6.5)</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 (8.5)</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0.871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NA</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97 (42.7)</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 (29.1)</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30 (38.5)</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51 (54.3)</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0.007</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0.263</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0.003</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0.039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69" w:type="pct"/>
            <w:vMerge w:val="restart"/>
            <w:tcBorders>
              <w:top w:val="nil"/>
              <w:left w:val="nil"/>
              <w:right w:val="nil"/>
            </w:tcBorders>
          </w:tcPr>
          <w:p>
            <w:pPr>
              <w:spacing w:line="276" w:lineRule="auto"/>
              <w:ind w:firstLine="200" w:firstLineChars="100"/>
              <w:rPr>
                <w:rFonts w:ascii="Times New Roman" w:hAnsi="Times New Roman" w:cs="Times New Roman"/>
                <w:color w:val="auto"/>
                <w:sz w:val="20"/>
                <w:szCs w:val="20"/>
              </w:rPr>
            </w:pPr>
          </w:p>
        </w:tc>
        <w:tc>
          <w:tcPr>
            <w:tcW w:w="767" w:type="pct"/>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Lipidic</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93 (41.0)</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14 (25.5)</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28 (35.9)</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51 (54.3)</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0.001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0.202</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0.001</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69" w:type="pct"/>
            <w:vMerge w:val="continue"/>
            <w:tcBorders>
              <w:left w:val="nil"/>
              <w:right w:val="nil"/>
            </w:tcBorders>
          </w:tcPr>
          <w:p>
            <w:pPr>
              <w:spacing w:line="276" w:lineRule="auto"/>
              <w:ind w:firstLine="200" w:firstLineChars="100"/>
              <w:rPr>
                <w:rFonts w:ascii="Times New Roman" w:hAnsi="Times New Roman" w:cs="Times New Roman"/>
                <w:color w:val="auto"/>
                <w:sz w:val="20"/>
                <w:szCs w:val="20"/>
              </w:rPr>
            </w:pPr>
          </w:p>
        </w:tc>
        <w:tc>
          <w:tcPr>
            <w:tcW w:w="767" w:type="pct"/>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Calcified</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 (7.0)</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 (3.6)</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 (6.4)</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9 (9.6)</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0.379</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TCFA</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27 (11.9)</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 (1.8)</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 (10.3)</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18 (19.1)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0.006</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0.080</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0.002</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Intimal rupture</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23 (10.1)</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 (1.8)</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 (10.3)</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14 (14.9)</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0.038</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0.080</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0.010</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0.365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Plaque erosion</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 (7.0)</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 (3.6)</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 (6.4)</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9 (9.6)</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0.379</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Macrophage </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24 (10.6)</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 (1.8)</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 (10.3)</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15 (16.0)</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0.025</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0.080</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0.007</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0.274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Cholesterol crystal</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15</w:t>
            </w:r>
            <w:r>
              <w:rPr>
                <w:rFonts w:hint="eastAsia" w:ascii="Times New Roman" w:hAnsi="Times New Roman" w:cs="Times New Roman"/>
                <w:color w:val="auto"/>
                <w:sz w:val="20"/>
                <w:szCs w:val="20"/>
              </w:rPr>
              <w:t xml:space="preserve"> </w:t>
            </w:r>
            <w:r>
              <w:rPr>
                <w:rFonts w:ascii="Times New Roman" w:hAnsi="Times New Roman" w:cs="Times New Roman"/>
                <w:color w:val="auto"/>
                <w:sz w:val="20"/>
                <w:szCs w:val="20"/>
              </w:rPr>
              <w:t>(6.6)</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 (3.6)</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 (6.4)</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 (8.5)</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0.511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PLIA</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w:t>
            </w:r>
            <w:r>
              <w:rPr>
                <w:rFonts w:hint="eastAsia" w:ascii="Times New Roman" w:hAnsi="Times New Roman" w:cs="Times New Roman"/>
                <w:color w:val="auto"/>
                <w:sz w:val="20"/>
                <w:szCs w:val="20"/>
                <w:lang w:val="en-US" w:eastAsia="zh-CN"/>
              </w:rPr>
              <w:t xml:space="preserve">1 </w:t>
            </w:r>
            <w:r>
              <w:rPr>
                <w:rFonts w:ascii="Times New Roman" w:hAnsi="Times New Roman" w:cs="Times New Roman"/>
                <w:color w:val="auto"/>
                <w:sz w:val="20"/>
                <w:szCs w:val="20"/>
              </w:rPr>
              <w:t>(12.3)</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 (7.3)</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9 (11.5)</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hint="eastAsia" w:ascii="Times New Roman" w:hAnsi="Times New Roman" w:cs="Times New Roman"/>
                <w:color w:val="auto"/>
                <w:sz w:val="20"/>
                <w:szCs w:val="20"/>
                <w:lang w:val="en-US" w:eastAsia="zh-CN"/>
              </w:rPr>
              <w:t>8</w:t>
            </w:r>
            <w:r>
              <w:rPr>
                <w:rFonts w:ascii="Times New Roman" w:hAnsi="Times New Roman" w:cs="Times New Roman"/>
                <w:color w:val="auto"/>
                <w:sz w:val="20"/>
                <w:szCs w:val="20"/>
              </w:rPr>
              <w:t xml:space="preserve"> (</w:t>
            </w:r>
            <w:r>
              <w:rPr>
                <w:rFonts w:hint="eastAsia" w:ascii="Times New Roman" w:hAnsi="Times New Roman" w:cs="Times New Roman"/>
                <w:color w:val="auto"/>
                <w:sz w:val="20"/>
                <w:szCs w:val="20"/>
                <w:lang w:val="en-US" w:eastAsia="zh-CN"/>
              </w:rPr>
              <w:t>8.5</w:t>
            </w:r>
            <w:r>
              <w:rPr>
                <w:rFonts w:ascii="Times New Roman" w:hAnsi="Times New Roman" w:cs="Times New Roman"/>
                <w:color w:val="auto"/>
                <w:sz w:val="20"/>
                <w:szCs w:val="20"/>
              </w:rPr>
              <w:t>)</w:t>
            </w:r>
          </w:p>
        </w:tc>
        <w:tc>
          <w:tcPr>
            <w:tcW w:w="404" w:type="pct"/>
            <w:tcBorders>
              <w:top w:val="nil"/>
              <w:left w:val="nil"/>
              <w:bottom w:val="nil"/>
              <w:right w:val="nil"/>
            </w:tcBorders>
          </w:tcPr>
          <w:p>
            <w:pPr>
              <w:spacing w:line="276" w:lineRule="auto"/>
              <w:jc w:val="center"/>
              <w:rPr>
                <w:rFonts w:hint="default" w:ascii="Times New Roman" w:hAnsi="Times New Roman" w:cs="Times New Roman" w:eastAsiaTheme="minorEastAsia"/>
                <w:color w:val="auto"/>
                <w:sz w:val="20"/>
                <w:szCs w:val="20"/>
                <w:lang w:val="en-US" w:eastAsia="zh-CN"/>
              </w:rPr>
            </w:pPr>
            <w:r>
              <w:rPr>
                <w:rFonts w:ascii="Times New Roman" w:hAnsi="Times New Roman" w:cs="Times New Roman"/>
                <w:color w:val="auto"/>
                <w:sz w:val="20"/>
                <w:szCs w:val="20"/>
              </w:rPr>
              <w:t>0.</w:t>
            </w:r>
            <w:r>
              <w:rPr>
                <w:rFonts w:hint="eastAsia" w:ascii="Times New Roman" w:hAnsi="Times New Roman" w:cs="Times New Roman"/>
                <w:color w:val="auto"/>
                <w:sz w:val="20"/>
                <w:szCs w:val="20"/>
                <w:lang w:val="en-US" w:eastAsia="zh-CN"/>
              </w:rPr>
              <w:t>669</w:t>
            </w:r>
            <w:bookmarkStart w:id="34" w:name="_GoBack"/>
            <w:bookmarkEnd w:id="34"/>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NV</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54 (23.8)</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 (12.7)</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 (20.5)</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31 (33.0)</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0.014</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0.242</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0.006</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0.068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69" w:type="pct"/>
            <w:vMerge w:val="restart"/>
            <w:tcBorders>
              <w:top w:val="nil"/>
              <w:left w:val="nil"/>
              <w:right w:val="nil"/>
            </w:tcBorders>
          </w:tcPr>
          <w:p>
            <w:pPr>
              <w:spacing w:line="276" w:lineRule="auto"/>
              <w:ind w:firstLine="400" w:firstLineChars="200"/>
              <w:rPr>
                <w:rFonts w:ascii="Times New Roman" w:hAnsi="Times New Roman" w:cs="Times New Roman"/>
                <w:color w:val="auto"/>
                <w:sz w:val="20"/>
                <w:szCs w:val="20"/>
              </w:rPr>
            </w:pPr>
          </w:p>
        </w:tc>
        <w:tc>
          <w:tcPr>
            <w:tcW w:w="767" w:type="pct"/>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Intraintima</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26 (11.5)</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 (3.6)</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 (10.3)</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 (17.0)</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0.043</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0.154</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0.016</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0.202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69" w:type="pct"/>
            <w:vMerge w:val="continue"/>
            <w:tcBorders>
              <w:left w:val="nil"/>
              <w:right w:val="nil"/>
            </w:tcBorders>
          </w:tcPr>
          <w:p>
            <w:pPr>
              <w:spacing w:line="276" w:lineRule="auto"/>
              <w:ind w:firstLine="400" w:firstLineChars="200"/>
              <w:rPr>
                <w:rFonts w:ascii="Times New Roman" w:hAnsi="Times New Roman" w:cs="Times New Roman"/>
                <w:color w:val="auto"/>
                <w:sz w:val="20"/>
                <w:szCs w:val="20"/>
              </w:rPr>
            </w:pPr>
          </w:p>
        </w:tc>
        <w:tc>
          <w:tcPr>
            <w:tcW w:w="767" w:type="pct"/>
            <w:tcBorders>
              <w:top w:val="nil"/>
              <w:left w:val="nil"/>
              <w:bottom w:val="nil"/>
              <w:right w:val="nil"/>
            </w:tcBorders>
          </w:tcPr>
          <w:p>
            <w:pPr>
              <w:spacing w:line="276" w:lineRule="auto"/>
              <w:rPr>
                <w:rFonts w:ascii="Times New Roman" w:hAnsi="Times New Roman" w:cs="Times New Roman"/>
                <w:color w:val="auto"/>
                <w:sz w:val="20"/>
                <w:szCs w:val="20"/>
              </w:rPr>
            </w:pPr>
            <w:bookmarkStart w:id="32" w:name="OLE_LINK40"/>
            <w:r>
              <w:rPr>
                <w:rFonts w:ascii="Times New Roman" w:hAnsi="Times New Roman" w:cs="Times New Roman"/>
                <w:color w:val="auto"/>
                <w:sz w:val="20"/>
                <w:szCs w:val="20"/>
              </w:rPr>
              <w:t>Peri-stent</w:t>
            </w:r>
            <w:bookmarkEnd w:id="32"/>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30 (13.2)</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 (9.1)</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9 (11.5)</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 (17.0)</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0.334</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836"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Thrombus </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24 (10.6)</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 (1.8)</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9 (11.5)</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14 (14.9)</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0.041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0.046</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0.010</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0.520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right w:val="nil"/>
            </w:tcBorders>
            <w:vAlign w:val="center"/>
          </w:tcPr>
          <w:p>
            <w:pPr>
              <w:widowControl/>
              <w:spacing w:line="276" w:lineRule="auto"/>
              <w:jc w:val="left"/>
              <w:rPr>
                <w:rFonts w:ascii="Times New Roman" w:hAnsi="Times New Roman" w:cs="Times New Roman"/>
                <w:color w:val="auto"/>
                <w:sz w:val="20"/>
                <w:szCs w:val="20"/>
              </w:rPr>
            </w:pPr>
          </w:p>
        </w:tc>
        <w:tc>
          <w:tcPr>
            <w:tcW w:w="69" w:type="pct"/>
            <w:vMerge w:val="restart"/>
            <w:tcBorders>
              <w:top w:val="nil"/>
              <w:left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    </w:t>
            </w:r>
          </w:p>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    </w:t>
            </w:r>
          </w:p>
        </w:tc>
        <w:tc>
          <w:tcPr>
            <w:tcW w:w="767" w:type="pct"/>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Red</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15 (6.6)</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 (0.0)</w:t>
            </w:r>
          </w:p>
        </w:tc>
        <w:tc>
          <w:tcPr>
            <w:tcW w:w="595"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 (6.4)</w:t>
            </w:r>
          </w:p>
        </w:tc>
        <w:tc>
          <w:tcPr>
            <w:tcW w:w="59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10 (9.6)</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0.041</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0.077</w:t>
            </w:r>
          </w:p>
        </w:tc>
        <w:tc>
          <w:tcPr>
            <w:tcW w:w="404"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0.014</w:t>
            </w:r>
          </w:p>
        </w:tc>
        <w:tc>
          <w:tcPr>
            <w:tcW w:w="452"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0.328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57" w:type="dxa"/>
            <w:bottom w:w="0" w:type="dxa"/>
            <w:right w:w="57" w:type="dxa"/>
          </w:tblCellMar>
        </w:tblPrEx>
        <w:trPr>
          <w:trHeight w:val="23" w:hRule="atLeast"/>
          <w:jc w:val="center"/>
        </w:trPr>
        <w:tc>
          <w:tcPr>
            <w:tcW w:w="117" w:type="pct"/>
            <w:vMerge w:val="continue"/>
            <w:tcBorders>
              <w:left w:val="nil"/>
              <w:bottom w:val="nil"/>
              <w:right w:val="nil"/>
            </w:tcBorders>
            <w:vAlign w:val="center"/>
          </w:tcPr>
          <w:p>
            <w:pPr>
              <w:widowControl/>
              <w:spacing w:line="276" w:lineRule="auto"/>
              <w:jc w:val="left"/>
              <w:rPr>
                <w:rFonts w:ascii="Times New Roman" w:hAnsi="Times New Roman" w:cs="Times New Roman"/>
                <w:color w:val="auto"/>
                <w:sz w:val="20"/>
                <w:szCs w:val="20"/>
              </w:rPr>
            </w:pPr>
          </w:p>
        </w:tc>
        <w:tc>
          <w:tcPr>
            <w:tcW w:w="69" w:type="pct"/>
            <w:vMerge w:val="continue"/>
            <w:tcBorders>
              <w:left w:val="nil"/>
              <w:bottom w:val="single" w:color="auto" w:sz="4" w:space="0"/>
              <w:right w:val="nil"/>
            </w:tcBorders>
          </w:tcPr>
          <w:p>
            <w:pPr>
              <w:spacing w:line="276" w:lineRule="auto"/>
              <w:rPr>
                <w:rFonts w:ascii="Times New Roman" w:hAnsi="Times New Roman" w:cs="Times New Roman"/>
                <w:color w:val="auto"/>
                <w:sz w:val="20"/>
                <w:szCs w:val="20"/>
              </w:rPr>
            </w:pPr>
          </w:p>
        </w:tc>
        <w:tc>
          <w:tcPr>
            <w:tcW w:w="767" w:type="pct"/>
            <w:tcBorders>
              <w:top w:val="nil"/>
              <w:left w:val="nil"/>
              <w:bottom w:val="single" w:color="auto" w:sz="4" w:space="0"/>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White</w:t>
            </w:r>
          </w:p>
        </w:tc>
        <w:tc>
          <w:tcPr>
            <w:tcW w:w="595"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13 (5.7)</w:t>
            </w:r>
          </w:p>
        </w:tc>
        <w:tc>
          <w:tcPr>
            <w:tcW w:w="595"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 (1.8)</w:t>
            </w:r>
          </w:p>
        </w:tc>
        <w:tc>
          <w:tcPr>
            <w:tcW w:w="595"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 (6.4)</w:t>
            </w:r>
          </w:p>
        </w:tc>
        <w:tc>
          <w:tcPr>
            <w:tcW w:w="594"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 (7.4)</w:t>
            </w:r>
          </w:p>
        </w:tc>
        <w:tc>
          <w:tcPr>
            <w:tcW w:w="404"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0.389</w:t>
            </w:r>
          </w:p>
        </w:tc>
        <w:tc>
          <w:tcPr>
            <w:tcW w:w="404"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p>
        </w:tc>
        <w:tc>
          <w:tcPr>
            <w:tcW w:w="404"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p>
        </w:tc>
        <w:tc>
          <w:tcPr>
            <w:tcW w:w="452"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p>
        </w:tc>
      </w:tr>
    </w:tbl>
    <w:p>
      <w:pPr>
        <w:spacing w:line="276" w:lineRule="auto"/>
        <w:rPr>
          <w:rFonts w:hint="eastAsia" w:ascii="Times New Roman" w:hAnsi="Times New Roman" w:cs="Times New Roman" w:eastAsiaTheme="minorEastAsia"/>
          <w:color w:val="auto"/>
          <w:szCs w:val="21"/>
          <w:lang w:val="en-US" w:eastAsia="zh-CN"/>
        </w:rPr>
      </w:pPr>
      <w:r>
        <w:rPr>
          <w:rFonts w:ascii="Times New Roman" w:hAnsi="Times New Roman" w:cs="Times New Roman"/>
          <w:color w:val="auto"/>
          <w:szCs w:val="21"/>
        </w:rPr>
        <w:t xml:space="preserve">Data are expressed as mean±SD (standard deviation) or n (%). *A </w:t>
      </w:r>
      <w:r>
        <w:rPr>
          <w:rFonts w:hint="eastAsia" w:ascii="Times New Roman" w:hAnsi="Times New Roman" w:cs="Times New Roman"/>
          <w:i/>
          <w:iCs/>
          <w:color w:val="auto"/>
          <w:szCs w:val="21"/>
        </w:rPr>
        <w:t>p</w:t>
      </w:r>
      <w:r>
        <w:rPr>
          <w:rFonts w:ascii="Times New Roman" w:hAnsi="Times New Roman" w:cs="Times New Roman"/>
          <w:color w:val="auto"/>
          <w:szCs w:val="21"/>
        </w:rPr>
        <w:t xml:space="preserve"> value of &lt;0.017 was considered statistically significant. E-ISR: </w:t>
      </w:r>
      <w:r>
        <w:rPr>
          <w:rFonts w:hint="eastAsia" w:ascii="Times New Roman" w:hAnsi="Times New Roman" w:cs="Times New Roman"/>
          <w:color w:val="auto"/>
          <w:szCs w:val="21"/>
        </w:rPr>
        <w:t>e</w:t>
      </w:r>
      <w:r>
        <w:rPr>
          <w:rFonts w:ascii="Times New Roman" w:hAnsi="Times New Roman" w:cs="Times New Roman"/>
          <w:color w:val="auto"/>
          <w:szCs w:val="21"/>
        </w:rPr>
        <w:t xml:space="preserve">arly in-stent restenosis; L-ISR: late in-stent restenosis; NA: </w:t>
      </w:r>
      <w:r>
        <w:rPr>
          <w:rFonts w:hint="eastAsia" w:ascii="Times New Roman" w:hAnsi="Times New Roman" w:cs="Times New Roman"/>
          <w:color w:val="auto"/>
          <w:szCs w:val="21"/>
        </w:rPr>
        <w:t>n</w:t>
      </w:r>
      <w:r>
        <w:rPr>
          <w:rFonts w:ascii="Times New Roman" w:hAnsi="Times New Roman" w:cs="Times New Roman"/>
          <w:color w:val="auto"/>
          <w:szCs w:val="21"/>
        </w:rPr>
        <w:t>eoatherosclerosis; NV: neovascularization; OCT: optical coherence tomography; PLIA: peri-low intensity area; TCFA: thin-cap fibroatheroma. VL-ISR: very late in-stent restenosis.</w:t>
      </w:r>
      <w:r>
        <w:rPr>
          <w:rFonts w:hint="eastAsia" w:ascii="Times New Roman" w:hAnsi="Times New Roman" w:cs="Times New Roman"/>
          <w:color w:val="auto"/>
          <w:szCs w:val="21"/>
        </w:rPr>
        <w:t xml:space="preserve"> </w:t>
      </w:r>
      <w:r>
        <w:rPr>
          <w:rFonts w:ascii="Times New Roman" w:hAnsi="Times New Roman" w:cs="Times New Roman"/>
          <w:color w:val="auto"/>
          <w:szCs w:val="21"/>
        </w:rPr>
        <w:t>①: E-ISR; ②: L-ISR; ③: VL-ISR</w:t>
      </w:r>
      <w:r>
        <w:rPr>
          <w:rFonts w:hint="eastAsia" w:ascii="Times New Roman" w:hAnsi="Times New Roman" w:cs="Times New Roman"/>
          <w:color w:val="auto"/>
          <w:szCs w:val="21"/>
          <w:lang w:val="en-US" w:eastAsia="zh-CN"/>
        </w:rPr>
        <w:t>.</w:t>
      </w:r>
    </w:p>
    <w:p>
      <w:pPr>
        <w:widowControl/>
        <w:jc w:val="left"/>
        <w:rPr>
          <w:rFonts w:ascii="Times New Roman" w:hAnsi="Times New Roman" w:cs="Times New Roman"/>
          <w:color w:val="auto"/>
          <w:szCs w:val="21"/>
        </w:rPr>
      </w:pPr>
      <w:r>
        <w:rPr>
          <w:rFonts w:ascii="Times New Roman" w:hAnsi="Times New Roman" w:cs="Times New Roman"/>
          <w:color w:val="auto"/>
          <w:szCs w:val="21"/>
        </w:rPr>
        <w:br w:type="page"/>
      </w:r>
    </w:p>
    <w:p>
      <w:pPr>
        <w:spacing w:line="276" w:lineRule="auto"/>
        <w:rPr>
          <w:rFonts w:ascii="Times New Roman" w:hAnsi="Times New Roman" w:cs="Times New Roman"/>
          <w:b/>
          <w:bCs/>
          <w:color w:val="auto"/>
          <w:szCs w:val="21"/>
        </w:rPr>
      </w:pPr>
      <w:r>
        <w:rPr>
          <w:rFonts w:ascii="Times New Roman" w:hAnsi="Times New Roman" w:cs="Times New Roman"/>
          <w:b/>
          <w:bCs/>
          <w:color w:val="auto"/>
          <w:szCs w:val="21"/>
        </w:rPr>
        <w:t xml:space="preserve">Supplementary Table 3. Patient characteristics between the NA and non-NA </w:t>
      </w:r>
      <w:r>
        <w:rPr>
          <w:color w:val="auto"/>
        </w:rPr>
        <w:fldChar w:fldCharType="begin"/>
      </w:r>
      <w:r>
        <w:rPr>
          <w:color w:val="auto"/>
        </w:rPr>
        <w:instrText xml:space="preserve"> HYPERLINK "javascript:;" </w:instrText>
      </w:r>
      <w:r>
        <w:rPr>
          <w:color w:val="auto"/>
        </w:rPr>
        <w:fldChar w:fldCharType="separate"/>
      </w:r>
      <w:r>
        <w:rPr>
          <w:rFonts w:ascii="Times New Roman" w:hAnsi="Times New Roman" w:cs="Times New Roman"/>
          <w:b/>
          <w:bCs/>
          <w:color w:val="auto"/>
          <w:szCs w:val="21"/>
        </w:rPr>
        <w:t>group</w:t>
      </w:r>
      <w:r>
        <w:rPr>
          <w:rFonts w:ascii="Times New Roman" w:hAnsi="Times New Roman" w:cs="Times New Roman"/>
          <w:b/>
          <w:bCs/>
          <w:color w:val="auto"/>
          <w:szCs w:val="21"/>
        </w:rPr>
        <w:fldChar w:fldCharType="end"/>
      </w:r>
      <w:r>
        <w:rPr>
          <w:rFonts w:ascii="Times New Roman" w:hAnsi="Times New Roman" w:cs="Times New Roman"/>
          <w:b/>
          <w:bCs/>
          <w:color w:val="auto"/>
          <w:szCs w:val="21"/>
        </w:rPr>
        <w:t>s</w:t>
      </w:r>
      <w:r>
        <w:rPr>
          <w:rFonts w:hint="eastAsia" w:ascii="Times New Roman" w:hAnsi="Times New Roman" w:cs="Times New Roman"/>
          <w:b/>
          <w:bCs/>
          <w:color w:val="auto"/>
          <w:szCs w:val="21"/>
        </w:rPr>
        <w:t>.</w:t>
      </w:r>
    </w:p>
    <w:tbl>
      <w:tblPr>
        <w:tblStyle w:val="10"/>
        <w:tblW w:w="5733" w:type="pct"/>
        <w:jc w:val="center"/>
        <w:tblDescription w:val="{&quot;styleId&quot;:2}"/>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6"/>
        <w:gridCol w:w="233"/>
        <w:gridCol w:w="145"/>
        <w:gridCol w:w="2716"/>
        <w:gridCol w:w="1870"/>
        <w:gridCol w:w="1870"/>
        <w:gridCol w:w="1870"/>
        <w:gridCol w:w="81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jc w:val="center"/>
        </w:trPr>
        <w:tc>
          <w:tcPr>
            <w:tcW w:w="1627" w:type="pct"/>
            <w:gridSpan w:val="4"/>
            <w:vMerge w:val="restart"/>
            <w:tcBorders>
              <w:top w:val="single" w:color="auto" w:sz="4" w:space="0"/>
              <w:left w:val="nil"/>
              <w:bottom w:val="nil"/>
              <w:right w:val="nil"/>
            </w:tcBorders>
          </w:tcPr>
          <w:p>
            <w:pPr>
              <w:spacing w:line="276" w:lineRule="auto"/>
              <w:rPr>
                <w:rFonts w:ascii="Times New Roman" w:hAnsi="Times New Roman" w:cs="Times New Roman"/>
                <w:b/>
                <w:bCs/>
                <w:color w:val="auto"/>
                <w:sz w:val="20"/>
                <w:szCs w:val="20"/>
              </w:rPr>
            </w:pPr>
          </w:p>
        </w:tc>
        <w:tc>
          <w:tcPr>
            <w:tcW w:w="981" w:type="pct"/>
            <w:vMerge w:val="restart"/>
            <w:tcBorders>
              <w:top w:val="single" w:color="auto" w:sz="4" w:space="0"/>
              <w:left w:val="nil"/>
              <w:bottom w:val="nil"/>
              <w:right w:val="nil"/>
            </w:tcBorders>
          </w:tcPr>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Overall (n=227)</w:t>
            </w:r>
          </w:p>
        </w:tc>
        <w:tc>
          <w:tcPr>
            <w:tcW w:w="981" w:type="pct"/>
            <w:vMerge w:val="restart"/>
            <w:tcBorders>
              <w:top w:val="single" w:color="auto" w:sz="4" w:space="0"/>
              <w:left w:val="nil"/>
              <w:bottom w:val="nil"/>
              <w:right w:val="nil"/>
            </w:tcBorders>
          </w:tcPr>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NA (n=120)</w:t>
            </w:r>
          </w:p>
        </w:tc>
        <w:tc>
          <w:tcPr>
            <w:tcW w:w="981" w:type="pct"/>
            <w:vMerge w:val="restart"/>
            <w:tcBorders>
              <w:top w:val="single" w:color="auto" w:sz="4" w:space="0"/>
              <w:left w:val="nil"/>
              <w:bottom w:val="nil"/>
              <w:right w:val="nil"/>
            </w:tcBorders>
          </w:tcPr>
          <w:p>
            <w:pPr>
              <w:spacing w:line="276" w:lineRule="auto"/>
              <w:jc w:val="center"/>
              <w:rPr>
                <w:rFonts w:ascii="Times New Roman" w:hAnsi="Times New Roman" w:cs="Times New Roman"/>
                <w:b/>
                <w:bCs/>
                <w:color w:val="auto"/>
                <w:sz w:val="20"/>
                <w:szCs w:val="20"/>
              </w:rPr>
            </w:pPr>
            <w:r>
              <w:rPr>
                <w:rFonts w:ascii="Times New Roman" w:hAnsi="Times New Roman" w:cs="Times New Roman"/>
                <w:b/>
                <w:bCs/>
                <w:color w:val="auto"/>
                <w:sz w:val="20"/>
                <w:szCs w:val="20"/>
              </w:rPr>
              <w:t>Non-NA (n=107)</w:t>
            </w:r>
          </w:p>
        </w:tc>
        <w:tc>
          <w:tcPr>
            <w:tcW w:w="427" w:type="pct"/>
            <w:vMerge w:val="restart"/>
            <w:tcBorders>
              <w:top w:val="single" w:color="auto" w:sz="4" w:space="0"/>
              <w:left w:val="nil"/>
              <w:bottom w:val="nil"/>
              <w:right w:val="nil"/>
            </w:tcBorders>
          </w:tcPr>
          <w:p>
            <w:pPr>
              <w:spacing w:line="276" w:lineRule="auto"/>
              <w:jc w:val="center"/>
              <w:rPr>
                <w:rFonts w:ascii="Times New Roman" w:hAnsi="Times New Roman" w:cs="Times New Roman"/>
                <w:b/>
                <w:bCs/>
                <w:i/>
                <w:iCs/>
                <w:color w:val="auto"/>
                <w:sz w:val="20"/>
                <w:szCs w:val="20"/>
              </w:rPr>
            </w:pPr>
            <w:r>
              <w:rPr>
                <w:rFonts w:hint="eastAsia" w:ascii="Times New Roman" w:hAnsi="Times New Roman" w:cs="Times New Roman"/>
                <w:b/>
                <w:bCs/>
                <w:i/>
                <w:iCs/>
                <w:color w:val="auto"/>
                <w:sz w:val="20"/>
                <w:szCs w:val="20"/>
              </w:rPr>
              <w:t>p</w:t>
            </w:r>
            <w:r>
              <w:rPr>
                <w:rFonts w:ascii="Times New Roman" w:hAnsi="Times New Roman" w:cs="Times New Roman"/>
                <w:b/>
                <w:bCs/>
                <w:i/>
                <w:iCs/>
                <w:color w:val="auto"/>
                <w:sz w:val="20"/>
                <w:szCs w:val="20"/>
              </w:rPr>
              <w:t xml:space="preserve"> </w:t>
            </w:r>
            <w:r>
              <w:rPr>
                <w:rFonts w:ascii="Times New Roman" w:hAnsi="Times New Roman" w:cs="Times New Roman"/>
                <w:b/>
                <w:bCs/>
                <w:color w:val="auto"/>
                <w:sz w:val="20"/>
                <w:szCs w:val="20"/>
              </w:rPr>
              <w:t>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59" w:hRule="atLeast"/>
          <w:jc w:val="center"/>
        </w:trPr>
        <w:tc>
          <w:tcPr>
            <w:tcW w:w="1627" w:type="pct"/>
            <w:gridSpan w:val="4"/>
            <w:vMerge w:val="continue"/>
            <w:tcBorders>
              <w:top w:val="single" w:color="auto" w:sz="4" w:space="0"/>
              <w:left w:val="nil"/>
              <w:bottom w:val="nil"/>
              <w:right w:val="nil"/>
            </w:tcBorders>
            <w:vAlign w:val="center"/>
          </w:tcPr>
          <w:p>
            <w:pPr>
              <w:widowControl/>
              <w:spacing w:line="276" w:lineRule="auto"/>
              <w:jc w:val="left"/>
              <w:rPr>
                <w:rFonts w:ascii="Times New Roman" w:hAnsi="Times New Roman" w:cs="Times New Roman"/>
                <w:b/>
                <w:bCs/>
                <w:color w:val="auto"/>
                <w:sz w:val="20"/>
                <w:szCs w:val="20"/>
              </w:rPr>
            </w:pPr>
          </w:p>
        </w:tc>
        <w:tc>
          <w:tcPr>
            <w:tcW w:w="981" w:type="pct"/>
            <w:vMerge w:val="continue"/>
            <w:tcBorders>
              <w:top w:val="single" w:color="auto" w:sz="4" w:space="0"/>
              <w:left w:val="nil"/>
              <w:bottom w:val="nil"/>
              <w:right w:val="nil"/>
            </w:tcBorders>
            <w:vAlign w:val="center"/>
          </w:tcPr>
          <w:p>
            <w:pPr>
              <w:widowControl/>
              <w:spacing w:line="276" w:lineRule="auto"/>
              <w:jc w:val="center"/>
              <w:rPr>
                <w:rFonts w:ascii="Times New Roman" w:hAnsi="Times New Roman" w:cs="Times New Roman"/>
                <w:b/>
                <w:bCs/>
                <w:color w:val="auto"/>
                <w:sz w:val="20"/>
                <w:szCs w:val="20"/>
              </w:rPr>
            </w:pPr>
          </w:p>
        </w:tc>
        <w:tc>
          <w:tcPr>
            <w:tcW w:w="981" w:type="pct"/>
            <w:vMerge w:val="continue"/>
            <w:tcBorders>
              <w:top w:val="single" w:color="auto" w:sz="4" w:space="0"/>
              <w:left w:val="nil"/>
              <w:bottom w:val="nil"/>
              <w:right w:val="nil"/>
            </w:tcBorders>
            <w:vAlign w:val="center"/>
          </w:tcPr>
          <w:p>
            <w:pPr>
              <w:widowControl/>
              <w:spacing w:line="276" w:lineRule="auto"/>
              <w:jc w:val="center"/>
              <w:rPr>
                <w:rFonts w:ascii="Times New Roman" w:hAnsi="Times New Roman" w:cs="Times New Roman"/>
                <w:b/>
                <w:bCs/>
                <w:color w:val="auto"/>
                <w:sz w:val="20"/>
                <w:szCs w:val="20"/>
              </w:rPr>
            </w:pPr>
          </w:p>
        </w:tc>
        <w:tc>
          <w:tcPr>
            <w:tcW w:w="981" w:type="pct"/>
            <w:vMerge w:val="continue"/>
            <w:tcBorders>
              <w:top w:val="single" w:color="auto" w:sz="4" w:space="0"/>
              <w:left w:val="nil"/>
              <w:bottom w:val="nil"/>
              <w:right w:val="nil"/>
            </w:tcBorders>
            <w:vAlign w:val="center"/>
          </w:tcPr>
          <w:p>
            <w:pPr>
              <w:widowControl/>
              <w:spacing w:line="276" w:lineRule="auto"/>
              <w:jc w:val="center"/>
              <w:rPr>
                <w:rFonts w:ascii="Times New Roman" w:hAnsi="Times New Roman" w:cs="Times New Roman"/>
                <w:b/>
                <w:bCs/>
                <w:color w:val="auto"/>
                <w:sz w:val="20"/>
                <w:szCs w:val="20"/>
              </w:rPr>
            </w:pPr>
          </w:p>
        </w:tc>
        <w:tc>
          <w:tcPr>
            <w:tcW w:w="427" w:type="pct"/>
            <w:vMerge w:val="continue"/>
            <w:tcBorders>
              <w:top w:val="single" w:color="auto" w:sz="4" w:space="0"/>
              <w:left w:val="nil"/>
              <w:bottom w:val="nil"/>
              <w:right w:val="nil"/>
            </w:tcBorders>
            <w:vAlign w:val="center"/>
          </w:tcPr>
          <w:p>
            <w:pPr>
              <w:widowControl/>
              <w:spacing w:line="276" w:lineRule="auto"/>
              <w:jc w:val="center"/>
              <w:rPr>
                <w:rFonts w:ascii="Times New Roman" w:hAnsi="Times New Roman" w:cs="Times New Roman"/>
                <w:b/>
                <w:bCs/>
                <w:i/>
                <w:iCs/>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627" w:type="pct"/>
            <w:gridSpan w:val="4"/>
            <w:tcBorders>
              <w:top w:val="single" w:color="auto" w:sz="4" w:space="0"/>
              <w:left w:val="nil"/>
              <w:bottom w:val="nil"/>
              <w:right w:val="nil"/>
            </w:tcBorders>
          </w:tcPr>
          <w:p>
            <w:pPr>
              <w:autoSpaceDE w:val="0"/>
              <w:autoSpaceDN w:val="0"/>
              <w:adjustRightInd w:val="0"/>
              <w:spacing w:line="276" w:lineRule="auto"/>
              <w:rPr>
                <w:rFonts w:ascii="Times New Roman" w:hAnsi="Times New Roman" w:cs="Times New Roman"/>
                <w:b/>
                <w:color w:val="auto"/>
                <w:sz w:val="20"/>
                <w:szCs w:val="20"/>
              </w:rPr>
            </w:pPr>
            <w:r>
              <w:rPr>
                <w:rFonts w:ascii="Times New Roman" w:hAnsi="Times New Roman" w:cs="Times New Roman"/>
                <w:b/>
                <w:bCs/>
                <w:color w:val="auto"/>
                <w:sz w:val="20"/>
                <w:szCs w:val="20"/>
              </w:rPr>
              <w:t>General information</w:t>
            </w:r>
          </w:p>
        </w:tc>
        <w:tc>
          <w:tcPr>
            <w:tcW w:w="981"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c>
          <w:tcPr>
            <w:tcW w:w="981"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c>
          <w:tcPr>
            <w:tcW w:w="981"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c>
          <w:tcPr>
            <w:tcW w:w="427" w:type="pct"/>
            <w:tcBorders>
              <w:top w:val="single" w:color="auto" w:sz="4" w:space="0"/>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vMerge w:val="restar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123" w:type="pct"/>
            <w:vMerge w:val="restart"/>
            <w:tcBorders>
              <w:top w:val="nil"/>
              <w:left w:val="nil"/>
              <w:right w:val="nil"/>
            </w:tcBorders>
          </w:tcPr>
          <w:p>
            <w:pPr>
              <w:spacing w:line="276" w:lineRule="auto"/>
              <w:ind w:firstLine="200" w:firstLineChars="100"/>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jc w:val="left"/>
              <w:rPr>
                <w:rFonts w:ascii="Times New Roman" w:hAnsi="Times New Roman" w:cs="Times New Roman"/>
                <w:color w:val="auto"/>
                <w:sz w:val="20"/>
                <w:szCs w:val="20"/>
              </w:rPr>
            </w:pPr>
            <w:r>
              <w:rPr>
                <w:rFonts w:ascii="Times New Roman" w:hAnsi="Times New Roman" w:cs="Times New Roman"/>
                <w:color w:val="auto"/>
                <w:sz w:val="20"/>
                <w:szCs w:val="20"/>
              </w:rPr>
              <w:t>Age, year</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64.00</w:t>
            </w:r>
            <w:r>
              <w:rPr>
                <w:rFonts w:hint="eastAsia" w:ascii="Times New Roman" w:hAnsi="Times New Roman" w:cs="Times New Roman"/>
                <w:color w:val="auto"/>
                <w:sz w:val="20"/>
                <w:szCs w:val="20"/>
              </w:rPr>
              <w:t xml:space="preserve"> </w:t>
            </w:r>
            <w:r>
              <w:rPr>
                <w:rFonts w:ascii="Times New Roman" w:hAnsi="Times New Roman" w:cs="Times New Roman"/>
                <w:color w:val="auto"/>
                <w:sz w:val="20"/>
                <w:szCs w:val="20"/>
              </w:rPr>
              <w:t>(56.00–71.00)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64.50</w:t>
            </w:r>
            <w:r>
              <w:rPr>
                <w:rFonts w:hint="eastAsia" w:ascii="Times New Roman" w:hAnsi="Times New Roman" w:cs="Times New Roman"/>
                <w:color w:val="auto"/>
                <w:sz w:val="20"/>
                <w:szCs w:val="20"/>
              </w:rPr>
              <w:t xml:space="preserve"> </w:t>
            </w:r>
            <w:r>
              <w:rPr>
                <w:rFonts w:ascii="Times New Roman" w:hAnsi="Times New Roman" w:cs="Times New Roman"/>
                <w:color w:val="auto"/>
                <w:sz w:val="20"/>
                <w:szCs w:val="20"/>
              </w:rPr>
              <w:t>(57.00–71.00)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eastAsia="宋体" w:cs="Times New Roman"/>
                <w:color w:val="auto"/>
                <w:sz w:val="20"/>
                <w:szCs w:val="20"/>
              </w:rPr>
              <w:t>62.00 (54.00–70.00)</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0.094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vMerge w:val="continue"/>
            <w:tcBorders>
              <w:top w:val="nil"/>
              <w:left w:val="nil"/>
              <w:bottom w:val="nil"/>
              <w:right w:val="nil"/>
            </w:tcBorders>
            <w:vAlign w:val="center"/>
          </w:tcPr>
          <w:p>
            <w:pPr>
              <w:widowControl/>
              <w:spacing w:line="276" w:lineRule="auto"/>
              <w:jc w:val="left"/>
              <w:rPr>
                <w:rFonts w:ascii="Times New Roman" w:hAnsi="Times New Roman" w:cs="Times New Roman"/>
                <w:color w:val="auto"/>
                <w:sz w:val="20"/>
                <w:szCs w:val="20"/>
              </w:rPr>
            </w:pPr>
          </w:p>
        </w:tc>
        <w:tc>
          <w:tcPr>
            <w:tcW w:w="123" w:type="pct"/>
            <w:vMerge w:val="continue"/>
            <w:tcBorders>
              <w:left w:val="nil"/>
              <w:right w:val="nil"/>
            </w:tcBorders>
          </w:tcPr>
          <w:p>
            <w:pPr>
              <w:spacing w:line="276" w:lineRule="auto"/>
              <w:ind w:firstLine="200" w:firstLineChars="100"/>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jc w:val="left"/>
              <w:rPr>
                <w:rFonts w:ascii="Times New Roman" w:hAnsi="Times New Roman" w:cs="Times New Roman"/>
                <w:color w:val="auto"/>
                <w:sz w:val="20"/>
                <w:szCs w:val="20"/>
              </w:rPr>
            </w:pPr>
            <w:r>
              <w:rPr>
                <w:rFonts w:ascii="Times New Roman" w:hAnsi="Times New Roman" w:cs="Times New Roman"/>
                <w:color w:val="auto"/>
                <w:sz w:val="20"/>
                <w:szCs w:val="20"/>
              </w:rPr>
              <w:t xml:space="preserve">Male  </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175 (77.1)</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92 (76.7)</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83 (77.6)</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0.872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vMerge w:val="continue"/>
            <w:tcBorders>
              <w:top w:val="nil"/>
              <w:left w:val="nil"/>
              <w:bottom w:val="nil"/>
              <w:right w:val="nil"/>
            </w:tcBorders>
            <w:vAlign w:val="center"/>
          </w:tcPr>
          <w:p>
            <w:pPr>
              <w:widowControl/>
              <w:spacing w:line="276" w:lineRule="auto"/>
              <w:jc w:val="left"/>
              <w:rPr>
                <w:rFonts w:ascii="Times New Roman" w:hAnsi="Times New Roman" w:cs="Times New Roman"/>
                <w:color w:val="auto"/>
                <w:sz w:val="20"/>
                <w:szCs w:val="20"/>
              </w:rPr>
            </w:pPr>
          </w:p>
        </w:tc>
        <w:tc>
          <w:tcPr>
            <w:tcW w:w="123" w:type="pct"/>
            <w:vMerge w:val="continue"/>
            <w:tcBorders>
              <w:left w:val="nil"/>
              <w:right w:val="nil"/>
            </w:tcBorders>
          </w:tcPr>
          <w:p>
            <w:pPr>
              <w:spacing w:line="276" w:lineRule="auto"/>
              <w:ind w:firstLine="200" w:firstLineChars="100"/>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jc w:val="left"/>
              <w:rPr>
                <w:rFonts w:ascii="Times New Roman" w:hAnsi="Times New Roman" w:cs="Times New Roman"/>
                <w:color w:val="auto"/>
                <w:sz w:val="20"/>
                <w:szCs w:val="20"/>
              </w:rPr>
            </w:pPr>
            <w:r>
              <w:rPr>
                <w:rFonts w:ascii="Times New Roman" w:hAnsi="Times New Roman" w:cs="Times New Roman"/>
                <w:color w:val="auto"/>
                <w:sz w:val="20"/>
                <w:szCs w:val="20"/>
              </w:rPr>
              <w:t>Smoking</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125 (55.1)</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60 (50.0)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65 (60.7)</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vMerge w:val="continue"/>
            <w:tcBorders>
              <w:top w:val="nil"/>
              <w:left w:val="nil"/>
              <w:bottom w:val="nil"/>
              <w:right w:val="nil"/>
            </w:tcBorders>
            <w:vAlign w:val="center"/>
          </w:tcPr>
          <w:p>
            <w:pPr>
              <w:widowControl/>
              <w:spacing w:line="276" w:lineRule="auto"/>
              <w:jc w:val="left"/>
              <w:rPr>
                <w:rFonts w:ascii="Times New Roman" w:hAnsi="Times New Roman" w:cs="Times New Roman"/>
                <w:color w:val="auto"/>
                <w:sz w:val="20"/>
                <w:szCs w:val="20"/>
              </w:rPr>
            </w:pPr>
          </w:p>
        </w:tc>
        <w:tc>
          <w:tcPr>
            <w:tcW w:w="123" w:type="pct"/>
            <w:vMerge w:val="continue"/>
            <w:tcBorders>
              <w:left w:val="nil"/>
              <w:right w:val="nil"/>
            </w:tcBorders>
          </w:tcPr>
          <w:p>
            <w:pPr>
              <w:spacing w:line="276" w:lineRule="auto"/>
              <w:ind w:firstLine="200" w:firstLineChars="100"/>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jc w:val="left"/>
              <w:rPr>
                <w:rFonts w:ascii="Times New Roman" w:hAnsi="Times New Roman" w:cs="Times New Roman"/>
                <w:color w:val="auto"/>
                <w:sz w:val="20"/>
                <w:szCs w:val="20"/>
              </w:rPr>
            </w:pPr>
            <w:r>
              <w:rPr>
                <w:rFonts w:ascii="Times New Roman" w:hAnsi="Times New Roman" w:cs="Times New Roman"/>
                <w:color w:val="auto"/>
                <w:sz w:val="20"/>
                <w:szCs w:val="20"/>
              </w:rPr>
              <w:t>Hypertension</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138 (60.8)</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75 (62.5)</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63 (58.9)</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0.577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123" w:type="pct"/>
            <w:vMerge w:val="continue"/>
            <w:tcBorders>
              <w:left w:val="nil"/>
              <w:right w:val="nil"/>
            </w:tcBorders>
          </w:tcPr>
          <w:p>
            <w:pPr>
              <w:spacing w:line="276" w:lineRule="auto"/>
              <w:ind w:firstLine="200" w:firstLineChars="100"/>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jc w:val="left"/>
              <w:rPr>
                <w:rFonts w:ascii="Times New Roman" w:hAnsi="Times New Roman" w:cs="Times New Roman"/>
                <w:color w:val="auto"/>
                <w:sz w:val="20"/>
                <w:szCs w:val="20"/>
              </w:rPr>
            </w:pPr>
            <w:bookmarkStart w:id="33" w:name="OLE_LINK11"/>
            <w:r>
              <w:rPr>
                <w:rFonts w:ascii="Times New Roman" w:hAnsi="Times New Roman" w:cs="Times New Roman"/>
                <w:color w:val="auto"/>
                <w:sz w:val="20"/>
                <w:szCs w:val="20"/>
              </w:rPr>
              <w:t>Diabetes mellitus</w:t>
            </w:r>
            <w:bookmarkEnd w:id="33"/>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70 (30.8)</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36 (30.0)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34 (31.8)</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0.772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123" w:type="pct"/>
            <w:vMerge w:val="continue"/>
            <w:tcBorders>
              <w:left w:val="nil"/>
              <w:right w:val="nil"/>
            </w:tcBorders>
          </w:tcPr>
          <w:p>
            <w:pPr>
              <w:spacing w:line="276" w:lineRule="auto"/>
              <w:ind w:firstLine="200" w:firstLineChars="100"/>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jc w:val="left"/>
              <w:rPr>
                <w:rFonts w:ascii="Times New Roman" w:hAnsi="Times New Roman" w:cs="Times New Roman"/>
                <w:color w:val="auto"/>
                <w:sz w:val="20"/>
                <w:szCs w:val="20"/>
              </w:rPr>
            </w:pPr>
            <w:r>
              <w:rPr>
                <w:rFonts w:ascii="Times New Roman" w:hAnsi="Times New Roman" w:cs="Times New Roman"/>
                <w:color w:val="auto"/>
                <w:sz w:val="20"/>
                <w:szCs w:val="20"/>
              </w:rPr>
              <w:t xml:space="preserve">LDL-C (mmol/L)  </w:t>
            </w:r>
          </w:p>
        </w:tc>
        <w:tc>
          <w:tcPr>
            <w:tcW w:w="981" w:type="pct"/>
            <w:tcBorders>
              <w:top w:val="nil"/>
              <w:left w:val="nil"/>
              <w:bottom w:val="nil"/>
              <w:right w:val="nil"/>
            </w:tcBorders>
          </w:tcPr>
          <w:p>
            <w:pPr>
              <w:spacing w:line="276" w:lineRule="auto"/>
              <w:jc w:val="center"/>
              <w:rPr>
                <w:rFonts w:ascii="Times New Roman" w:hAnsi="Times New Roman" w:eastAsia="宋体" w:cs="Times New Roman"/>
                <w:color w:val="auto"/>
                <w:sz w:val="20"/>
                <w:szCs w:val="20"/>
              </w:rPr>
            </w:pPr>
            <w:r>
              <w:rPr>
                <w:rFonts w:ascii="Times New Roman" w:hAnsi="Times New Roman" w:eastAsia="宋体" w:cs="Times New Roman"/>
                <w:color w:val="auto"/>
                <w:sz w:val="20"/>
                <w:szCs w:val="20"/>
              </w:rPr>
              <w:t>2.33 (1.95–2.90)</w:t>
            </w:r>
          </w:p>
        </w:tc>
        <w:tc>
          <w:tcPr>
            <w:tcW w:w="981" w:type="pct"/>
            <w:tcBorders>
              <w:top w:val="nil"/>
              <w:left w:val="nil"/>
              <w:bottom w:val="nil"/>
              <w:right w:val="nil"/>
            </w:tcBorders>
          </w:tcPr>
          <w:p>
            <w:pPr>
              <w:spacing w:line="276" w:lineRule="auto"/>
              <w:jc w:val="center"/>
              <w:rPr>
                <w:rFonts w:ascii="Times New Roman" w:hAnsi="Times New Roman" w:eastAsia="宋体" w:cs="Times New Roman"/>
                <w:color w:val="auto"/>
                <w:sz w:val="20"/>
                <w:szCs w:val="20"/>
              </w:rPr>
            </w:pPr>
            <w:r>
              <w:rPr>
                <w:rFonts w:ascii="Times New Roman" w:hAnsi="Times New Roman" w:eastAsia="宋体" w:cs="Times New Roman"/>
                <w:color w:val="auto"/>
                <w:sz w:val="20"/>
                <w:szCs w:val="20"/>
              </w:rPr>
              <w:t>2.55 (2.04–3.16)</w:t>
            </w:r>
          </w:p>
        </w:tc>
        <w:tc>
          <w:tcPr>
            <w:tcW w:w="981" w:type="pct"/>
            <w:tcBorders>
              <w:top w:val="nil"/>
              <w:left w:val="nil"/>
              <w:bottom w:val="nil"/>
              <w:right w:val="nil"/>
            </w:tcBorders>
          </w:tcPr>
          <w:p>
            <w:pPr>
              <w:spacing w:line="276" w:lineRule="auto"/>
              <w:jc w:val="center"/>
              <w:rPr>
                <w:rFonts w:ascii="Times New Roman" w:hAnsi="Times New Roman" w:eastAsia="宋体" w:cs="Times New Roman"/>
                <w:color w:val="auto"/>
                <w:sz w:val="20"/>
                <w:szCs w:val="20"/>
              </w:rPr>
            </w:pPr>
            <w:r>
              <w:rPr>
                <w:rFonts w:ascii="Times New Roman" w:hAnsi="Times New Roman" w:eastAsia="宋体" w:cs="Times New Roman"/>
                <w:color w:val="auto"/>
                <w:sz w:val="20"/>
                <w:szCs w:val="20"/>
              </w:rPr>
              <w:t>2.17 (1.76–2.64)</w:t>
            </w:r>
          </w:p>
        </w:tc>
        <w:tc>
          <w:tcPr>
            <w:tcW w:w="427" w:type="pct"/>
            <w:tcBorders>
              <w:top w:val="nil"/>
              <w:left w:val="nil"/>
              <w:bottom w:val="nil"/>
              <w:right w:val="nil"/>
            </w:tcBorders>
          </w:tcPr>
          <w:p>
            <w:pPr>
              <w:spacing w:line="276" w:lineRule="auto"/>
              <w:jc w:val="center"/>
              <w:rPr>
                <w:rFonts w:ascii="Times New Roman" w:hAnsi="Times New Roman" w:eastAsia="宋体" w:cs="Times New Roman"/>
                <w:color w:val="auto"/>
                <w:sz w:val="20"/>
                <w:szCs w:val="20"/>
              </w:rPr>
            </w:pPr>
            <w:r>
              <w:rPr>
                <w:rFonts w:ascii="Times New Roman" w:hAnsi="Times New Roman" w:eastAsia="宋体" w:cs="Times New Roman"/>
                <w:color w:val="auto"/>
                <w:sz w:val="20"/>
                <w:szCs w:val="20"/>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123" w:type="pct"/>
            <w:vMerge w:val="continue"/>
            <w:tcBorders>
              <w:left w:val="nil"/>
              <w:right w:val="nil"/>
            </w:tcBorders>
          </w:tcPr>
          <w:p>
            <w:pPr>
              <w:spacing w:line="276" w:lineRule="auto"/>
              <w:ind w:firstLine="200" w:firstLineChars="100"/>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jc w:val="left"/>
              <w:rPr>
                <w:rFonts w:ascii="Times New Roman" w:hAnsi="Times New Roman" w:cs="Times New Roman"/>
                <w:color w:val="auto"/>
                <w:sz w:val="20"/>
                <w:szCs w:val="20"/>
              </w:rPr>
            </w:pPr>
            <w:r>
              <w:rPr>
                <w:rFonts w:ascii="Times New Roman" w:hAnsi="Times New Roman" w:cs="Times New Roman"/>
                <w:color w:val="auto"/>
                <w:sz w:val="20"/>
                <w:szCs w:val="20"/>
              </w:rPr>
              <w:t>Creatinine (μmol/L)</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84.00 (70.00–100.00)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86.00 (70.25–106.75)</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83.00 (67.00–96.00)</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123" w:type="pct"/>
            <w:vMerge w:val="continue"/>
            <w:tcBorders>
              <w:left w:val="nil"/>
              <w:right w:val="nil"/>
            </w:tcBorders>
          </w:tcPr>
          <w:p>
            <w:pPr>
              <w:spacing w:line="276" w:lineRule="auto"/>
              <w:ind w:firstLine="200" w:firstLineChars="100"/>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jc w:val="left"/>
              <w:rPr>
                <w:rFonts w:ascii="Times New Roman" w:hAnsi="Times New Roman" w:cs="Times New Roman"/>
                <w:color w:val="auto"/>
                <w:sz w:val="20"/>
                <w:szCs w:val="20"/>
              </w:rPr>
            </w:pPr>
            <w:r>
              <w:rPr>
                <w:rFonts w:ascii="Times New Roman" w:hAnsi="Times New Roman" w:cs="Times New Roman"/>
                <w:color w:val="auto"/>
                <w:sz w:val="20"/>
                <w:szCs w:val="20"/>
              </w:rPr>
              <w:t>LVEF (%)</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56.00 (44.00–61.00)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55.00 (44.00–59.00)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56.00 (45.00–61.00)</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0.124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123" w:type="pct"/>
            <w:vMerge w:val="continue"/>
            <w:tcBorders>
              <w:left w:val="nil"/>
              <w:bottom w:val="nil"/>
              <w:right w:val="nil"/>
            </w:tcBorders>
          </w:tcPr>
          <w:p>
            <w:pPr>
              <w:spacing w:line="276" w:lineRule="auto"/>
              <w:ind w:firstLine="200" w:firstLineChars="100"/>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jc w:val="left"/>
              <w:rPr>
                <w:rFonts w:ascii="Times New Roman" w:hAnsi="Times New Roman" w:cs="Times New Roman"/>
                <w:color w:val="auto"/>
                <w:sz w:val="20"/>
                <w:szCs w:val="20"/>
              </w:rPr>
            </w:pPr>
            <w:r>
              <w:rPr>
                <w:rFonts w:ascii="Times New Roman" w:hAnsi="Times New Roman" w:cs="Times New Roman"/>
                <w:color w:val="auto"/>
                <w:sz w:val="20"/>
                <w:szCs w:val="20"/>
              </w:rPr>
              <w:t>Time from implantation (months)</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38.00 (13.00–72.00)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49.00 (24.00–84.00)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36.00 (11.00–65.00)</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627" w:type="pct"/>
            <w:gridSpan w:val="4"/>
            <w:tcBorders>
              <w:top w:val="nil"/>
              <w:left w:val="nil"/>
              <w:bottom w:val="nil"/>
              <w:right w:val="nil"/>
            </w:tcBorders>
          </w:tcPr>
          <w:p>
            <w:pPr>
              <w:autoSpaceDE w:val="0"/>
              <w:autoSpaceDN w:val="0"/>
              <w:adjustRightInd w:val="0"/>
              <w:spacing w:line="276" w:lineRule="auto"/>
              <w:rPr>
                <w:rFonts w:ascii="Times New Roman" w:hAnsi="Times New Roman" w:cs="Times New Roman"/>
                <w:b/>
                <w:color w:val="auto"/>
                <w:sz w:val="20"/>
                <w:szCs w:val="20"/>
              </w:rPr>
            </w:pPr>
            <w:r>
              <w:rPr>
                <w:rFonts w:ascii="Times New Roman" w:hAnsi="Times New Roman" w:cs="Times New Roman"/>
                <w:b/>
                <w:color w:val="auto"/>
                <w:sz w:val="20"/>
                <w:szCs w:val="20"/>
              </w:rPr>
              <w:t>CAG finding</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26" w:type="pct"/>
            <w:gridSpan w:val="2"/>
            <w:vMerge w:val="restart"/>
            <w:tcBorders>
              <w:top w:val="nil"/>
              <w:left w:val="nil"/>
              <w:right w:val="nil"/>
            </w:tcBorders>
          </w:tcPr>
          <w:p>
            <w:pPr>
              <w:autoSpaceDE w:val="0"/>
              <w:autoSpaceDN w:val="0"/>
              <w:adjustRightInd w:val="0"/>
              <w:spacing w:line="276" w:lineRule="auto"/>
              <w:rPr>
                <w:rFonts w:ascii="Times New Roman" w:hAnsi="Times New Roman" w:cs="Times New Roman"/>
                <w:b/>
                <w:color w:val="auto"/>
                <w:sz w:val="20"/>
                <w:szCs w:val="20"/>
              </w:rPr>
            </w:pPr>
          </w:p>
        </w:tc>
        <w:tc>
          <w:tcPr>
            <w:tcW w:w="1500" w:type="pct"/>
            <w:gridSpan w:val="2"/>
            <w:tcBorders>
              <w:top w:val="nil"/>
              <w:left w:val="nil"/>
              <w:bottom w:val="nil"/>
              <w:right w:val="nil"/>
            </w:tcBorders>
          </w:tcPr>
          <w:p>
            <w:pPr>
              <w:spacing w:line="276" w:lineRule="auto"/>
              <w:rPr>
                <w:rFonts w:ascii="Times New Roman" w:hAnsi="Times New Roman" w:cs="Times New Roman"/>
                <w:b/>
                <w:color w:val="auto"/>
                <w:sz w:val="20"/>
                <w:szCs w:val="20"/>
              </w:rPr>
            </w:pPr>
            <w:r>
              <w:rPr>
                <w:rFonts w:ascii="Times New Roman" w:hAnsi="Times New Roman" w:cs="Times New Roman"/>
                <w:color w:val="auto"/>
                <w:sz w:val="20"/>
                <w:szCs w:val="20"/>
              </w:rPr>
              <w:t xml:space="preserve">Length, mm </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12.10 (8.7–17.90)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13.20 (8.73–17.88)</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10.70 (8.60–18.00)</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0.178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26" w:type="pct"/>
            <w:gridSpan w:val="2"/>
            <w:vMerge w:val="continue"/>
            <w:tcBorders>
              <w:left w:val="nil"/>
              <w:right w:val="nil"/>
            </w:tcBorders>
          </w:tcPr>
          <w:p>
            <w:pPr>
              <w:autoSpaceDE w:val="0"/>
              <w:autoSpaceDN w:val="0"/>
              <w:adjustRightInd w:val="0"/>
              <w:spacing w:line="276" w:lineRule="auto"/>
              <w:rPr>
                <w:rFonts w:ascii="Times New Roman" w:hAnsi="Times New Roman" w:cs="Times New Roman"/>
                <w:b/>
                <w:color w:val="auto"/>
                <w:sz w:val="20"/>
                <w:szCs w:val="20"/>
              </w:rPr>
            </w:pPr>
          </w:p>
        </w:tc>
        <w:tc>
          <w:tcPr>
            <w:tcW w:w="1500"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 xml:space="preserve">Reference vessel </w:t>
            </w:r>
          </w:p>
          <w:p>
            <w:pPr>
              <w:spacing w:line="276" w:lineRule="auto"/>
              <w:rPr>
                <w:rFonts w:ascii="Times New Roman" w:hAnsi="Times New Roman" w:cs="Times New Roman"/>
                <w:b/>
                <w:color w:val="auto"/>
                <w:sz w:val="20"/>
                <w:szCs w:val="20"/>
              </w:rPr>
            </w:pPr>
            <w:r>
              <w:rPr>
                <w:rFonts w:ascii="Times New Roman" w:hAnsi="Times New Roman" w:cs="Times New Roman"/>
                <w:color w:val="auto"/>
                <w:sz w:val="20"/>
                <w:szCs w:val="20"/>
              </w:rPr>
              <w:t xml:space="preserve">diameter, mm </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3.18±0.41</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3.21±0.42</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3.15±0.39</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0.315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26" w:type="pct"/>
            <w:gridSpan w:val="2"/>
            <w:vMerge w:val="continue"/>
            <w:tcBorders>
              <w:left w:val="nil"/>
              <w:right w:val="nil"/>
            </w:tcBorders>
          </w:tcPr>
          <w:p>
            <w:pPr>
              <w:autoSpaceDE w:val="0"/>
              <w:autoSpaceDN w:val="0"/>
              <w:adjustRightInd w:val="0"/>
              <w:spacing w:line="276" w:lineRule="auto"/>
              <w:rPr>
                <w:rFonts w:ascii="Times New Roman" w:hAnsi="Times New Roman" w:cs="Times New Roman"/>
                <w:b/>
                <w:color w:val="auto"/>
                <w:sz w:val="20"/>
                <w:szCs w:val="20"/>
              </w:rPr>
            </w:pPr>
          </w:p>
        </w:tc>
        <w:tc>
          <w:tcPr>
            <w:tcW w:w="1500" w:type="pct"/>
            <w:gridSpan w:val="2"/>
            <w:tcBorders>
              <w:top w:val="nil"/>
              <w:left w:val="nil"/>
              <w:bottom w:val="nil"/>
              <w:right w:val="nil"/>
            </w:tcBorders>
          </w:tcPr>
          <w:p>
            <w:pPr>
              <w:spacing w:line="276" w:lineRule="auto"/>
              <w:rPr>
                <w:rFonts w:ascii="Times New Roman" w:hAnsi="Times New Roman" w:cs="Times New Roman"/>
                <w:b/>
                <w:color w:val="auto"/>
                <w:sz w:val="20"/>
                <w:szCs w:val="20"/>
              </w:rPr>
            </w:pPr>
            <w:r>
              <w:rPr>
                <w:rFonts w:ascii="Times New Roman" w:hAnsi="Times New Roman" w:cs="Times New Roman"/>
                <w:color w:val="auto"/>
                <w:sz w:val="20"/>
                <w:szCs w:val="20"/>
              </w:rPr>
              <w:t>MLD, mm</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1.14±0.22</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1.12±0.22</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1.15±0.21</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0.311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26" w:type="pct"/>
            <w:gridSpan w:val="2"/>
            <w:vMerge w:val="continue"/>
            <w:tcBorders>
              <w:left w:val="nil"/>
              <w:right w:val="nil"/>
            </w:tcBorders>
          </w:tcPr>
          <w:p>
            <w:pPr>
              <w:autoSpaceDE w:val="0"/>
              <w:autoSpaceDN w:val="0"/>
              <w:adjustRightInd w:val="0"/>
              <w:spacing w:line="276" w:lineRule="auto"/>
              <w:rPr>
                <w:rFonts w:ascii="Times New Roman" w:hAnsi="Times New Roman" w:cs="Times New Roman"/>
                <w:b/>
                <w:color w:val="auto"/>
                <w:sz w:val="20"/>
                <w:szCs w:val="20"/>
              </w:rPr>
            </w:pPr>
          </w:p>
        </w:tc>
        <w:tc>
          <w:tcPr>
            <w:tcW w:w="1500" w:type="pct"/>
            <w:gridSpan w:val="2"/>
            <w:tcBorders>
              <w:top w:val="nil"/>
              <w:left w:val="nil"/>
              <w:bottom w:val="nil"/>
              <w:right w:val="nil"/>
            </w:tcBorders>
          </w:tcPr>
          <w:p>
            <w:pPr>
              <w:spacing w:line="276" w:lineRule="auto"/>
              <w:rPr>
                <w:rFonts w:ascii="Times New Roman" w:hAnsi="Times New Roman" w:cs="Times New Roman"/>
                <w:b/>
                <w:color w:val="auto"/>
                <w:sz w:val="20"/>
                <w:szCs w:val="20"/>
              </w:rPr>
            </w:pPr>
            <w:r>
              <w:rPr>
                <w:rFonts w:ascii="Times New Roman" w:hAnsi="Times New Roman" w:cs="Times New Roman"/>
                <w:color w:val="auto"/>
                <w:sz w:val="20"/>
                <w:szCs w:val="20"/>
              </w:rPr>
              <w:t>Diameter stenosis (%)</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63.48 (60.06–67.68)</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64.34 (60.53–67.99)</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62.60 (59.36–67.12)</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0.069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26" w:type="pct"/>
            <w:gridSpan w:val="2"/>
            <w:vMerge w:val="continue"/>
            <w:tcBorders>
              <w:left w:val="nil"/>
              <w:bottom w:val="nil"/>
              <w:right w:val="nil"/>
            </w:tcBorders>
          </w:tcPr>
          <w:p>
            <w:pPr>
              <w:autoSpaceDE w:val="0"/>
              <w:autoSpaceDN w:val="0"/>
              <w:adjustRightInd w:val="0"/>
              <w:spacing w:line="276" w:lineRule="auto"/>
              <w:rPr>
                <w:rFonts w:ascii="Times New Roman" w:hAnsi="Times New Roman" w:cs="Times New Roman"/>
                <w:b/>
                <w:color w:val="auto"/>
                <w:sz w:val="20"/>
                <w:szCs w:val="20"/>
              </w:rPr>
            </w:pPr>
          </w:p>
        </w:tc>
        <w:tc>
          <w:tcPr>
            <w:tcW w:w="1500" w:type="pct"/>
            <w:gridSpan w:val="2"/>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Previous stent type</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0.369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26" w:type="pct"/>
            <w:gridSpan w:val="2"/>
            <w:vMerge w:val="restart"/>
            <w:tcBorders>
              <w:top w:val="nil"/>
              <w:left w:val="nil"/>
              <w:right w:val="nil"/>
            </w:tcBorders>
          </w:tcPr>
          <w:p>
            <w:pPr>
              <w:autoSpaceDE w:val="0"/>
              <w:autoSpaceDN w:val="0"/>
              <w:adjustRightInd w:val="0"/>
              <w:spacing w:line="276" w:lineRule="auto"/>
              <w:rPr>
                <w:rFonts w:ascii="Times New Roman" w:hAnsi="Times New Roman" w:cs="Times New Roman"/>
                <w:b/>
                <w:color w:val="auto"/>
                <w:sz w:val="20"/>
                <w:szCs w:val="20"/>
              </w:rPr>
            </w:pPr>
          </w:p>
        </w:tc>
        <w:tc>
          <w:tcPr>
            <w:tcW w:w="76" w:type="pct"/>
            <w:vMerge w:val="restart"/>
            <w:tcBorders>
              <w:top w:val="nil"/>
              <w:left w:val="nil"/>
              <w:right w:val="nil"/>
            </w:tcBorders>
          </w:tcPr>
          <w:p>
            <w:pPr>
              <w:spacing w:line="276" w:lineRule="auto"/>
              <w:rPr>
                <w:rFonts w:ascii="Times New Roman" w:hAnsi="Times New Roman" w:cs="Times New Roman"/>
                <w:color w:val="auto"/>
                <w:sz w:val="20"/>
                <w:szCs w:val="20"/>
              </w:rPr>
            </w:pPr>
          </w:p>
        </w:tc>
        <w:tc>
          <w:tcPr>
            <w:tcW w:w="1424" w:type="pct"/>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First-generation DES</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172 (75.8)</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88 (73.3)</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84 (78.5)</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26" w:type="pct"/>
            <w:gridSpan w:val="2"/>
            <w:vMerge w:val="continue"/>
            <w:tcBorders>
              <w:left w:val="nil"/>
              <w:right w:val="nil"/>
            </w:tcBorders>
          </w:tcPr>
          <w:p>
            <w:pPr>
              <w:autoSpaceDE w:val="0"/>
              <w:autoSpaceDN w:val="0"/>
              <w:adjustRightInd w:val="0"/>
              <w:spacing w:line="276" w:lineRule="auto"/>
              <w:rPr>
                <w:rFonts w:ascii="Times New Roman" w:hAnsi="Times New Roman" w:cs="Times New Roman"/>
                <w:b/>
                <w:color w:val="auto"/>
                <w:sz w:val="20"/>
                <w:szCs w:val="20"/>
              </w:rPr>
            </w:pPr>
          </w:p>
        </w:tc>
        <w:tc>
          <w:tcPr>
            <w:tcW w:w="76" w:type="pct"/>
            <w:vMerge w:val="continue"/>
            <w:tcBorders>
              <w:left w:val="nil"/>
              <w:right w:val="nil"/>
            </w:tcBorders>
          </w:tcPr>
          <w:p>
            <w:pPr>
              <w:spacing w:line="276" w:lineRule="auto"/>
              <w:rPr>
                <w:rFonts w:ascii="Times New Roman" w:hAnsi="Times New Roman" w:cs="Times New Roman"/>
                <w:color w:val="auto"/>
                <w:sz w:val="20"/>
                <w:szCs w:val="20"/>
              </w:rPr>
            </w:pPr>
          </w:p>
        </w:tc>
        <w:tc>
          <w:tcPr>
            <w:tcW w:w="1424" w:type="pct"/>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New-generation DES</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44 (19.4)</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24 (20.0)</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20 (18.7)</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26" w:type="pct"/>
            <w:gridSpan w:val="2"/>
            <w:vMerge w:val="continue"/>
            <w:tcBorders>
              <w:left w:val="nil"/>
              <w:bottom w:val="nil"/>
              <w:right w:val="nil"/>
            </w:tcBorders>
          </w:tcPr>
          <w:p>
            <w:pPr>
              <w:autoSpaceDE w:val="0"/>
              <w:autoSpaceDN w:val="0"/>
              <w:adjustRightInd w:val="0"/>
              <w:spacing w:line="276" w:lineRule="auto"/>
              <w:rPr>
                <w:rFonts w:ascii="Times New Roman" w:hAnsi="Times New Roman" w:cs="Times New Roman"/>
                <w:b/>
                <w:color w:val="auto"/>
                <w:sz w:val="20"/>
                <w:szCs w:val="20"/>
              </w:rPr>
            </w:pPr>
          </w:p>
        </w:tc>
        <w:tc>
          <w:tcPr>
            <w:tcW w:w="76" w:type="pct"/>
            <w:vMerge w:val="continue"/>
            <w:tcBorders>
              <w:left w:val="nil"/>
              <w:bottom w:val="nil"/>
              <w:right w:val="nil"/>
            </w:tcBorders>
          </w:tcPr>
          <w:p>
            <w:pPr>
              <w:spacing w:line="276" w:lineRule="auto"/>
              <w:rPr>
                <w:rFonts w:ascii="Times New Roman" w:hAnsi="Times New Roman" w:cs="Times New Roman"/>
                <w:color w:val="auto"/>
                <w:sz w:val="20"/>
                <w:szCs w:val="20"/>
              </w:rPr>
            </w:pPr>
          </w:p>
        </w:tc>
        <w:tc>
          <w:tcPr>
            <w:tcW w:w="1424" w:type="pct"/>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Unknown</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11</w:t>
            </w:r>
            <w:r>
              <w:rPr>
                <w:rFonts w:hint="eastAsia" w:ascii="Times New Roman" w:hAnsi="Times New Roman" w:cs="Times New Roman"/>
                <w:color w:val="auto"/>
                <w:sz w:val="20"/>
                <w:szCs w:val="20"/>
              </w:rPr>
              <w:t xml:space="preserve"> </w:t>
            </w:r>
            <w:r>
              <w:rPr>
                <w:rFonts w:ascii="Times New Roman" w:hAnsi="Times New Roman" w:cs="Times New Roman"/>
                <w:color w:val="auto"/>
                <w:sz w:val="20"/>
                <w:szCs w:val="20"/>
              </w:rPr>
              <w:t>(4.8)</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8 (6.7)</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3 (2.8)</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627" w:type="pct"/>
            <w:gridSpan w:val="4"/>
            <w:tcBorders>
              <w:top w:val="nil"/>
              <w:left w:val="nil"/>
              <w:bottom w:val="nil"/>
              <w:right w:val="nil"/>
            </w:tcBorders>
          </w:tcPr>
          <w:p>
            <w:pPr>
              <w:autoSpaceDE w:val="0"/>
              <w:autoSpaceDN w:val="0"/>
              <w:adjustRightInd w:val="0"/>
              <w:spacing w:line="276" w:lineRule="auto"/>
              <w:rPr>
                <w:rFonts w:ascii="Times New Roman" w:hAnsi="Times New Roman" w:cs="Times New Roman"/>
                <w:b/>
                <w:color w:val="auto"/>
                <w:sz w:val="20"/>
                <w:szCs w:val="20"/>
              </w:rPr>
            </w:pPr>
            <w:r>
              <w:rPr>
                <w:rFonts w:ascii="Times New Roman" w:hAnsi="Times New Roman" w:cs="Times New Roman"/>
                <w:b/>
                <w:color w:val="auto"/>
                <w:sz w:val="20"/>
                <w:szCs w:val="20"/>
              </w:rPr>
              <w:t>OCT finding</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123" w:type="pct"/>
            <w:vMerge w:val="restart"/>
            <w:tcBorders>
              <w:top w:val="nil"/>
              <w:left w:val="nil"/>
              <w:right w:val="nil"/>
            </w:tcBorders>
          </w:tcPr>
          <w:p>
            <w:pPr>
              <w:spacing w:line="276" w:lineRule="auto"/>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MLA, mm</w:t>
            </w:r>
            <w:r>
              <w:rPr>
                <w:rFonts w:ascii="Times New Roman" w:hAnsi="Times New Roman" w:cs="Times New Roman"/>
                <w:color w:val="auto"/>
                <w:sz w:val="20"/>
                <w:szCs w:val="20"/>
                <w:vertAlign w:val="superscript"/>
              </w:rPr>
              <w:t xml:space="preserve"> 2</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1.64±0.55</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1.64±0.61</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1.64±0.48</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0.928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123" w:type="pct"/>
            <w:vMerge w:val="continue"/>
            <w:tcBorders>
              <w:left w:val="nil"/>
              <w:right w:val="nil"/>
            </w:tcBorders>
          </w:tcPr>
          <w:p>
            <w:pPr>
              <w:spacing w:line="276" w:lineRule="auto"/>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Stent area</w:t>
            </w:r>
            <w:r>
              <w:rPr>
                <w:rFonts w:hint="eastAsia" w:ascii="Times New Roman" w:hAnsi="Times New Roman" w:cs="Times New Roman"/>
                <w:color w:val="auto"/>
                <w:sz w:val="20"/>
                <w:szCs w:val="20"/>
              </w:rPr>
              <w:t xml:space="preserve"> </w:t>
            </w:r>
            <w:r>
              <w:rPr>
                <w:rFonts w:ascii="Times New Roman" w:hAnsi="Times New Roman" w:cs="Times New Roman"/>
                <w:color w:val="auto"/>
                <w:sz w:val="20"/>
                <w:szCs w:val="20"/>
              </w:rPr>
              <w:t>(MLA site), mm</w:t>
            </w:r>
            <w:r>
              <w:rPr>
                <w:rFonts w:ascii="Times New Roman" w:hAnsi="Times New Roman" w:cs="Times New Roman"/>
                <w:color w:val="auto"/>
                <w:sz w:val="20"/>
                <w:szCs w:val="20"/>
                <w:vertAlign w:val="superscript"/>
              </w:rPr>
              <w:t xml:space="preserve"> 2</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6.55 (5.36–7.78)</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6.58</w:t>
            </w:r>
            <w:r>
              <w:rPr>
                <w:rFonts w:hint="eastAsia" w:ascii="Times New Roman" w:hAnsi="Times New Roman" w:cs="Times New Roman"/>
                <w:color w:val="auto"/>
                <w:sz w:val="20"/>
                <w:szCs w:val="20"/>
              </w:rPr>
              <w:t xml:space="preserve"> (</w:t>
            </w:r>
            <w:r>
              <w:rPr>
                <w:rFonts w:ascii="Times New Roman" w:hAnsi="Times New Roman" w:cs="Times New Roman"/>
                <w:color w:val="auto"/>
                <w:sz w:val="20"/>
                <w:szCs w:val="20"/>
              </w:rPr>
              <w:t>5.63–7.89</w:t>
            </w:r>
            <w:r>
              <w:rPr>
                <w:rFonts w:hint="eastAsia" w:ascii="Times New Roman" w:hAnsi="Times New Roman" w:cs="Times New Roman"/>
                <w:color w:val="auto"/>
                <w:sz w:val="20"/>
                <w:szCs w:val="20"/>
              </w:rPr>
              <w:t>)</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6.54 (5.16–7.63)</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0.369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123" w:type="pct"/>
            <w:vMerge w:val="continue"/>
            <w:tcBorders>
              <w:left w:val="nil"/>
              <w:right w:val="nil"/>
            </w:tcBorders>
          </w:tcPr>
          <w:p>
            <w:pPr>
              <w:spacing w:line="276" w:lineRule="auto"/>
              <w:rPr>
                <w:rFonts w:ascii="Times New Roman" w:hAnsi="Times New Roman" w:cs="Times New Roman"/>
                <w:color w:val="auto"/>
                <w:sz w:val="20"/>
                <w:szCs w:val="20"/>
              </w:rPr>
            </w:pPr>
          </w:p>
        </w:tc>
        <w:tc>
          <w:tcPr>
            <w:tcW w:w="1500" w:type="pct"/>
            <w:gridSpan w:val="2"/>
            <w:tcBorders>
              <w:top w:val="nil"/>
              <w:left w:val="nil"/>
              <w:bottom w:val="nil"/>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Neointimal area</w:t>
            </w:r>
            <w:r>
              <w:rPr>
                <w:rFonts w:hint="eastAsia" w:ascii="Times New Roman" w:hAnsi="Times New Roman" w:cs="Times New Roman"/>
                <w:color w:val="auto"/>
                <w:sz w:val="20"/>
                <w:szCs w:val="20"/>
              </w:rPr>
              <w:t xml:space="preserve"> </w:t>
            </w:r>
            <w:r>
              <w:rPr>
                <w:rFonts w:ascii="Times New Roman" w:hAnsi="Times New Roman" w:cs="Times New Roman"/>
                <w:color w:val="auto"/>
                <w:sz w:val="20"/>
                <w:szCs w:val="20"/>
              </w:rPr>
              <w:t>(MLA site), mm</w:t>
            </w:r>
            <w:r>
              <w:rPr>
                <w:rFonts w:ascii="Times New Roman" w:hAnsi="Times New Roman" w:cs="Times New Roman"/>
                <w:color w:val="auto"/>
                <w:sz w:val="20"/>
                <w:szCs w:val="20"/>
                <w:vertAlign w:val="superscript"/>
              </w:rPr>
              <w:t>2</w:t>
            </w:r>
            <w:r>
              <w:rPr>
                <w:rFonts w:ascii="Times New Roman" w:hAnsi="Times New Roman" w:cs="Times New Roman"/>
                <w:color w:val="auto"/>
                <w:sz w:val="20"/>
                <w:szCs w:val="20"/>
              </w:rPr>
              <w:t xml:space="preserve"> </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4.80 (3.84–6.12)</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4.88 (4.16–6.16)</w:t>
            </w:r>
          </w:p>
        </w:tc>
        <w:tc>
          <w:tcPr>
            <w:tcW w:w="981"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4.75 (3.67–6.05)</w:t>
            </w:r>
          </w:p>
        </w:tc>
        <w:tc>
          <w:tcPr>
            <w:tcW w:w="427" w:type="pct"/>
            <w:tcBorders>
              <w:top w:val="nil"/>
              <w:left w:val="nil"/>
              <w:bottom w:val="nil"/>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0.253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 w:type="pct"/>
            <w:tcBorders>
              <w:top w:val="nil"/>
              <w:left w:val="nil"/>
              <w:bottom w:val="nil"/>
              <w:right w:val="nil"/>
            </w:tcBorders>
          </w:tcPr>
          <w:p>
            <w:pPr>
              <w:autoSpaceDE w:val="0"/>
              <w:autoSpaceDN w:val="0"/>
              <w:adjustRightInd w:val="0"/>
              <w:spacing w:line="276" w:lineRule="auto"/>
              <w:rPr>
                <w:rFonts w:ascii="Times New Roman" w:hAnsi="Times New Roman" w:cs="Times New Roman"/>
                <w:color w:val="auto"/>
                <w:sz w:val="20"/>
                <w:szCs w:val="20"/>
              </w:rPr>
            </w:pPr>
          </w:p>
        </w:tc>
        <w:tc>
          <w:tcPr>
            <w:tcW w:w="123" w:type="pct"/>
            <w:vMerge w:val="continue"/>
            <w:tcBorders>
              <w:left w:val="nil"/>
              <w:right w:val="nil"/>
            </w:tcBorders>
          </w:tcPr>
          <w:p>
            <w:pPr>
              <w:spacing w:line="276" w:lineRule="auto"/>
              <w:rPr>
                <w:rFonts w:ascii="Times New Roman" w:hAnsi="Times New Roman" w:cs="Times New Roman"/>
                <w:color w:val="auto"/>
                <w:sz w:val="20"/>
                <w:szCs w:val="20"/>
              </w:rPr>
            </w:pPr>
          </w:p>
        </w:tc>
        <w:tc>
          <w:tcPr>
            <w:tcW w:w="1500" w:type="pct"/>
            <w:gridSpan w:val="2"/>
            <w:tcBorders>
              <w:top w:val="nil"/>
              <w:left w:val="nil"/>
              <w:bottom w:val="single" w:color="auto" w:sz="4" w:space="0"/>
              <w:right w:val="nil"/>
            </w:tcBorders>
          </w:tcPr>
          <w:p>
            <w:pPr>
              <w:spacing w:line="276" w:lineRule="auto"/>
              <w:rPr>
                <w:rFonts w:ascii="Times New Roman" w:hAnsi="Times New Roman" w:cs="Times New Roman"/>
                <w:color w:val="auto"/>
                <w:sz w:val="20"/>
                <w:szCs w:val="20"/>
              </w:rPr>
            </w:pPr>
            <w:r>
              <w:rPr>
                <w:rFonts w:ascii="Times New Roman" w:hAnsi="Times New Roman" w:cs="Times New Roman"/>
                <w:color w:val="auto"/>
                <w:sz w:val="20"/>
                <w:szCs w:val="20"/>
              </w:rPr>
              <w:t>Neointimal burden (MLA site), %</w:t>
            </w:r>
          </w:p>
        </w:tc>
        <w:tc>
          <w:tcPr>
            <w:tcW w:w="981"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74.54±8.79</w:t>
            </w:r>
          </w:p>
        </w:tc>
        <w:tc>
          <w:tcPr>
            <w:tcW w:w="981"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75.29±9.15</w:t>
            </w:r>
          </w:p>
        </w:tc>
        <w:tc>
          <w:tcPr>
            <w:tcW w:w="981"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73.71±8.33</w:t>
            </w:r>
          </w:p>
        </w:tc>
        <w:tc>
          <w:tcPr>
            <w:tcW w:w="427" w:type="pct"/>
            <w:tcBorders>
              <w:top w:val="nil"/>
              <w:left w:val="nil"/>
              <w:bottom w:val="single" w:color="auto" w:sz="4" w:space="0"/>
              <w:right w:val="nil"/>
            </w:tcBorders>
          </w:tcPr>
          <w:p>
            <w:pPr>
              <w:spacing w:line="276" w:lineRule="auto"/>
              <w:jc w:val="center"/>
              <w:rPr>
                <w:rFonts w:ascii="Times New Roman" w:hAnsi="Times New Roman" w:cs="Times New Roman"/>
                <w:color w:val="auto"/>
                <w:sz w:val="20"/>
                <w:szCs w:val="20"/>
              </w:rPr>
            </w:pPr>
            <w:r>
              <w:rPr>
                <w:rFonts w:ascii="Times New Roman" w:hAnsi="Times New Roman" w:cs="Times New Roman"/>
                <w:color w:val="auto"/>
                <w:sz w:val="20"/>
                <w:szCs w:val="20"/>
              </w:rPr>
              <w:t>0.176</w:t>
            </w:r>
          </w:p>
        </w:tc>
      </w:tr>
    </w:tbl>
    <w:p>
      <w:pPr>
        <w:spacing w:line="276" w:lineRule="auto"/>
        <w:rPr>
          <w:rFonts w:hint="eastAsia" w:ascii="Times New Roman" w:hAnsi="Times New Roman" w:cs="Times New Roman" w:eastAsiaTheme="minorEastAsia"/>
          <w:b/>
          <w:bCs/>
          <w:color w:val="auto"/>
          <w:szCs w:val="21"/>
          <w:lang w:val="en-US" w:eastAsia="zh-CN"/>
        </w:rPr>
      </w:pPr>
      <w:r>
        <w:rPr>
          <w:rFonts w:ascii="Times New Roman" w:hAnsi="Times New Roman" w:cs="Times New Roman"/>
          <w:color w:val="auto"/>
          <w:szCs w:val="21"/>
        </w:rPr>
        <w:t xml:space="preserve">Data are expressed as the median [interquartile range], mean±SD (standard deviation), or n (%). CAG: coronary angiography; LDL-C: </w:t>
      </w:r>
      <w:r>
        <w:rPr>
          <w:rFonts w:hint="eastAsia" w:ascii="Times New Roman" w:hAnsi="Times New Roman" w:cs="Times New Roman"/>
          <w:color w:val="auto"/>
          <w:szCs w:val="21"/>
        </w:rPr>
        <w:t>l</w:t>
      </w:r>
      <w:r>
        <w:rPr>
          <w:rFonts w:ascii="Times New Roman" w:hAnsi="Times New Roman" w:cs="Times New Roman"/>
          <w:color w:val="auto"/>
          <w:szCs w:val="21"/>
        </w:rPr>
        <w:t xml:space="preserve">ow-density lipoprotein cholesterol; LVEF: </w:t>
      </w:r>
      <w:r>
        <w:rPr>
          <w:rFonts w:hint="eastAsia" w:ascii="Times New Roman" w:hAnsi="Times New Roman" w:cs="Times New Roman"/>
          <w:color w:val="auto"/>
          <w:szCs w:val="21"/>
        </w:rPr>
        <w:t>l</w:t>
      </w:r>
      <w:r>
        <w:rPr>
          <w:rFonts w:ascii="Times New Roman" w:hAnsi="Times New Roman" w:cs="Times New Roman"/>
          <w:color w:val="auto"/>
          <w:szCs w:val="21"/>
        </w:rPr>
        <w:t>eft ventricular ejection fractions; MLA: minimum lumen area;</w:t>
      </w:r>
      <w:r>
        <w:rPr>
          <w:rFonts w:ascii="Times New Roman" w:hAnsi="Times New Roman" w:cs="Times New Roman"/>
          <w:b/>
          <w:color w:val="auto"/>
          <w:szCs w:val="21"/>
        </w:rPr>
        <w:t xml:space="preserve"> </w:t>
      </w:r>
      <w:r>
        <w:rPr>
          <w:rFonts w:ascii="Times New Roman" w:hAnsi="Times New Roman" w:cs="Times New Roman"/>
          <w:color w:val="auto"/>
          <w:szCs w:val="21"/>
        </w:rPr>
        <w:t xml:space="preserve">MLD: minimal lumen diameter; NA: </w:t>
      </w:r>
      <w:r>
        <w:rPr>
          <w:rFonts w:hint="eastAsia" w:ascii="Times New Roman" w:hAnsi="Times New Roman" w:cs="Times New Roman"/>
          <w:color w:val="auto"/>
          <w:szCs w:val="21"/>
        </w:rPr>
        <w:t>n</w:t>
      </w:r>
      <w:r>
        <w:rPr>
          <w:rFonts w:ascii="Times New Roman" w:hAnsi="Times New Roman" w:cs="Times New Roman"/>
          <w:color w:val="auto"/>
          <w:szCs w:val="21"/>
        </w:rPr>
        <w:t xml:space="preserve">eoatherosclerosis; OCT: </w:t>
      </w:r>
      <w:r>
        <w:rPr>
          <w:rFonts w:hint="eastAsia" w:ascii="Times New Roman" w:hAnsi="Times New Roman" w:cs="Times New Roman"/>
          <w:color w:val="auto"/>
          <w:szCs w:val="21"/>
        </w:rPr>
        <w:t>o</w:t>
      </w:r>
      <w:r>
        <w:rPr>
          <w:rFonts w:ascii="Times New Roman" w:hAnsi="Times New Roman" w:cs="Times New Roman"/>
          <w:color w:val="auto"/>
          <w:szCs w:val="21"/>
        </w:rPr>
        <w:t>ptical coherence tomography</w:t>
      </w:r>
      <w:r>
        <w:rPr>
          <w:rFonts w:hint="eastAsia" w:ascii="Times New Roman" w:hAnsi="Times New Roman" w:cs="Times New Roman"/>
          <w:color w:val="auto"/>
          <w:szCs w:val="21"/>
          <w:lang w:val="en-US" w:eastAsia="zh-CN"/>
        </w:rPr>
        <w:t>.</w:t>
      </w:r>
    </w:p>
    <w:p>
      <w:pPr>
        <w:spacing w:line="276" w:lineRule="auto"/>
        <w:rPr>
          <w:rFonts w:ascii="Times New Roman" w:hAnsi="Times New Roman" w:cs="Times New Roman"/>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5F3AD1"/>
    <w:multiLevelType w:val="singleLevel"/>
    <w:tmpl w:val="D95F3AD1"/>
    <w:lvl w:ilvl="0" w:tentative="0">
      <w:start w:val="5"/>
      <w:numFmt w:val="upperLetter"/>
      <w:suff w:val="nothing"/>
      <w:lvlText w:val="%1-"/>
      <w:lvlJc w:val="left"/>
    </w:lvl>
  </w:abstractNum>
  <w:abstractNum w:abstractNumId="1">
    <w:nsid w:val="DB9094A0"/>
    <w:multiLevelType w:val="singleLevel"/>
    <w:tmpl w:val="DB9094A0"/>
    <w:lvl w:ilvl="0" w:tentative="0">
      <w:start w:val="1"/>
      <w:numFmt w:val="decimal"/>
      <w:suff w:val="space"/>
      <w:lvlText w:val="%1."/>
      <w:lvlJc w:val="left"/>
      <w:pPr>
        <w:ind w:left="0" w:firstLine="0"/>
      </w:pPr>
    </w:lvl>
  </w:abstractNum>
  <w:abstractNum w:abstractNumId="2">
    <w:nsid w:val="1B566CAC"/>
    <w:multiLevelType w:val="multilevel"/>
    <w:tmpl w:val="1B566CAC"/>
    <w:lvl w:ilvl="0" w:tentative="0">
      <w:start w:val="5"/>
      <w:numFmt w:val="upperLetter"/>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1E90823"/>
    <w:multiLevelType w:val="singleLevel"/>
    <w:tmpl w:val="51E90823"/>
    <w:lvl w:ilvl="0" w:tentative="0">
      <w:start w:val="1"/>
      <w:numFmt w:val="decimal"/>
      <w:lvlText w:val="[%1]"/>
      <w:lvlJc w:val="left"/>
      <w:pPr>
        <w:tabs>
          <w:tab w:val="left" w:pos="420"/>
        </w:tabs>
        <w:ind w:left="425" w:hanging="425"/>
      </w:pPr>
      <w:rPr>
        <w:rFonts w:hint="default"/>
        <w:color w:val="3A00FF"/>
      </w:rPr>
    </w:lvl>
  </w:abstractNum>
  <w:num w:numId="1">
    <w:abstractNumId w:val="1"/>
  </w:num>
  <w:num w:numId="2">
    <w:abstractNumId w:val="0"/>
  </w:num>
  <w:num w:numId="3">
    <w:abstractNumId w:val="3"/>
  </w:num>
  <w:num w:numId="4">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E3ZTBmZTM0ZGY3MDdhZjIwZWNjNDgxNTNhMGZhOGMifQ=="/>
    <w:docVar w:name="EN.InstantFormat" w:val="&lt;ENInstantFormat&gt;&lt;Enabled&gt;1&lt;/Enabled&gt;&lt;ScanUnformatted&gt;1&lt;/ScanUnformatted&gt;&lt;ScanChanges&gt;1&lt;/ScanChanges&gt;&lt;Suspended&gt;1&lt;/Suspended&gt;&lt;/ENInstantFormat&gt;"/>
  </w:docVars>
  <w:rsids>
    <w:rsidRoot w:val="001B2038"/>
    <w:rsid w:val="000A250B"/>
    <w:rsid w:val="000D504F"/>
    <w:rsid w:val="00153B97"/>
    <w:rsid w:val="00164C40"/>
    <w:rsid w:val="001B2038"/>
    <w:rsid w:val="00394630"/>
    <w:rsid w:val="00457FC4"/>
    <w:rsid w:val="0046026D"/>
    <w:rsid w:val="00542659"/>
    <w:rsid w:val="00580233"/>
    <w:rsid w:val="005848E4"/>
    <w:rsid w:val="00586BA2"/>
    <w:rsid w:val="005943C8"/>
    <w:rsid w:val="005C7AA3"/>
    <w:rsid w:val="005E331A"/>
    <w:rsid w:val="006163C6"/>
    <w:rsid w:val="00617A6E"/>
    <w:rsid w:val="006B5D26"/>
    <w:rsid w:val="00714BEB"/>
    <w:rsid w:val="00905DBC"/>
    <w:rsid w:val="009A29EC"/>
    <w:rsid w:val="009F3390"/>
    <w:rsid w:val="00A338B4"/>
    <w:rsid w:val="00AF0685"/>
    <w:rsid w:val="00B16481"/>
    <w:rsid w:val="00B31E41"/>
    <w:rsid w:val="00B8178C"/>
    <w:rsid w:val="00B93C2F"/>
    <w:rsid w:val="00BC2D12"/>
    <w:rsid w:val="00C11184"/>
    <w:rsid w:val="00CD4A70"/>
    <w:rsid w:val="00D94CA2"/>
    <w:rsid w:val="00DC3AFA"/>
    <w:rsid w:val="00F1395B"/>
    <w:rsid w:val="00F5179A"/>
    <w:rsid w:val="00FC1A88"/>
    <w:rsid w:val="021F105E"/>
    <w:rsid w:val="02DA4630"/>
    <w:rsid w:val="098D5F59"/>
    <w:rsid w:val="0AE24082"/>
    <w:rsid w:val="0E072F1B"/>
    <w:rsid w:val="0E88715A"/>
    <w:rsid w:val="0F112C3E"/>
    <w:rsid w:val="0F6F35D7"/>
    <w:rsid w:val="14FC21E4"/>
    <w:rsid w:val="15CE592F"/>
    <w:rsid w:val="1B262068"/>
    <w:rsid w:val="1B925650"/>
    <w:rsid w:val="1C2F10F1"/>
    <w:rsid w:val="205D6C2F"/>
    <w:rsid w:val="2127363D"/>
    <w:rsid w:val="28EF40E2"/>
    <w:rsid w:val="2C0A333A"/>
    <w:rsid w:val="2D27472A"/>
    <w:rsid w:val="34C5219B"/>
    <w:rsid w:val="3B00470D"/>
    <w:rsid w:val="3B5D4EDB"/>
    <w:rsid w:val="3E067AAC"/>
    <w:rsid w:val="42CB2E8E"/>
    <w:rsid w:val="4488246F"/>
    <w:rsid w:val="4750638B"/>
    <w:rsid w:val="477E06B3"/>
    <w:rsid w:val="492B1AEF"/>
    <w:rsid w:val="497142E6"/>
    <w:rsid w:val="4A022D76"/>
    <w:rsid w:val="4B201A81"/>
    <w:rsid w:val="4BFE73D2"/>
    <w:rsid w:val="4C001E3B"/>
    <w:rsid w:val="4C2537F3"/>
    <w:rsid w:val="4F6208BA"/>
    <w:rsid w:val="52484953"/>
    <w:rsid w:val="5297103F"/>
    <w:rsid w:val="54276F81"/>
    <w:rsid w:val="544818ED"/>
    <w:rsid w:val="57F037DD"/>
    <w:rsid w:val="5BC21E56"/>
    <w:rsid w:val="5E9E1DFF"/>
    <w:rsid w:val="5F903222"/>
    <w:rsid w:val="62BB61AC"/>
    <w:rsid w:val="632B74E9"/>
    <w:rsid w:val="63AE1EC8"/>
    <w:rsid w:val="67963887"/>
    <w:rsid w:val="684F0ED1"/>
    <w:rsid w:val="69234723"/>
    <w:rsid w:val="6BB64010"/>
    <w:rsid w:val="6BD74FEA"/>
    <w:rsid w:val="6E405662"/>
    <w:rsid w:val="72D1172F"/>
    <w:rsid w:val="732301DD"/>
    <w:rsid w:val="736D1458"/>
    <w:rsid w:val="73777729"/>
    <w:rsid w:val="77BE571B"/>
    <w:rsid w:val="77F66609"/>
    <w:rsid w:val="78A82DD2"/>
    <w:rsid w:val="79A75F4B"/>
    <w:rsid w:val="7AAC5FB3"/>
    <w:rsid w:val="7B963516"/>
    <w:rsid w:val="7E6B32C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ody Text"/>
    <w:basedOn w:val="1"/>
    <w:link w:val="30"/>
    <w:semiHidden/>
    <w:unhideWhenUsed/>
    <w:qFormat/>
    <w:uiPriority w:val="99"/>
    <w:pPr>
      <w:spacing w:after="120"/>
    </w:pPr>
  </w:style>
  <w:style w:type="paragraph" w:styleId="4">
    <w:name w:val="Balloon Text"/>
    <w:basedOn w:val="1"/>
    <w:link w:val="16"/>
    <w:qFormat/>
    <w:uiPriority w:val="0"/>
    <w:rPr>
      <w:sz w:val="18"/>
      <w:szCs w:val="18"/>
    </w:rPr>
  </w:style>
  <w:style w:type="paragraph" w:styleId="5">
    <w:name w:val="footer"/>
    <w:basedOn w:val="1"/>
    <w:link w:val="17"/>
    <w:qFormat/>
    <w:uiPriority w:val="0"/>
    <w:pPr>
      <w:tabs>
        <w:tab w:val="center" w:pos="4153"/>
        <w:tab w:val="right" w:pos="8306"/>
      </w:tabs>
      <w:snapToGrid w:val="0"/>
      <w:jc w:val="left"/>
    </w:pPr>
    <w:rPr>
      <w:sz w:val="18"/>
      <w:szCs w:val="18"/>
    </w:rPr>
  </w:style>
  <w:style w:type="paragraph" w:styleId="6">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19"/>
    <w:semiHidden/>
    <w:unhideWhenUsed/>
    <w:qFormat/>
    <w:uiPriority w:val="99"/>
    <w:rPr>
      <w:sz w:val="20"/>
      <w:szCs w:val="20"/>
    </w:rPr>
  </w:style>
  <w:style w:type="paragraph" w:styleId="8">
    <w:name w:val="Normal (Web)"/>
    <w:basedOn w:val="1"/>
    <w:semiHidden/>
    <w:unhideWhenUsed/>
    <w:qFormat/>
    <w:uiPriority w:val="99"/>
    <w:rPr>
      <w:sz w:val="24"/>
    </w:rPr>
  </w:style>
  <w:style w:type="paragraph" w:styleId="9">
    <w:name w:val="annotation subject"/>
    <w:basedOn w:val="2"/>
    <w:next w:val="2"/>
    <w:link w:val="27"/>
    <w:semiHidden/>
    <w:unhideWhenUsed/>
    <w:qFormat/>
    <w:uiPriority w:val="99"/>
    <w:pPr>
      <w:jc w:val="both"/>
    </w:pPr>
    <w:rPr>
      <w:b/>
      <w:bCs/>
      <w:sz w:val="20"/>
      <w:szCs w:val="20"/>
    </w:rPr>
  </w:style>
  <w:style w:type="character" w:styleId="12">
    <w:name w:val="line number"/>
    <w:basedOn w:val="11"/>
    <w:semiHidden/>
    <w:unhideWhenUsed/>
    <w:qFormat/>
    <w:uiPriority w:val="99"/>
  </w:style>
  <w:style w:type="character" w:styleId="13">
    <w:name w:val="Hyperlink"/>
    <w:basedOn w:val="11"/>
    <w:qFormat/>
    <w:uiPriority w:val="0"/>
    <w:rPr>
      <w:color w:val="0000FF" w:themeColor="hyperlink"/>
      <w:u w:val="single"/>
      <w14:textFill>
        <w14:solidFill>
          <w14:schemeClr w14:val="hlink"/>
        </w14:solidFill>
      </w14:textFill>
    </w:rPr>
  </w:style>
  <w:style w:type="character" w:styleId="14">
    <w:name w:val="annotation reference"/>
    <w:basedOn w:val="11"/>
    <w:qFormat/>
    <w:uiPriority w:val="0"/>
    <w:rPr>
      <w:sz w:val="16"/>
      <w:szCs w:val="16"/>
    </w:rPr>
  </w:style>
  <w:style w:type="character" w:customStyle="1" w:styleId="15">
    <w:name w:val="Comment Text Char"/>
    <w:basedOn w:val="11"/>
    <w:link w:val="2"/>
    <w:qFormat/>
    <w:uiPriority w:val="99"/>
  </w:style>
  <w:style w:type="character" w:customStyle="1" w:styleId="16">
    <w:name w:val="Balloon Text Char"/>
    <w:basedOn w:val="11"/>
    <w:link w:val="4"/>
    <w:qFormat/>
    <w:uiPriority w:val="0"/>
    <w:rPr>
      <w:sz w:val="18"/>
      <w:szCs w:val="18"/>
    </w:rPr>
  </w:style>
  <w:style w:type="character" w:customStyle="1" w:styleId="17">
    <w:name w:val="Footer Char"/>
    <w:basedOn w:val="11"/>
    <w:link w:val="5"/>
    <w:qFormat/>
    <w:uiPriority w:val="0"/>
    <w:rPr>
      <w:sz w:val="18"/>
      <w:szCs w:val="18"/>
    </w:rPr>
  </w:style>
  <w:style w:type="character" w:customStyle="1" w:styleId="18">
    <w:name w:val="Header Char"/>
    <w:basedOn w:val="11"/>
    <w:link w:val="6"/>
    <w:qFormat/>
    <w:uiPriority w:val="0"/>
    <w:rPr>
      <w:sz w:val="18"/>
      <w:szCs w:val="18"/>
    </w:rPr>
  </w:style>
  <w:style w:type="character" w:customStyle="1" w:styleId="19">
    <w:name w:val="Footnote Text Char"/>
    <w:basedOn w:val="11"/>
    <w:link w:val="7"/>
    <w:semiHidden/>
    <w:qFormat/>
    <w:uiPriority w:val="99"/>
    <w:rPr>
      <w:sz w:val="20"/>
      <w:szCs w:val="20"/>
    </w:rPr>
  </w:style>
  <w:style w:type="paragraph" w:customStyle="1" w:styleId="20">
    <w:name w:val="EndNote Bibliography Title"/>
    <w:basedOn w:val="1"/>
    <w:link w:val="21"/>
    <w:qFormat/>
    <w:uiPriority w:val="0"/>
    <w:pPr>
      <w:jc w:val="center"/>
    </w:pPr>
    <w:rPr>
      <w:rFonts w:ascii="Calibri" w:hAnsi="Calibri" w:cs="Calibri"/>
      <w:sz w:val="20"/>
    </w:rPr>
  </w:style>
  <w:style w:type="character" w:customStyle="1" w:styleId="21">
    <w:name w:val="EndNote Bibliography Title Char"/>
    <w:basedOn w:val="11"/>
    <w:link w:val="20"/>
    <w:qFormat/>
    <w:uiPriority w:val="0"/>
    <w:rPr>
      <w:rFonts w:ascii="Calibri" w:hAnsi="Calibri" w:cs="Calibri"/>
      <w:sz w:val="20"/>
    </w:rPr>
  </w:style>
  <w:style w:type="paragraph" w:customStyle="1" w:styleId="22">
    <w:name w:val="EndNote Bibliography"/>
    <w:basedOn w:val="1"/>
    <w:link w:val="23"/>
    <w:qFormat/>
    <w:uiPriority w:val="0"/>
    <w:rPr>
      <w:rFonts w:ascii="Calibri" w:hAnsi="Calibri" w:cs="Calibri"/>
      <w:sz w:val="20"/>
    </w:rPr>
  </w:style>
  <w:style w:type="character" w:customStyle="1" w:styleId="23">
    <w:name w:val="EndNote Bibliography Char"/>
    <w:basedOn w:val="11"/>
    <w:link w:val="22"/>
    <w:qFormat/>
    <w:uiPriority w:val="0"/>
    <w:rPr>
      <w:rFonts w:ascii="Calibri" w:hAnsi="Calibri" w:cs="Calibri"/>
      <w:sz w:val="20"/>
    </w:rPr>
  </w:style>
  <w:style w:type="paragraph" w:customStyle="1" w:styleId="24">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5">
    <w:name w:val="16"/>
    <w:basedOn w:val="11"/>
    <w:qFormat/>
    <w:uiPriority w:val="0"/>
    <w:rPr>
      <w:rFonts w:hint="default" w:ascii="Times New Roman" w:hAnsi="Times New Roman" w:cs="Times New Roman"/>
      <w:sz w:val="16"/>
      <w:szCs w:val="16"/>
    </w:rPr>
  </w:style>
  <w:style w:type="paragraph" w:customStyle="1" w:styleId="26">
    <w:name w:val="Revision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7">
    <w:name w:val="Comment Subject Char"/>
    <w:basedOn w:val="15"/>
    <w:link w:val="9"/>
    <w:semiHidden/>
    <w:qFormat/>
    <w:uiPriority w:val="99"/>
    <w:rPr>
      <w:rFonts w:asciiTheme="minorHAnsi" w:hAnsiTheme="minorHAnsi" w:eastAsiaTheme="minorEastAsia" w:cstheme="minorBidi"/>
      <w:b/>
      <w:bCs/>
      <w:kern w:val="2"/>
      <w:lang w:eastAsia="zh-CN"/>
    </w:rPr>
  </w:style>
  <w:style w:type="paragraph" w:customStyle="1" w:styleId="28">
    <w:name w:val="致谢部分"/>
    <w:basedOn w:val="3"/>
    <w:link w:val="29"/>
    <w:qFormat/>
    <w:uiPriority w:val="0"/>
    <w:pPr>
      <w:autoSpaceDE w:val="0"/>
      <w:autoSpaceDN w:val="0"/>
      <w:adjustRightInd w:val="0"/>
      <w:snapToGrid w:val="0"/>
      <w:spacing w:before="240" w:after="240" w:line="288" w:lineRule="auto"/>
    </w:pPr>
    <w:rPr>
      <w:rFonts w:ascii="Times New Roman" w:hAnsi="Times New Roman" w:eastAsia="Times New Roman" w:cs="Times New Roman"/>
      <w:b/>
      <w:sz w:val="24"/>
      <w:szCs w:val="24"/>
    </w:rPr>
  </w:style>
  <w:style w:type="character" w:customStyle="1" w:styleId="29">
    <w:name w:val="致谢部分 字符"/>
    <w:link w:val="28"/>
    <w:qFormat/>
    <w:uiPriority w:val="0"/>
    <w:rPr>
      <w:rFonts w:eastAsia="Times New Roman"/>
      <w:b/>
      <w:kern w:val="2"/>
      <w:sz w:val="24"/>
      <w:szCs w:val="24"/>
      <w:lang w:eastAsia="zh-CN"/>
    </w:rPr>
  </w:style>
  <w:style w:type="character" w:customStyle="1" w:styleId="30">
    <w:name w:val="Body Text Char"/>
    <w:basedOn w:val="11"/>
    <w:link w:val="3"/>
    <w:semiHidden/>
    <w:qFormat/>
    <w:uiPriority w:val="99"/>
    <w:rPr>
      <w:rFonts w:asciiTheme="minorHAnsi" w:hAnsiTheme="minorHAnsi" w:eastAsiaTheme="minorEastAsia" w:cstheme="minorBidi"/>
      <w:kern w:val="2"/>
      <w:sz w:val="21"/>
      <w:szCs w:val="22"/>
      <w:lang w:eastAsia="zh-CN"/>
    </w:rPr>
  </w:style>
  <w:style w:type="paragraph" w:customStyle="1" w:styleId="31">
    <w:name w:val="Revision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2">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2144</Words>
  <Characters>12387</Characters>
  <Lines>165</Lines>
  <Paragraphs>15</Paragraphs>
  <TotalTime>5</TotalTime>
  <ScaleCrop>false</ScaleCrop>
  <LinksUpToDate>false</LinksUpToDate>
  <CharactersWithSpaces>14165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2023-06-18T17:47:00Z</dcterms:created>
  <dc:creator>lenovo</dc:creator>
  <cp:lastModifiedBy>qisimin</cp:lastModifiedBy>
  <dcterms:modified xsi:type="dcterms:W3CDTF">2023-11-16T02:02:19Z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DB4B7FCB81B443EC931C839FAE6CAD59</vt:lpwstr>
  </property>
  <property fmtid="{D5CDD505-2E9C-101B-9397-08002B2CF9AE}" pid="3" name="KSOProductBuildVer">
    <vt:lpwstr>2052-12.1.0.15712</vt:lpwstr>
  </property>
</Properties>
</file>