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240" w:after="240" w:line="288" w:lineRule="auto"/>
        <w:jc w:val="center"/>
        <w:rPr>
          <w:rFonts w:eastAsia="Times New Roman" w:cs="Times New Roman"/>
          <w:b/>
          <w:color w:val="auto"/>
          <w:kern w:val="2"/>
          <w:sz w:val="18"/>
          <w:szCs w:val="21"/>
        </w:rPr>
      </w:pPr>
      <w:r>
        <w:rPr>
          <w:rFonts w:eastAsia="Times New Roman" w:cs="Times New Roman"/>
          <w:b/>
          <w:color w:val="auto"/>
          <w:kern w:val="2"/>
          <w:sz w:val="18"/>
          <w:szCs w:val="21"/>
        </w:rPr>
        <w:t>eTable</w:t>
      </w:r>
      <w:r>
        <w:rPr>
          <w:rFonts w:eastAsia="Times New Roman" w:cs="Times New Roman"/>
          <w:b/>
          <w:color w:val="auto"/>
          <w:kern w:val="2"/>
          <w:sz w:val="18"/>
          <w:szCs w:val="21"/>
        </w:rPr>
        <w:t xml:space="preserve"> 1. Hazard ratios of cardiac mortality by measures of HbA1c</w:t>
      </w:r>
    </w:p>
    <w:tbl>
      <w:tblPr>
        <w:tblStyle w:val="5"/>
        <w:tblW w:w="4452" w:type="pct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2354"/>
        <w:gridCol w:w="1680"/>
        <w:gridCol w:w="674"/>
        <w:gridCol w:w="167"/>
        <w:gridCol w:w="1680"/>
        <w:gridCol w:w="244"/>
        <w:gridCol w:w="611"/>
        <w:gridCol w:w="1675"/>
        <w:gridCol w:w="1106"/>
      </w:tblGrid>
      <w:tr>
        <w:tblPrEx>
          <w:tblLayout w:type="fixed"/>
        </w:tblPrEx>
        <w:trPr>
          <w:jc w:val="center"/>
        </w:trPr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  <w:t>Events, No. (%)</w:t>
            </w:r>
          </w:p>
        </w:tc>
        <w:tc>
          <w:tcPr>
            <w:tcW w:w="23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  <w:t>Model 1</w:t>
            </w:r>
          </w:p>
        </w:tc>
        <w:tc>
          <w:tcPr>
            <w:tcW w:w="20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  <w:t>Model 2</w:t>
            </w:r>
          </w:p>
        </w:tc>
        <w:tc>
          <w:tcPr>
            <w:tcW w:w="33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  <w:t>Model 3</w:t>
            </w:r>
          </w:p>
        </w:tc>
      </w:tr>
      <w:tr>
        <w:tblPrEx>
          <w:tblLayout w:type="fixed"/>
        </w:tblPrEx>
        <w:trPr>
          <w:jc w:val="center"/>
        </w:trPr>
        <w:tc>
          <w:tcPr>
            <w:tcW w:w="2237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</w:p>
        </w:tc>
        <w:tc>
          <w:tcPr>
            <w:tcW w:w="2354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HR</w:t>
            </w:r>
          </w:p>
        </w:tc>
        <w:tc>
          <w:tcPr>
            <w:tcW w:w="841" w:type="dxa"/>
            <w:gridSpan w:val="2"/>
            <w:tcBorders>
              <w:top w:val="single" w:color="auto" w:sz="4" w:space="0"/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P-value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HR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P-value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HR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P-value</w:t>
            </w:r>
          </w:p>
        </w:tc>
      </w:tr>
      <w:tr>
        <w:tblPrEx>
          <w:tblLayout w:type="fixed"/>
        </w:tblPrEx>
        <w:trPr>
          <w:jc w:val="center"/>
        </w:trPr>
        <w:tc>
          <w:tcPr>
            <w:tcW w:w="2237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Normal glycemia</w:t>
            </w:r>
          </w:p>
        </w:tc>
        <w:tc>
          <w:tcPr>
            <w:tcW w:w="2354" w:type="dxa"/>
            <w:tcBorders>
              <w:left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131(1.9)</w:t>
            </w:r>
          </w:p>
        </w:tc>
        <w:tc>
          <w:tcPr>
            <w:tcW w:w="16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 (ref)</w:t>
            </w:r>
          </w:p>
        </w:tc>
        <w:tc>
          <w:tcPr>
            <w:tcW w:w="84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-</w:t>
            </w:r>
          </w:p>
        </w:tc>
        <w:tc>
          <w:tcPr>
            <w:tcW w:w="16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 (ref)</w:t>
            </w:r>
          </w:p>
        </w:tc>
        <w:tc>
          <w:tcPr>
            <w:tcW w:w="85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-</w:t>
            </w:r>
          </w:p>
        </w:tc>
        <w:tc>
          <w:tcPr>
            <w:tcW w:w="1675" w:type="dxa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 (ref)</w:t>
            </w:r>
          </w:p>
        </w:tc>
        <w:tc>
          <w:tcPr>
            <w:tcW w:w="1106" w:type="dxa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-</w:t>
            </w:r>
          </w:p>
        </w:tc>
      </w:tr>
      <w:tr>
        <w:tblPrEx>
          <w:tblLayout w:type="fixed"/>
        </w:tblPrEx>
        <w:trPr>
          <w:jc w:val="center"/>
        </w:trPr>
        <w:tc>
          <w:tcPr>
            <w:tcW w:w="2237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Intermediate hyperglycemia</w:t>
            </w:r>
          </w:p>
        </w:tc>
        <w:tc>
          <w:tcPr>
            <w:tcW w:w="2354" w:type="dxa"/>
            <w:tcBorders>
              <w:left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80(2.8)</w:t>
            </w:r>
          </w:p>
        </w:tc>
        <w:tc>
          <w:tcPr>
            <w:tcW w:w="16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1.24 (0.939-1.639)</w:t>
            </w:r>
          </w:p>
        </w:tc>
        <w:tc>
          <w:tcPr>
            <w:tcW w:w="841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0.13</w:t>
            </w:r>
          </w:p>
        </w:tc>
        <w:tc>
          <w:tcPr>
            <w:tcW w:w="168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1.228 (0.929-1.625)</w:t>
            </w:r>
          </w:p>
        </w:tc>
        <w:tc>
          <w:tcPr>
            <w:tcW w:w="85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0.149</w:t>
            </w:r>
          </w:p>
        </w:tc>
        <w:tc>
          <w:tcPr>
            <w:tcW w:w="1675" w:type="dxa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1.213 (0.911-1.614)</w:t>
            </w:r>
          </w:p>
        </w:tc>
        <w:tc>
          <w:tcPr>
            <w:tcW w:w="1106" w:type="dxa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0.187</w:t>
            </w:r>
          </w:p>
        </w:tc>
      </w:tr>
      <w:tr>
        <w:tblPrEx>
          <w:tblLayout w:type="fixed"/>
        </w:tblPrEx>
        <w:trPr>
          <w:jc w:val="center"/>
        </w:trPr>
        <w:tc>
          <w:tcPr>
            <w:tcW w:w="223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Hyperglycemia</w:t>
            </w:r>
          </w:p>
        </w:tc>
        <w:tc>
          <w:tcPr>
            <w:tcW w:w="235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246(4.9)</w:t>
            </w:r>
          </w:p>
        </w:tc>
        <w:tc>
          <w:tcPr>
            <w:tcW w:w="168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2.466 (1.995-3.049)</w:t>
            </w:r>
          </w:p>
        </w:tc>
        <w:tc>
          <w:tcPr>
            <w:tcW w:w="841" w:type="dxa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&lt;0.001</w:t>
            </w:r>
          </w:p>
        </w:tc>
        <w:tc>
          <w:tcPr>
            <w:tcW w:w="168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2.433 (1.961-3.018)</w:t>
            </w:r>
          </w:p>
        </w:tc>
        <w:tc>
          <w:tcPr>
            <w:tcW w:w="855" w:type="dxa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&lt;0.001</w:t>
            </w:r>
          </w:p>
        </w:tc>
        <w:tc>
          <w:tcPr>
            <w:tcW w:w="167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1.352 (1.185-1.543)</w:t>
            </w:r>
          </w:p>
        </w:tc>
        <w:tc>
          <w:tcPr>
            <w:tcW w:w="1106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&lt;0.001</w:t>
            </w:r>
          </w:p>
        </w:tc>
      </w:tr>
    </w:tbl>
    <w:p>
      <w:pPr>
        <w:ind w:left="420" w:firstLine="420"/>
        <w:rPr>
          <w:rFonts w:eastAsia="Times New Roman" w:cs="Times New Roman"/>
          <w:color w:val="auto"/>
          <w:kern w:val="2"/>
          <w:sz w:val="18"/>
          <w:szCs w:val="22"/>
        </w:rPr>
      </w:pPr>
      <w:r>
        <w:rPr>
          <w:rFonts w:eastAsia="Times New Roman" w:cs="Times New Roman"/>
          <w:color w:val="auto"/>
          <w:kern w:val="2"/>
          <w:sz w:val="18"/>
          <w:szCs w:val="22"/>
        </w:rPr>
        <w:t>Model 1: unadjusted</w:t>
      </w:r>
    </w:p>
    <w:p>
      <w:pPr>
        <w:ind w:left="420" w:firstLine="420"/>
        <w:rPr>
          <w:rFonts w:eastAsia="Times New Roman" w:cs="Times New Roman"/>
          <w:color w:val="auto"/>
          <w:kern w:val="2"/>
          <w:sz w:val="18"/>
          <w:szCs w:val="22"/>
        </w:rPr>
      </w:pPr>
      <w:r>
        <w:rPr>
          <w:rFonts w:eastAsia="Times New Roman" w:cs="Times New Roman"/>
          <w:color w:val="auto"/>
          <w:kern w:val="2"/>
          <w:sz w:val="18"/>
          <w:szCs w:val="22"/>
        </w:rPr>
        <w:t>Model 2: adjusted for age, gender</w:t>
      </w:r>
    </w:p>
    <w:p>
      <w:pPr>
        <w:ind w:left="420" w:firstLine="420"/>
        <w:rPr>
          <w:rFonts w:eastAsia="等线" w:cs="Times New Roman"/>
          <w:color w:val="auto"/>
          <w:kern w:val="2"/>
          <w:szCs w:val="22"/>
        </w:rPr>
      </w:pPr>
      <w:r>
        <w:rPr>
          <w:rFonts w:eastAsia="Times New Roman" w:cs="Times New Roman"/>
          <w:color w:val="auto"/>
          <w:kern w:val="2"/>
          <w:sz w:val="18"/>
          <w:szCs w:val="22"/>
        </w:rPr>
        <w:t>Model 3: adjusted for age, gender, cholesterol, low-density lipoprotein cholesterol, chronic kidney disease, congestive heart failure, hypertension, atrial fibrillation, acute myocardial infraction</w:t>
      </w:r>
    </w:p>
    <w:p>
      <w:pPr>
        <w:ind w:left="420" w:firstLine="420"/>
        <w:rPr>
          <w:rFonts w:eastAsia="Times New Roman" w:cs="Times New Roman"/>
          <w:color w:val="auto"/>
          <w:kern w:val="2"/>
          <w:sz w:val="18"/>
          <w:szCs w:val="22"/>
        </w:rPr>
      </w:pPr>
      <w:r>
        <w:rPr>
          <w:rFonts w:hint="eastAsia" w:eastAsia="Times New Roman" w:cs="Times New Roman"/>
          <w:color w:val="auto"/>
          <w:kern w:val="2"/>
          <w:sz w:val="18"/>
          <w:szCs w:val="22"/>
        </w:rPr>
        <w:t>(</w:t>
      </w:r>
      <w:r>
        <w:rPr>
          <w:rFonts w:hint="eastAsia" w:eastAsia="Times New Roman" w:cs="Times New Roman"/>
          <w:color w:val="auto"/>
          <w:kern w:val="2"/>
          <w:sz w:val="18"/>
          <w:szCs w:val="22"/>
        </w:rPr>
        <w:t>i</w:t>
      </w:r>
      <w:r>
        <w:rPr>
          <w:rFonts w:hint="eastAsia" w:eastAsia="Times New Roman" w:cs="Times New Roman"/>
          <w:color w:val="auto"/>
          <w:kern w:val="2"/>
          <w:sz w:val="18"/>
          <w:szCs w:val="22"/>
        </w:rPr>
        <w:t xml:space="preserve">) normal glycemia group [HbA1c level was &lt; 6.0%], (ii) </w:t>
      </w:r>
      <w:r>
        <w:rPr>
          <w:rFonts w:hint="eastAsia" w:eastAsia="Times New Roman" w:cs="Times New Roman"/>
          <w:color w:val="auto"/>
          <w:kern w:val="2"/>
          <w:sz w:val="18"/>
          <w:szCs w:val="22"/>
        </w:rPr>
        <w:t>intermediate</w:t>
      </w:r>
      <w:r>
        <w:rPr>
          <w:rFonts w:eastAsia="Times New Roman" w:cs="Times New Roman"/>
          <w:color w:val="auto"/>
          <w:kern w:val="2"/>
          <w:sz w:val="18"/>
          <w:szCs w:val="22"/>
        </w:rPr>
        <w:t xml:space="preserve"> </w:t>
      </w:r>
      <w:r>
        <w:rPr>
          <w:rFonts w:hint="eastAsia" w:eastAsia="Times New Roman" w:cs="Times New Roman"/>
          <w:color w:val="auto"/>
          <w:kern w:val="2"/>
          <w:sz w:val="18"/>
          <w:szCs w:val="22"/>
        </w:rPr>
        <w:t>hyp</w:t>
      </w:r>
      <w:r>
        <w:rPr>
          <w:rFonts w:eastAsia="Times New Roman" w:cs="Times New Roman"/>
          <w:color w:val="auto"/>
          <w:kern w:val="2"/>
          <w:sz w:val="18"/>
          <w:szCs w:val="22"/>
        </w:rPr>
        <w:t>er</w:t>
      </w:r>
      <w:r>
        <w:rPr>
          <w:rFonts w:hint="eastAsia" w:eastAsia="Times New Roman" w:cs="Times New Roman"/>
          <w:color w:val="auto"/>
          <w:kern w:val="2"/>
          <w:sz w:val="18"/>
          <w:szCs w:val="22"/>
        </w:rPr>
        <w:t>glycemia [HbA1c level ranging from 6.0 to 6.4%] and (iii) hyperglycemia group [HbA1c level was ≥ 6.5%]</w:t>
      </w:r>
    </w:p>
    <w:p>
      <w:pPr>
        <w:adjustRightInd w:val="0"/>
        <w:snapToGrid w:val="0"/>
        <w:spacing w:before="240" w:after="240" w:line="288" w:lineRule="auto"/>
        <w:jc w:val="center"/>
        <w:rPr>
          <w:rFonts w:cs="Times New Roman"/>
          <w:b/>
          <w:color w:val="auto"/>
          <w:kern w:val="2"/>
          <w:sz w:val="18"/>
          <w:szCs w:val="21"/>
        </w:rPr>
      </w:pPr>
    </w:p>
    <w:p>
      <w:pPr>
        <w:adjustRightInd w:val="0"/>
        <w:snapToGrid w:val="0"/>
        <w:spacing w:before="240" w:after="240" w:line="288" w:lineRule="auto"/>
        <w:jc w:val="center"/>
        <w:rPr>
          <w:rFonts w:eastAsia="Times New Roman" w:cs="Times New Roman"/>
          <w:b/>
          <w:color w:val="auto"/>
          <w:kern w:val="2"/>
          <w:sz w:val="18"/>
          <w:szCs w:val="21"/>
        </w:rPr>
      </w:pPr>
      <w:bookmarkStart w:id="0" w:name="_Hlk142235048"/>
      <w:r>
        <w:rPr>
          <w:rFonts w:eastAsia="Times New Roman" w:cs="Times New Roman"/>
          <w:b/>
          <w:color w:val="auto"/>
          <w:kern w:val="2"/>
          <w:sz w:val="18"/>
          <w:szCs w:val="21"/>
        </w:rPr>
        <w:t>eTable</w:t>
      </w:r>
      <w:r>
        <w:rPr>
          <w:rFonts w:eastAsia="Times New Roman" w:cs="Times New Roman"/>
          <w:b/>
          <w:color w:val="auto"/>
          <w:kern w:val="2"/>
          <w:sz w:val="18"/>
          <w:szCs w:val="21"/>
        </w:rPr>
        <w:t xml:space="preserve"> 2. Hazard ratios of </w:t>
      </w:r>
      <w:r>
        <w:rPr>
          <w:rFonts w:eastAsia="Times New Roman" w:cs="Times New Roman"/>
          <w:b/>
          <w:color w:val="auto"/>
          <w:kern w:val="2"/>
          <w:sz w:val="18"/>
          <w:szCs w:val="21"/>
        </w:rPr>
        <w:t>all-cause</w:t>
      </w:r>
      <w:r>
        <w:rPr>
          <w:rFonts w:eastAsia="Times New Roman" w:cs="Times New Roman"/>
          <w:b/>
          <w:color w:val="auto"/>
          <w:kern w:val="2"/>
          <w:sz w:val="18"/>
          <w:szCs w:val="21"/>
        </w:rPr>
        <w:t xml:space="preserve"> mortality by measures of fasting blood glucose</w:t>
      </w:r>
    </w:p>
    <w:tbl>
      <w:tblPr>
        <w:tblStyle w:val="5"/>
        <w:tblW w:w="10207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9"/>
        <w:gridCol w:w="1710"/>
        <w:gridCol w:w="766"/>
        <w:gridCol w:w="1641"/>
        <w:gridCol w:w="850"/>
        <w:gridCol w:w="1701"/>
        <w:gridCol w:w="1140"/>
      </w:tblGrid>
      <w:tr>
        <w:tblPrEx>
          <w:tblLayout w:type="fixed"/>
        </w:tblPrEx>
        <w:trPr>
          <w:jc w:val="center"/>
        </w:trPr>
        <w:tc>
          <w:tcPr>
            <w:tcW w:w="23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</w:pP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  <w:t>Model 1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  <w:t>Model 2</w:t>
            </w:r>
          </w:p>
        </w:tc>
        <w:tc>
          <w:tcPr>
            <w:tcW w:w="2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  <w:t>Model 3</w:t>
            </w:r>
          </w:p>
        </w:tc>
      </w:tr>
      <w:tr>
        <w:tblPrEx>
          <w:tblLayout w:type="fixed"/>
        </w:tblPrEx>
        <w:trPr>
          <w:jc w:val="center"/>
        </w:trPr>
        <w:tc>
          <w:tcPr>
            <w:tcW w:w="2399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/>
                <w:color w:val="auto"/>
                <w:kern w:val="2"/>
                <w:sz w:val="18"/>
                <w:szCs w:val="21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HR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P-value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HR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P-value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HR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</w:tcBorders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P-value</w:t>
            </w:r>
          </w:p>
        </w:tc>
      </w:tr>
      <w:tr>
        <w:tblPrEx>
          <w:tblLayout w:type="fixed"/>
        </w:tblPrEx>
        <w:trPr>
          <w:jc w:val="center"/>
        </w:trPr>
        <w:tc>
          <w:tcPr>
            <w:tcW w:w="2399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Normal glycemia</w:t>
            </w:r>
          </w:p>
        </w:tc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 (ref)</w:t>
            </w:r>
          </w:p>
        </w:tc>
        <w:tc>
          <w:tcPr>
            <w:tcW w:w="76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-</w:t>
            </w:r>
          </w:p>
        </w:tc>
        <w:tc>
          <w:tcPr>
            <w:tcW w:w="164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 (ref)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-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 (ref)</w:t>
            </w:r>
          </w:p>
        </w:tc>
        <w:tc>
          <w:tcPr>
            <w:tcW w:w="1140" w:type="dxa"/>
            <w:tcBorders>
              <w:left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-</w:t>
            </w:r>
          </w:p>
        </w:tc>
      </w:tr>
      <w:tr>
        <w:tblPrEx>
          <w:tblLayout w:type="fixed"/>
        </w:tblPrEx>
        <w:trPr>
          <w:jc w:val="center"/>
        </w:trPr>
        <w:tc>
          <w:tcPr>
            <w:tcW w:w="2399" w:type="dxa"/>
            <w:tcBorders>
              <w:left w:val="nil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Intermediate hyperglycemia</w:t>
            </w:r>
          </w:p>
        </w:tc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1.24(0.939-1.639)</w:t>
            </w:r>
          </w:p>
        </w:tc>
        <w:tc>
          <w:tcPr>
            <w:tcW w:w="76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0.13</w:t>
            </w:r>
          </w:p>
        </w:tc>
        <w:tc>
          <w:tcPr>
            <w:tcW w:w="164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1.228(0.929-1.625)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0.149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1.213(0.911-1.614)</w:t>
            </w:r>
          </w:p>
        </w:tc>
        <w:tc>
          <w:tcPr>
            <w:tcW w:w="1140" w:type="dxa"/>
            <w:tcBorders>
              <w:left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0.187</w:t>
            </w:r>
          </w:p>
        </w:tc>
      </w:tr>
      <w:tr>
        <w:tblPrEx>
          <w:tblLayout w:type="fixed"/>
        </w:tblPrEx>
        <w:trPr>
          <w:jc w:val="center"/>
        </w:trPr>
        <w:tc>
          <w:tcPr>
            <w:tcW w:w="2399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Hyperglycemia</w:t>
            </w:r>
          </w:p>
        </w:tc>
        <w:tc>
          <w:tcPr>
            <w:tcW w:w="171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2.466(1.995-3.049)</w:t>
            </w:r>
          </w:p>
        </w:tc>
        <w:tc>
          <w:tcPr>
            <w:tcW w:w="76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&lt;0.001</w:t>
            </w:r>
          </w:p>
        </w:tc>
        <w:tc>
          <w:tcPr>
            <w:tcW w:w="164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2.433(1.961-3.018)</w:t>
            </w:r>
          </w:p>
        </w:tc>
        <w:tc>
          <w:tcPr>
            <w:tcW w:w="85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&lt;0.001</w:t>
            </w:r>
          </w:p>
        </w:tc>
        <w:tc>
          <w:tcPr>
            <w:tcW w:w="1701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1.352(1.185-1.543)</w:t>
            </w:r>
          </w:p>
        </w:tc>
        <w:tc>
          <w:tcPr>
            <w:tcW w:w="1140" w:type="dxa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</w:pPr>
            <w:r>
              <w:rPr>
                <w:rFonts w:eastAsia="宋体" w:cs="Times New Roman"/>
                <w:bCs/>
                <w:color w:val="auto"/>
                <w:kern w:val="2"/>
                <w:sz w:val="18"/>
                <w:szCs w:val="21"/>
              </w:rPr>
              <w:t>&lt;0.001</w:t>
            </w:r>
          </w:p>
        </w:tc>
      </w:tr>
    </w:tbl>
    <w:p>
      <w:pPr>
        <w:rPr>
          <w:rFonts w:eastAsia="Times New Roman" w:cs="Times New Roman"/>
          <w:color w:val="auto"/>
          <w:kern w:val="2"/>
          <w:sz w:val="18"/>
          <w:szCs w:val="22"/>
        </w:rPr>
      </w:pPr>
      <w:r>
        <w:rPr>
          <w:rFonts w:eastAsia="Times New Roman" w:cs="Times New Roman"/>
          <w:color w:val="auto"/>
          <w:kern w:val="2"/>
          <w:sz w:val="18"/>
          <w:szCs w:val="22"/>
        </w:rPr>
        <w:t>Model 1: unadjusted</w:t>
      </w:r>
    </w:p>
    <w:p>
      <w:pPr>
        <w:rPr>
          <w:rFonts w:eastAsia="Times New Roman" w:cs="Times New Roman"/>
          <w:color w:val="auto"/>
          <w:kern w:val="2"/>
          <w:sz w:val="18"/>
          <w:szCs w:val="22"/>
        </w:rPr>
      </w:pPr>
      <w:r>
        <w:rPr>
          <w:rFonts w:eastAsia="Times New Roman" w:cs="Times New Roman"/>
          <w:color w:val="auto"/>
          <w:kern w:val="2"/>
          <w:sz w:val="18"/>
          <w:szCs w:val="22"/>
        </w:rPr>
        <w:t>Model 2: adjusted for age, gender</w:t>
      </w:r>
    </w:p>
    <w:p>
      <w:pPr>
        <w:rPr>
          <w:rFonts w:eastAsia="Times New Roman" w:cs="Times New Roman"/>
          <w:color w:val="auto"/>
          <w:kern w:val="2"/>
          <w:sz w:val="18"/>
          <w:szCs w:val="22"/>
        </w:rPr>
      </w:pPr>
      <w:r>
        <w:rPr>
          <w:rFonts w:eastAsia="Times New Roman" w:cs="Times New Roman"/>
          <w:color w:val="auto"/>
          <w:kern w:val="2"/>
          <w:sz w:val="18"/>
          <w:szCs w:val="22"/>
        </w:rPr>
        <w:t>Model 3: adjusted for age, gender, cholesterol, low-density lipoprotein cholesterol, chronic kidney disease, congestive heart failure, hypertension, atrial fibrillation, acute myocardial infraction</w:t>
      </w:r>
      <w:bookmarkEnd w:id="0"/>
    </w:p>
    <w:p>
      <w:pPr>
        <w:rPr>
          <w:rFonts w:hint="eastAsia" w:cs="Times New Roman"/>
          <w:color w:val="auto"/>
          <w:kern w:val="2"/>
          <w:sz w:val="18"/>
          <w:szCs w:val="22"/>
        </w:rPr>
      </w:pPr>
      <w:r>
        <w:rPr>
          <w:rFonts w:hint="eastAsia" w:eastAsia="Times New Roman" w:cs="Times New Roman"/>
          <w:color w:val="auto"/>
          <w:kern w:val="2"/>
          <w:sz w:val="18"/>
          <w:szCs w:val="22"/>
        </w:rPr>
        <w:t>According to the World Health Organization criteria, glycemic status was defined as: (</w:t>
      </w:r>
      <w:r>
        <w:rPr>
          <w:rFonts w:hint="eastAsia" w:eastAsia="Times New Roman" w:cs="Times New Roman"/>
          <w:color w:val="auto"/>
          <w:kern w:val="2"/>
          <w:sz w:val="18"/>
          <w:szCs w:val="22"/>
        </w:rPr>
        <w:t>i</w:t>
      </w:r>
      <w:r>
        <w:rPr>
          <w:rFonts w:hint="eastAsia" w:eastAsia="Times New Roman" w:cs="Times New Roman"/>
          <w:color w:val="auto"/>
          <w:kern w:val="2"/>
          <w:sz w:val="18"/>
          <w:szCs w:val="22"/>
        </w:rPr>
        <w:t>) normal fasting glucose, FBG ≤ 6.0 mmol/L; (ii) impaired fasting glucose, 6.1 ≤ FBG ≤ 6.9mmol/L; and (iii) diabetes, FBG ≥ 7.0 mmol/L. Patients were also categorized into three groups based on their baseline FBG: (</w:t>
      </w:r>
      <w:r>
        <w:rPr>
          <w:rFonts w:hint="eastAsia" w:eastAsia="Times New Roman" w:cs="Times New Roman"/>
          <w:color w:val="auto"/>
          <w:kern w:val="2"/>
          <w:sz w:val="18"/>
          <w:szCs w:val="22"/>
        </w:rPr>
        <w:t>i</w:t>
      </w:r>
      <w:r>
        <w:rPr>
          <w:rFonts w:hint="eastAsia" w:eastAsia="Times New Roman" w:cs="Times New Roman"/>
          <w:color w:val="auto"/>
          <w:kern w:val="2"/>
          <w:sz w:val="18"/>
          <w:szCs w:val="22"/>
        </w:rPr>
        <w:t>) normal glycemia group [FBG ≤ 6.0 mmol/L], (ii) intermediate hyperglycemia [6.1 ≤ FBG ≤ 6.9mmol/L] and (iii) hyperglycemia group [FBG ≥ 7.0 mmol/L</w:t>
      </w:r>
      <w:bookmarkStart w:id="1" w:name="_GoBack"/>
      <w:bookmarkEnd w:id="1"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color w:val="000000" w:themeColor="text1"/>
      <w:kern w:val="44"/>
      <w:sz w:val="24"/>
      <w:szCs w:val="24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rFonts w:ascii="Times New Roman" w:hAnsi="Times New Roman"/>
      <w:color w:val="000000" w:themeColor="text1"/>
      <w:kern w:val="44"/>
      <w:sz w:val="18"/>
      <w:szCs w:val="18"/>
      <w14:textFill>
        <w14:solidFill>
          <w14:schemeClr w14:val="tx1"/>
        </w14:solidFill>
      </w14:textFill>
    </w:rPr>
  </w:style>
  <w:style w:type="character" w:customStyle="1" w:styleId="7">
    <w:name w:val="页脚 字符"/>
    <w:basedOn w:val="4"/>
    <w:link w:val="2"/>
    <w:uiPriority w:val="99"/>
    <w:rPr>
      <w:rFonts w:ascii="Times New Roman" w:hAnsi="Times New Roman"/>
      <w:color w:val="000000" w:themeColor="text1"/>
      <w:kern w:val="44"/>
      <w:sz w:val="18"/>
      <w:szCs w:val="18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289</Words>
  <Characters>1650</Characters>
  <Lines>13</Lines>
  <Paragraphs>3</Paragraphs>
  <TotalTime>0</TotalTime>
  <ScaleCrop>false</ScaleCrop>
  <LinksUpToDate>false</LinksUpToDate>
  <CharactersWithSpaces>1936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2023-08-06T13:33:00Z</dcterms:created>
  <dc:creator>ZHOU ZIYOU</dc:creator>
  <cp:lastModifiedBy>iPhone</cp:lastModifiedBy>
  <dcterms:modified xsi:type="dcterms:W3CDTF">2023-08-07T09:48:18Z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08C9AAC38A14BA4A5B4DD0644558F79D_32</vt:lpwstr>
  </property>
  <property fmtid="{D5CDD505-2E9C-101B-9397-08002B2CF9AE}" pid="3" name="KSOProductBuildVer">
    <vt:lpwstr>2052-11.37.8</vt:lpwstr>
  </property>
</Properties>
</file>