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8479E" w14:textId="77777777" w:rsidR="00BA438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SUPPLEMENTARY MATERIAL</w:t>
      </w:r>
    </w:p>
    <w:p w14:paraId="10B036E5" w14:textId="77777777" w:rsidR="00BA438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Supplementary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Figure 1</w:t>
      </w:r>
      <w:r>
        <w:rPr>
          <w:rFonts w:ascii="Arial" w:eastAsia="Arial" w:hAnsi="Arial" w:cs="Arial"/>
          <w:sz w:val="22"/>
          <w:szCs w:val="22"/>
        </w:rPr>
        <w:t>.</w:t>
      </w:r>
    </w:p>
    <w:p w14:paraId="53369A89" w14:textId="77777777" w:rsidR="00BA4387" w:rsidRDefault="00BA4387">
      <w:pPr>
        <w:widowControl w:val="0"/>
        <w:spacing w:line="480" w:lineRule="auto"/>
        <w:rPr>
          <w:sz w:val="22"/>
          <w:szCs w:val="22"/>
        </w:rPr>
      </w:pPr>
    </w:p>
    <w:tbl>
      <w:tblPr>
        <w:tblStyle w:val="a5"/>
        <w:tblW w:w="9162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9162"/>
      </w:tblGrid>
      <w:tr w:rsidR="00BA4387" w14:paraId="798FA2F5" w14:textId="77777777">
        <w:tc>
          <w:tcPr>
            <w:tcW w:w="9162" w:type="dxa"/>
          </w:tcPr>
          <w:p w14:paraId="70D369D2" w14:textId="77777777" w:rsidR="00BA4387" w:rsidRDefault="00000000">
            <w:pPr>
              <w:widowControl w:val="0"/>
              <w:spacing w:line="480" w:lineRule="auto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114300" distR="114300" wp14:anchorId="079834CE" wp14:editId="752E7DCD">
                  <wp:extent cx="5725795" cy="3969385"/>
                  <wp:effectExtent l="0" t="0" r="0" b="0"/>
                  <wp:docPr id="1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5795" cy="39693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387" w14:paraId="10A57DBD" w14:textId="77777777">
        <w:tc>
          <w:tcPr>
            <w:tcW w:w="9162" w:type="dxa"/>
          </w:tcPr>
          <w:p w14:paraId="166B9302" w14:textId="77777777" w:rsidR="00BA4387" w:rsidRDefault="00000000">
            <w:pPr>
              <w:widowControl w:val="0"/>
              <w:spacing w:line="48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Figure 1. </w:t>
            </w:r>
          </w:p>
          <w:p w14:paraId="37F36CE6" w14:textId="500CFF64" w:rsidR="00BA4387" w:rsidRDefault="00000000">
            <w:pPr>
              <w:widowControl w:val="0"/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Scatter plot distribution between body surface area (BSA)-adjusted indices of LV </w:t>
            </w:r>
            <w:r w:rsidR="00372DB8">
              <w:rPr>
                <w:rFonts w:hint="eastAsia"/>
                <w:sz w:val="22"/>
                <w:szCs w:val="22"/>
              </w:rPr>
              <w:t>q</w:t>
            </w:r>
            <w:r w:rsidR="00372DB8">
              <w:rPr>
                <w:sz w:val="22"/>
                <w:szCs w:val="22"/>
              </w:rPr>
              <w:t xml:space="preserve">uality </w:t>
            </w:r>
            <w:r>
              <w:rPr>
                <w:sz w:val="22"/>
                <w:szCs w:val="22"/>
              </w:rPr>
              <w:t xml:space="preserve">to height. We checked the relationship between BSA indices of LV </w:t>
            </w:r>
            <w:r w:rsidR="00372DB8">
              <w:rPr>
                <w:rFonts w:hint="eastAsia"/>
                <w:sz w:val="22"/>
                <w:szCs w:val="22"/>
              </w:rPr>
              <w:t>q</w:t>
            </w:r>
            <w:r w:rsidR="00372DB8">
              <w:rPr>
                <w:sz w:val="22"/>
                <w:szCs w:val="22"/>
              </w:rPr>
              <w:t xml:space="preserve">uality </w:t>
            </w:r>
            <w:r>
              <w:rPr>
                <w:sz w:val="22"/>
                <w:szCs w:val="22"/>
              </w:rPr>
              <w:t xml:space="preserve">and height by using a scatter plot distribution. This scatter plot indicated that the height of the children expressed a slightly positive correlation with the LVEDV index and LVMM index but a negative correlation with the MAA index. Therefore, setting a threshold on only one value among these indices of LV </w:t>
            </w:r>
            <w:r w:rsidR="00372DB8">
              <w:rPr>
                <w:rFonts w:hint="eastAsia"/>
                <w:sz w:val="22"/>
                <w:szCs w:val="22"/>
              </w:rPr>
              <w:t>q</w:t>
            </w:r>
            <w:r w:rsidR="00372DB8">
              <w:rPr>
                <w:sz w:val="22"/>
                <w:szCs w:val="22"/>
              </w:rPr>
              <w:t xml:space="preserve">uality </w:t>
            </w:r>
            <w:r>
              <w:rPr>
                <w:sz w:val="22"/>
                <w:szCs w:val="22"/>
              </w:rPr>
              <w:t xml:space="preserve">to differentiate between normal or abnormal LV </w:t>
            </w:r>
            <w:r w:rsidR="00372DB8">
              <w:rPr>
                <w:rFonts w:hint="eastAsia"/>
                <w:sz w:val="22"/>
                <w:szCs w:val="22"/>
              </w:rPr>
              <w:t>q</w:t>
            </w:r>
            <w:r w:rsidR="00372DB8">
              <w:rPr>
                <w:sz w:val="22"/>
                <w:szCs w:val="22"/>
              </w:rPr>
              <w:t xml:space="preserve">uality </w:t>
            </w:r>
            <w:r>
              <w:rPr>
                <w:sz w:val="22"/>
                <w:szCs w:val="22"/>
              </w:rPr>
              <w:t>is not reasonable. LVEDVi = left ventricular end-diastolic volume index (red circle and red regression line; LVEDV/BSA; mL/m</w:t>
            </w:r>
            <w:r>
              <w:rPr>
                <w:sz w:val="22"/>
                <w:szCs w:val="22"/>
                <w:vertAlign w:val="superscript"/>
              </w:rPr>
              <w:t>2</w:t>
            </w:r>
            <w:r>
              <w:rPr>
                <w:sz w:val="22"/>
                <w:szCs w:val="22"/>
              </w:rPr>
              <w:t>); LVMi = left ventricular myocardial mass index (black square and black regression line; LVM/BSA; g/m</w:t>
            </w:r>
            <w:r>
              <w:rPr>
                <w:sz w:val="22"/>
                <w:szCs w:val="22"/>
                <w:vertAlign w:val="superscript"/>
              </w:rPr>
              <w:t>2</w:t>
            </w:r>
            <w:r>
              <w:rPr>
                <w:sz w:val="22"/>
                <w:szCs w:val="22"/>
              </w:rPr>
              <w:t>); MAAi = mitral annulus area index (blue triangle and blue regression line; MAA/BSA; cm</w:t>
            </w:r>
            <w:r>
              <w:rPr>
                <w:sz w:val="22"/>
                <w:szCs w:val="22"/>
                <w:vertAlign w:val="superscript"/>
              </w:rPr>
              <w:t>2</w:t>
            </w:r>
            <w:r>
              <w:rPr>
                <w:sz w:val="22"/>
                <w:szCs w:val="22"/>
              </w:rPr>
              <w:t>/m</w:t>
            </w:r>
            <w:r>
              <w:rPr>
                <w:sz w:val="22"/>
                <w:szCs w:val="22"/>
                <w:vertAlign w:val="superscript"/>
              </w:rPr>
              <w:t>2</w:t>
            </w:r>
            <w:r>
              <w:rPr>
                <w:sz w:val="22"/>
                <w:szCs w:val="22"/>
              </w:rPr>
              <w:t>).</w:t>
            </w:r>
          </w:p>
        </w:tc>
      </w:tr>
    </w:tbl>
    <w:p w14:paraId="37D56865" w14:textId="77777777" w:rsidR="00BA438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sz w:val="22"/>
          <w:szCs w:val="22"/>
        </w:rPr>
      </w:pPr>
      <w:r>
        <w:br w:type="page"/>
      </w:r>
    </w:p>
    <w:p w14:paraId="1112AF07" w14:textId="77777777" w:rsidR="00BA4387" w:rsidRPr="0011015A" w:rsidRDefault="00BA438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sz w:val="22"/>
          <w:szCs w:val="22"/>
        </w:rPr>
      </w:pPr>
    </w:p>
    <w:p w14:paraId="14D16C33" w14:textId="77777777" w:rsidR="00BA438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Supplementary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color w:val="000000"/>
          <w:sz w:val="22"/>
          <w:szCs w:val="22"/>
        </w:rPr>
        <w:t>Table 1</w:t>
      </w:r>
      <w:r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41308D09" w14:textId="77777777" w:rsidR="00BA438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Pearson correlation coefficients (</w:t>
      </w:r>
      <w:r>
        <w:rPr>
          <w:rFonts w:ascii="Arial" w:eastAsia="Arial" w:hAnsi="Arial" w:cs="Arial"/>
          <w:i/>
          <w:color w:val="000000"/>
          <w:sz w:val="22"/>
          <w:szCs w:val="22"/>
        </w:rPr>
        <w:t>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) and </w:t>
      </w:r>
      <w:r>
        <w:rPr>
          <w:rFonts w:ascii="Arial" w:eastAsia="Arial" w:hAnsi="Arial" w:cs="Arial"/>
          <w:i/>
          <w:color w:val="000000"/>
          <w:sz w:val="22"/>
          <w:szCs w:val="22"/>
        </w:rPr>
        <w:t>p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values (</w:t>
      </w:r>
      <w:r>
        <w:rPr>
          <w:rFonts w:ascii="Arial" w:eastAsia="Arial" w:hAnsi="Arial" w:cs="Arial"/>
          <w:i/>
          <w:color w:val="000000"/>
          <w:sz w:val="22"/>
          <w:szCs w:val="22"/>
        </w:rPr>
        <w:t>p</w:t>
      </w:r>
      <w:r>
        <w:rPr>
          <w:rFonts w:ascii="Arial" w:eastAsia="Arial" w:hAnsi="Arial" w:cs="Arial"/>
          <w:color w:val="000000"/>
          <w:sz w:val="22"/>
          <w:szCs w:val="22"/>
        </w:rPr>
        <w:t>) between LV characteristics relative to factors of body size</w:t>
      </w:r>
    </w:p>
    <w:tbl>
      <w:tblPr>
        <w:tblStyle w:val="a6"/>
        <w:tblW w:w="9082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982"/>
        <w:gridCol w:w="76"/>
        <w:gridCol w:w="729"/>
        <w:gridCol w:w="1537"/>
        <w:gridCol w:w="76"/>
        <w:gridCol w:w="729"/>
        <w:gridCol w:w="1538"/>
        <w:gridCol w:w="76"/>
        <w:gridCol w:w="803"/>
        <w:gridCol w:w="1536"/>
      </w:tblGrid>
      <w:tr w:rsidR="00BA4387" w14:paraId="241235EF" w14:textId="77777777">
        <w:trPr>
          <w:trHeight w:val="390"/>
        </w:trPr>
        <w:tc>
          <w:tcPr>
            <w:tcW w:w="1983" w:type="dxa"/>
            <w:vMerge w:val="restart"/>
            <w:tcBorders>
              <w:top w:val="single" w:sz="12" w:space="0" w:color="000000"/>
              <w:left w:val="nil"/>
              <w:right w:val="nil"/>
            </w:tcBorders>
          </w:tcPr>
          <w:p w14:paraId="7E9F680F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Factors</w:t>
            </w:r>
          </w:p>
        </w:tc>
        <w:tc>
          <w:tcPr>
            <w:tcW w:w="75" w:type="dxa"/>
            <w:tcBorders>
              <w:top w:val="single" w:sz="12" w:space="0" w:color="000000"/>
              <w:left w:val="nil"/>
              <w:right w:val="nil"/>
            </w:tcBorders>
          </w:tcPr>
          <w:p w14:paraId="446806D4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266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65DAC4C3" w14:textId="2ED20B91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LVEDV</w:t>
            </w:r>
          </w:p>
        </w:tc>
        <w:tc>
          <w:tcPr>
            <w:tcW w:w="76" w:type="dxa"/>
            <w:tcBorders>
              <w:top w:val="single" w:sz="12" w:space="0" w:color="000000"/>
              <w:left w:val="nil"/>
              <w:right w:val="nil"/>
            </w:tcBorders>
          </w:tcPr>
          <w:p w14:paraId="14BB4D33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708D67A1" w14:textId="60CC2A86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LVMM</w:t>
            </w:r>
          </w:p>
        </w:tc>
        <w:tc>
          <w:tcPr>
            <w:tcW w:w="76" w:type="dxa"/>
            <w:tcBorders>
              <w:top w:val="single" w:sz="12" w:space="0" w:color="000000"/>
              <w:left w:val="nil"/>
              <w:right w:val="nil"/>
            </w:tcBorders>
          </w:tcPr>
          <w:p w14:paraId="7BCD7DFA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39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1566CEA4" w14:textId="63BE82B4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MAA</w:t>
            </w:r>
          </w:p>
        </w:tc>
      </w:tr>
      <w:tr w:rsidR="00BA4387" w14:paraId="34512B85" w14:textId="77777777">
        <w:trPr>
          <w:trHeight w:val="345"/>
        </w:trPr>
        <w:tc>
          <w:tcPr>
            <w:tcW w:w="1983" w:type="dxa"/>
            <w:vMerge/>
            <w:tcBorders>
              <w:top w:val="single" w:sz="12" w:space="0" w:color="000000"/>
              <w:left w:val="nil"/>
              <w:right w:val="nil"/>
            </w:tcBorders>
          </w:tcPr>
          <w:p w14:paraId="69ABC8D2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E440690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12BCC032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>r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6E25F7A2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>p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199E7E7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4862720B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>r</w:t>
            </w: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03BDE3C5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>p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6D7B2E4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3BF6A2C1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>r</w:t>
            </w:r>
          </w:p>
        </w:tc>
        <w:tc>
          <w:tcPr>
            <w:tcW w:w="153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7FCE9C5A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>p</w:t>
            </w:r>
          </w:p>
        </w:tc>
      </w:tr>
      <w:tr w:rsidR="00BA4387" w14:paraId="174DFEB6" w14:textId="77777777">
        <w:trPr>
          <w:trHeight w:val="345"/>
        </w:trPr>
        <w:tc>
          <w:tcPr>
            <w:tcW w:w="198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8FF6CDA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7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9FFB15F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14482F9" w14:textId="7B81CD48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.87</w:t>
            </w:r>
          </w:p>
        </w:tc>
        <w:tc>
          <w:tcPr>
            <w:tcW w:w="1537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C614ECC" w14:textId="375BCAF1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3.2E-20</w:t>
            </w:r>
          </w:p>
        </w:tc>
        <w:tc>
          <w:tcPr>
            <w:tcW w:w="7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C188E67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51BB1ED" w14:textId="40E71CC3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.85</w:t>
            </w:r>
          </w:p>
        </w:tc>
        <w:tc>
          <w:tcPr>
            <w:tcW w:w="153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285A6E4" w14:textId="39DA544F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2.7E-18</w:t>
            </w:r>
          </w:p>
        </w:tc>
        <w:tc>
          <w:tcPr>
            <w:tcW w:w="7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C6051D8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6309D38" w14:textId="30C58CD4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.86</w:t>
            </w:r>
          </w:p>
        </w:tc>
        <w:tc>
          <w:tcPr>
            <w:tcW w:w="153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20C2757" w14:textId="0E311DF8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1.3E-23</w:t>
            </w:r>
          </w:p>
        </w:tc>
      </w:tr>
      <w:tr w:rsidR="00BA4387" w14:paraId="11710B34" w14:textId="77777777">
        <w:trPr>
          <w:trHeight w:val="330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631583F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Height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4E133158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</w:tcPr>
          <w:p w14:paraId="5158C93F" w14:textId="3DAD3845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.93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562D4C47" w14:textId="3B28FEB0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1.2E-25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22D42A31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</w:tcPr>
          <w:p w14:paraId="406370F1" w14:textId="732E8818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.87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41F0B0E8" w14:textId="561F386C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1.6E-18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49BF8893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53E75681" w14:textId="6529D83B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.90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CEE6A4D" w14:textId="2377EC6D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1.8E-25</w:t>
            </w:r>
          </w:p>
        </w:tc>
      </w:tr>
      <w:tr w:rsidR="00BA4387" w14:paraId="54666DBE" w14:textId="77777777">
        <w:trPr>
          <w:trHeight w:val="330"/>
        </w:trPr>
        <w:tc>
          <w:tcPr>
            <w:tcW w:w="1983" w:type="dxa"/>
            <w:tcBorders>
              <w:top w:val="nil"/>
              <w:left w:val="nil"/>
              <w:right w:val="nil"/>
            </w:tcBorders>
          </w:tcPr>
          <w:p w14:paraId="38C78DDA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Weight</w:t>
            </w:r>
          </w:p>
        </w:tc>
        <w:tc>
          <w:tcPr>
            <w:tcW w:w="75" w:type="dxa"/>
            <w:tcBorders>
              <w:top w:val="nil"/>
              <w:left w:val="nil"/>
              <w:right w:val="nil"/>
            </w:tcBorders>
          </w:tcPr>
          <w:p w14:paraId="5A99B45E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</w:tcPr>
          <w:p w14:paraId="55A961A0" w14:textId="3954854F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.90</w:t>
            </w:r>
          </w:p>
        </w:tc>
        <w:tc>
          <w:tcPr>
            <w:tcW w:w="1537" w:type="dxa"/>
            <w:tcBorders>
              <w:top w:val="nil"/>
              <w:left w:val="nil"/>
              <w:right w:val="nil"/>
            </w:tcBorders>
          </w:tcPr>
          <w:p w14:paraId="5E130B0B" w14:textId="5C41D868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1.4E-22</w:t>
            </w:r>
          </w:p>
        </w:tc>
        <w:tc>
          <w:tcPr>
            <w:tcW w:w="76" w:type="dxa"/>
            <w:tcBorders>
              <w:top w:val="nil"/>
              <w:left w:val="nil"/>
              <w:right w:val="nil"/>
            </w:tcBorders>
          </w:tcPr>
          <w:p w14:paraId="1B9B8F9F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</w:tcPr>
          <w:p w14:paraId="39E18C72" w14:textId="0FF12253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.86</w:t>
            </w:r>
          </w:p>
        </w:tc>
        <w:tc>
          <w:tcPr>
            <w:tcW w:w="1538" w:type="dxa"/>
            <w:tcBorders>
              <w:top w:val="nil"/>
              <w:left w:val="nil"/>
              <w:right w:val="nil"/>
            </w:tcBorders>
          </w:tcPr>
          <w:p w14:paraId="1CD5C869" w14:textId="4320322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2.1E-18</w:t>
            </w:r>
          </w:p>
        </w:tc>
        <w:tc>
          <w:tcPr>
            <w:tcW w:w="76" w:type="dxa"/>
            <w:tcBorders>
              <w:top w:val="nil"/>
              <w:left w:val="nil"/>
              <w:right w:val="nil"/>
            </w:tcBorders>
          </w:tcPr>
          <w:p w14:paraId="50761333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</w:tcPr>
          <w:p w14:paraId="5CCB6810" w14:textId="023BB9AD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.89</w:t>
            </w:r>
          </w:p>
        </w:tc>
        <w:tc>
          <w:tcPr>
            <w:tcW w:w="1536" w:type="dxa"/>
            <w:tcBorders>
              <w:top w:val="nil"/>
              <w:left w:val="nil"/>
              <w:right w:val="nil"/>
            </w:tcBorders>
          </w:tcPr>
          <w:p w14:paraId="0264142B" w14:textId="3E669ECC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3.7E-26</w:t>
            </w:r>
          </w:p>
        </w:tc>
      </w:tr>
      <w:tr w:rsidR="00BA4387" w14:paraId="0F713C47" w14:textId="77777777">
        <w:trPr>
          <w:trHeight w:val="345"/>
        </w:trPr>
        <w:tc>
          <w:tcPr>
            <w:tcW w:w="198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88CEDBC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BSA</w:t>
            </w:r>
          </w:p>
        </w:tc>
        <w:tc>
          <w:tcPr>
            <w:tcW w:w="7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18942BA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9D1B61C" w14:textId="7A8B0428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.64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D44102A" w14:textId="41A7B0E0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2.7E-8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72CD361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DB60BF3" w14:textId="1DE8B625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.63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BF54FB3" w14:textId="1DFC63AC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5.4E-8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CFF91EC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38DC301" w14:textId="38550981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.70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07EE703" w14:textId="6C1889B3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1.4E-12</w:t>
            </w:r>
          </w:p>
        </w:tc>
      </w:tr>
    </w:tbl>
    <w:p w14:paraId="06222FA3" w14:textId="77777777" w:rsidR="00BA4387" w:rsidRDefault="00BA438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688A2A66" w14:textId="602F0619" w:rsidR="00BA438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The most significantly correlated factor of the body size to the LV character is represented by </w:t>
      </w:r>
      <w:r>
        <w:rPr>
          <w:rFonts w:ascii="Arial" w:eastAsia="Arial" w:hAnsi="Arial" w:cs="Arial"/>
          <w:b/>
          <w:color w:val="000000"/>
          <w:sz w:val="22"/>
          <w:szCs w:val="22"/>
        </w:rPr>
        <w:t>bold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letters. BSA = body surface area; LV = left ventricle; LVEDV = left ventricular end-diastolic volume (ml); LVMM = left ventricular myocardial mass (g); MAA = mitral annulus area (cm</w:t>
      </w:r>
      <w:r>
        <w:rPr>
          <w:rFonts w:ascii="Arial" w:eastAsia="Arial" w:hAnsi="Arial" w:cs="Arial"/>
          <w:color w:val="000000"/>
          <w:sz w:val="22"/>
          <w:szCs w:val="22"/>
          <w:vertAlign w:val="superscript"/>
        </w:rPr>
        <w:t>2</w:t>
      </w:r>
      <w:r>
        <w:rPr>
          <w:rFonts w:ascii="Arial" w:eastAsia="Arial" w:hAnsi="Arial" w:cs="Arial"/>
          <w:color w:val="000000"/>
          <w:sz w:val="22"/>
          <w:szCs w:val="22"/>
        </w:rPr>
        <w:t>).</w:t>
      </w:r>
    </w:p>
    <w:p w14:paraId="17896F03" w14:textId="30110DC9" w:rsidR="00BA438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firstLine="480"/>
        <w:rPr>
          <w:rFonts w:ascii="Arial" w:eastAsia="Arial" w:hAnsi="Arial" w:cs="Arial"/>
          <w:color w:val="000000"/>
          <w:sz w:val="22"/>
          <w:szCs w:val="22"/>
        </w:rPr>
      </w:pPr>
      <w:r>
        <w:br w:type="page"/>
      </w:r>
      <w:r>
        <w:rPr>
          <w:rFonts w:ascii="Arial" w:eastAsia="Arial" w:hAnsi="Arial" w:cs="Arial"/>
          <w:color w:val="000000"/>
          <w:sz w:val="22"/>
          <w:szCs w:val="22"/>
        </w:rPr>
        <w:lastRenderedPageBreak/>
        <w:t xml:space="preserve">We recently applied our study result to one patient with a favorable outcome (Supplementary Table 2). This HLHS patient was initially planned to receive an SVP 3 years ago. After preparatory surgeries, she had reached a hemi-Fontan circulation. However, the </w:t>
      </w:r>
      <w:r w:rsidR="00BF3843" w:rsidRPr="00BF3843">
        <w:rPr>
          <w:rFonts w:ascii="Arial" w:eastAsia="Arial" w:hAnsi="Arial" w:cs="Arial" w:hint="eastAsia"/>
          <w:color w:val="000000"/>
          <w:sz w:val="22"/>
          <w:szCs w:val="22"/>
        </w:rPr>
        <w:t>q</w:t>
      </w:r>
      <w:r w:rsidR="00BF3843" w:rsidRPr="00BF3843">
        <w:rPr>
          <w:rFonts w:ascii="Arial" w:eastAsia="Arial" w:hAnsi="Arial" w:cs="Arial"/>
          <w:color w:val="000000"/>
          <w:sz w:val="22"/>
          <w:szCs w:val="22"/>
        </w:rPr>
        <w:t xml:space="preserve">uality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of her left ventricular characters were acceptable during the last follow-up cardiac CT after the preliminary result of this study was obtained. We retrospectively calculated the </w:t>
      </w:r>
      <w:r w:rsidR="00BF3843" w:rsidRPr="00BF3843">
        <w:rPr>
          <w:rFonts w:ascii="Arial" w:eastAsia="Arial" w:hAnsi="Arial" w:cs="Arial" w:hint="eastAsia"/>
          <w:color w:val="000000"/>
          <w:sz w:val="22"/>
          <w:szCs w:val="22"/>
        </w:rPr>
        <w:t>q</w:t>
      </w:r>
      <w:r w:rsidR="00BF3843" w:rsidRPr="00BF3843">
        <w:rPr>
          <w:rFonts w:ascii="Arial" w:eastAsia="Arial" w:hAnsi="Arial" w:cs="Arial"/>
          <w:color w:val="000000"/>
          <w:sz w:val="22"/>
          <w:szCs w:val="22"/>
        </w:rPr>
        <w:t xml:space="preserve">uality </w:t>
      </w:r>
      <w:r>
        <w:rPr>
          <w:rFonts w:ascii="Arial" w:eastAsia="Arial" w:hAnsi="Arial" w:cs="Arial"/>
          <w:color w:val="000000"/>
          <w:sz w:val="22"/>
          <w:szCs w:val="22"/>
        </w:rPr>
        <w:t>of her left ventricular characters in a previously performed cardiac CT. The result provided us with the confidence to proceed with biventricular circulation. Biventricular conversion was performed on this patient; a smooth postoperative course was observed, and she was discharged from hospital with satisfactory activity.</w:t>
      </w:r>
    </w:p>
    <w:tbl>
      <w:tblPr>
        <w:tblStyle w:val="a7"/>
        <w:tblW w:w="9082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9082"/>
      </w:tblGrid>
      <w:tr w:rsidR="00BA4387" w14:paraId="6619AC82" w14:textId="77777777">
        <w:tc>
          <w:tcPr>
            <w:tcW w:w="9082" w:type="dxa"/>
          </w:tcPr>
          <w:p w14:paraId="272EACEA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Supplementary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Table 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</w:p>
          <w:tbl>
            <w:tblPr>
              <w:tblStyle w:val="a8"/>
              <w:tblW w:w="8464" w:type="dxa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1080"/>
              <w:gridCol w:w="2431"/>
              <w:gridCol w:w="2431"/>
              <w:gridCol w:w="2522"/>
            </w:tblGrid>
            <w:tr w:rsidR="00BA4387" w14:paraId="631C4FCF" w14:textId="77777777">
              <w:trPr>
                <w:trHeight w:val="330"/>
              </w:trPr>
              <w:tc>
                <w:tcPr>
                  <w:tcW w:w="1080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4AC6772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Age</w:t>
                  </w:r>
                </w:p>
              </w:tc>
              <w:tc>
                <w:tcPr>
                  <w:tcW w:w="2431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5096379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LVEDV</w:t>
                  </w:r>
                </w:p>
              </w:tc>
              <w:tc>
                <w:tcPr>
                  <w:tcW w:w="2431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439D160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LVMM</w:t>
                  </w:r>
                </w:p>
              </w:tc>
              <w:tc>
                <w:tcPr>
                  <w:tcW w:w="2522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9224775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MAA</w:t>
                  </w:r>
                </w:p>
              </w:tc>
            </w:tr>
            <w:tr w:rsidR="00BA4387" w14:paraId="114EC870" w14:textId="77777777">
              <w:trPr>
                <w:trHeight w:val="330"/>
              </w:trPr>
              <w:tc>
                <w:tcPr>
                  <w:tcW w:w="1080" w:type="dxa"/>
                  <w:tcBorders>
                    <w:top w:val="single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502E9F26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15 ds</w:t>
                  </w:r>
                </w:p>
              </w:tc>
              <w:tc>
                <w:tcPr>
                  <w:tcW w:w="2431" w:type="dxa"/>
                  <w:tcBorders>
                    <w:top w:val="single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279C64AD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45.1 %</w:t>
                  </w:r>
                </w:p>
              </w:tc>
              <w:tc>
                <w:tcPr>
                  <w:tcW w:w="2431" w:type="dxa"/>
                  <w:tcBorders>
                    <w:top w:val="single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35CEFB98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63.0 %</w:t>
                  </w:r>
                </w:p>
              </w:tc>
              <w:tc>
                <w:tcPr>
                  <w:tcW w:w="2522" w:type="dxa"/>
                  <w:tcBorders>
                    <w:top w:val="single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6096B947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46.0 %</w:t>
                  </w:r>
                </w:p>
              </w:tc>
            </w:tr>
            <w:tr w:rsidR="00BA4387" w14:paraId="3B8A73C5" w14:textId="77777777">
              <w:trPr>
                <w:trHeight w:val="330"/>
              </w:trPr>
              <w:tc>
                <w:tcPr>
                  <w:tcW w:w="1080" w:type="dxa"/>
                  <w:tcBorders>
                    <w:top w:val="dashed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166C3CE4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18 ds</w:t>
                  </w:r>
                </w:p>
              </w:tc>
              <w:tc>
                <w:tcPr>
                  <w:tcW w:w="7384" w:type="dxa"/>
                  <w:gridSpan w:val="3"/>
                  <w:tcBorders>
                    <w:top w:val="dashed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5168C640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Norwood I+ RV-PA shunt+ divided PDA+ TV valvuloplasty</w:t>
                  </w:r>
                </w:p>
              </w:tc>
            </w:tr>
            <w:tr w:rsidR="00BA4387" w14:paraId="212D037A" w14:textId="77777777">
              <w:trPr>
                <w:trHeight w:val="330"/>
              </w:trPr>
              <w:tc>
                <w:tcPr>
                  <w:tcW w:w="1080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49882355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2.3 ms</w:t>
                  </w:r>
                </w:p>
              </w:tc>
              <w:tc>
                <w:tcPr>
                  <w:tcW w:w="2431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06C05AC2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40.7 %</w:t>
                  </w:r>
                </w:p>
              </w:tc>
              <w:tc>
                <w:tcPr>
                  <w:tcW w:w="2431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1C668704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83.2 %</w:t>
                  </w:r>
                </w:p>
              </w:tc>
              <w:tc>
                <w:tcPr>
                  <w:tcW w:w="2522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24566352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60.2 %</w:t>
                  </w:r>
                </w:p>
              </w:tc>
            </w:tr>
            <w:tr w:rsidR="00BA4387" w14:paraId="4AAB15F7" w14:textId="77777777">
              <w:trPr>
                <w:trHeight w:val="330"/>
              </w:trPr>
              <w:tc>
                <w:tcPr>
                  <w:tcW w:w="1080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56EB2C1F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4.0 ms</w:t>
                  </w:r>
                </w:p>
              </w:tc>
              <w:tc>
                <w:tcPr>
                  <w:tcW w:w="2431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17088212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67.2 %</w:t>
                  </w:r>
                </w:p>
              </w:tc>
              <w:tc>
                <w:tcPr>
                  <w:tcW w:w="2431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3C72BA17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89.9 %</w:t>
                  </w:r>
                </w:p>
              </w:tc>
              <w:tc>
                <w:tcPr>
                  <w:tcW w:w="2522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1859DE1F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67.1 %</w:t>
                  </w:r>
                </w:p>
              </w:tc>
            </w:tr>
            <w:tr w:rsidR="00BA4387" w14:paraId="57511E89" w14:textId="77777777">
              <w:trPr>
                <w:trHeight w:val="330"/>
              </w:trPr>
              <w:tc>
                <w:tcPr>
                  <w:tcW w:w="1080" w:type="dxa"/>
                  <w:tcBorders>
                    <w:top w:val="dashed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2076823E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4.2 ms</w:t>
                  </w:r>
                </w:p>
              </w:tc>
              <w:tc>
                <w:tcPr>
                  <w:tcW w:w="7384" w:type="dxa"/>
                  <w:gridSpan w:val="3"/>
                  <w:tcBorders>
                    <w:top w:val="dashed" w:sz="4" w:space="0" w:color="000000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7D6F525F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Bilateral Glenn shunts+ atrial septectomy+ RV-PA shunt division</w:t>
                  </w:r>
                </w:p>
                <w:p w14:paraId="32B7FC26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+ TV annuloplasty</w:t>
                  </w:r>
                </w:p>
              </w:tc>
            </w:tr>
            <w:tr w:rsidR="00BA4387" w14:paraId="3CB21027" w14:textId="77777777">
              <w:trPr>
                <w:trHeight w:val="330"/>
              </w:trPr>
              <w:tc>
                <w:tcPr>
                  <w:tcW w:w="1080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5E0D5AB7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6.1 ms</w:t>
                  </w:r>
                </w:p>
              </w:tc>
              <w:tc>
                <w:tcPr>
                  <w:tcW w:w="2431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415DFC5E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64.6 %</w:t>
                  </w:r>
                </w:p>
              </w:tc>
              <w:tc>
                <w:tcPr>
                  <w:tcW w:w="2431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4DA76C7A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65.7 %</w:t>
                  </w:r>
                </w:p>
              </w:tc>
              <w:tc>
                <w:tcPr>
                  <w:tcW w:w="2522" w:type="dxa"/>
                  <w:tcBorders>
                    <w:top w:val="dashed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14:paraId="2AF9655B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63.9 %</w:t>
                  </w:r>
                </w:p>
              </w:tc>
            </w:tr>
            <w:tr w:rsidR="00BA4387" w14:paraId="39C39914" w14:textId="77777777">
              <w:trPr>
                <w:trHeight w:val="330"/>
              </w:trPr>
              <w:tc>
                <w:tcPr>
                  <w:tcW w:w="1080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16227592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3.1 ys</w:t>
                  </w:r>
                </w:p>
              </w:tc>
              <w:tc>
                <w:tcPr>
                  <w:tcW w:w="2431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43052DDE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67.2 %</w:t>
                  </w:r>
                </w:p>
              </w:tc>
              <w:tc>
                <w:tcPr>
                  <w:tcW w:w="2431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38BD7098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51.6 %</w:t>
                  </w:r>
                </w:p>
              </w:tc>
              <w:tc>
                <w:tcPr>
                  <w:tcW w:w="2522" w:type="dxa"/>
                  <w:tcBorders>
                    <w:top w:val="nil"/>
                    <w:left w:val="nil"/>
                    <w:bottom w:val="dashed" w:sz="4" w:space="0" w:color="000000"/>
                    <w:right w:val="nil"/>
                  </w:tcBorders>
                  <w:vAlign w:val="center"/>
                </w:tcPr>
                <w:p w14:paraId="569553FB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69.8 %</w:t>
                  </w:r>
                </w:p>
              </w:tc>
            </w:tr>
            <w:tr w:rsidR="00BA4387" w14:paraId="1BE5353F" w14:textId="77777777">
              <w:trPr>
                <w:trHeight w:val="330"/>
              </w:trPr>
              <w:tc>
                <w:tcPr>
                  <w:tcW w:w="1080" w:type="dxa"/>
                  <w:tcBorders>
                    <w:top w:val="dashed" w:sz="4" w:space="0" w:color="000000"/>
                    <w:left w:val="nil"/>
                    <w:bottom w:val="single" w:sz="12" w:space="0" w:color="000000"/>
                    <w:right w:val="nil"/>
                  </w:tcBorders>
                  <w:vAlign w:val="center"/>
                </w:tcPr>
                <w:p w14:paraId="1FD46664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3.3 ys</w:t>
                  </w:r>
                </w:p>
              </w:tc>
              <w:tc>
                <w:tcPr>
                  <w:tcW w:w="7384" w:type="dxa"/>
                  <w:gridSpan w:val="3"/>
                  <w:tcBorders>
                    <w:top w:val="dashed" w:sz="4" w:space="0" w:color="000000"/>
                    <w:left w:val="nil"/>
                    <w:bottom w:val="single" w:sz="12" w:space="0" w:color="000000"/>
                    <w:right w:val="nil"/>
                  </w:tcBorders>
                  <w:vAlign w:val="center"/>
                </w:tcPr>
                <w:p w14:paraId="3268C0CD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Take down Glenn shunts+ patches repaired ASD and VSD</w:t>
                  </w:r>
                </w:p>
                <w:p w14:paraId="77B95455" w14:textId="77777777" w:rsidR="00BA4387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80" w:lineRule="auto"/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+ aortoplasty+ PA augmentation</w:t>
                  </w:r>
                </w:p>
              </w:tc>
            </w:tr>
          </w:tbl>
          <w:p w14:paraId="433868CF" w14:textId="77777777" w:rsidR="00BA4387" w:rsidRDefault="00BA43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BA4387" w14:paraId="34D547BF" w14:textId="77777777">
        <w:tc>
          <w:tcPr>
            <w:tcW w:w="9082" w:type="dxa"/>
          </w:tcPr>
          <w:p w14:paraId="01FBD2DE" w14:textId="77777777" w:rsidR="00BA43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Biventricular conversion on a 3.3 years old patient who had been planned to a Fontan circulation in her infancy. ASD= atrial septal defect; CT= computed tomography; ds= days; LVEDV = left ventricle end-diastole volume; LVMM = left ventricle myocardial mass; MAA = mitral annulus area; ms = months; PA = pulmonary artery; PDA = patent ductus arteriosus; RV = right ventricle; TV = tricuspid valve; VSD = ventricular septal defect; ys = years.</w:t>
            </w:r>
          </w:p>
        </w:tc>
      </w:tr>
    </w:tbl>
    <w:p w14:paraId="752E2D99" w14:textId="77777777" w:rsidR="00BA4387" w:rsidRPr="00E46D02" w:rsidRDefault="00BA4387" w:rsidP="00E46D0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hAnsi="Arial" w:cs="Arial"/>
          <w:color w:val="000000"/>
          <w:sz w:val="22"/>
          <w:szCs w:val="22"/>
        </w:rPr>
      </w:pPr>
    </w:p>
    <w:sectPr w:rsidR="00BA4387" w:rsidRPr="00E46D02">
      <w:footerReference w:type="even" r:id="rId7"/>
      <w:footerReference w:type="default" r:id="rId8"/>
      <w:pgSz w:w="11906" w:h="16838"/>
      <w:pgMar w:top="1440" w:right="1440" w:bottom="1440" w:left="1440" w:header="851" w:footer="992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CC941" w14:textId="77777777" w:rsidR="009A3E6A" w:rsidRDefault="009A3E6A">
      <w:r>
        <w:separator/>
      </w:r>
    </w:p>
  </w:endnote>
  <w:endnote w:type="continuationSeparator" w:id="0">
    <w:p w14:paraId="62674689" w14:textId="77777777" w:rsidR="009A3E6A" w:rsidRDefault="009A3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176B5" w14:textId="77777777" w:rsidR="00BA4387" w:rsidRDefault="0000000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>
      <w:rPr>
        <w:rFonts w:ascii="Calibri" w:eastAsia="Calibri" w:hAnsi="Calibri" w:cs="Calibri"/>
        <w:color w:val="000000"/>
      </w:rPr>
      <w:fldChar w:fldCharType="end"/>
    </w:r>
  </w:p>
  <w:p w14:paraId="27C3DE0A" w14:textId="77777777" w:rsidR="00BA4387" w:rsidRDefault="00BA4387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rFonts w:ascii="Calibri" w:eastAsia="Calibri" w:hAnsi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39DD2" w14:textId="77777777" w:rsidR="00BA4387" w:rsidRDefault="0000000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 w:rsidR="0011015A">
      <w:rPr>
        <w:rFonts w:ascii="Calibri" w:eastAsia="Calibri" w:hAnsi="Calibri" w:cs="Calibri"/>
        <w:noProof/>
        <w:color w:val="000000"/>
      </w:rPr>
      <w:t>1</w:t>
    </w:r>
    <w:r>
      <w:rPr>
        <w:rFonts w:ascii="Calibri" w:eastAsia="Calibri" w:hAnsi="Calibri" w:cs="Calibri"/>
        <w:color w:val="000000"/>
      </w:rPr>
      <w:fldChar w:fldCharType="end"/>
    </w:r>
  </w:p>
  <w:p w14:paraId="0B5A2303" w14:textId="77777777" w:rsidR="00BA4387" w:rsidRDefault="00BA4387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33201" w14:textId="77777777" w:rsidR="009A3E6A" w:rsidRDefault="009A3E6A">
      <w:r>
        <w:separator/>
      </w:r>
    </w:p>
  </w:footnote>
  <w:footnote w:type="continuationSeparator" w:id="0">
    <w:p w14:paraId="0C3FB503" w14:textId="77777777" w:rsidR="009A3E6A" w:rsidRDefault="009A3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387"/>
    <w:rsid w:val="0011015A"/>
    <w:rsid w:val="00182AF9"/>
    <w:rsid w:val="00372DB8"/>
    <w:rsid w:val="00856EDA"/>
    <w:rsid w:val="009A3E6A"/>
    <w:rsid w:val="00BA4387"/>
    <w:rsid w:val="00BF3843"/>
    <w:rsid w:val="00E4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5678F"/>
  <w15:docId w15:val="{7F07D5AC-52A2-4F2B-961C-35C0A9AF7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paragraph" w:styleId="a9">
    <w:name w:val="header"/>
    <w:basedOn w:val="a"/>
    <w:link w:val="aa"/>
    <w:uiPriority w:val="99"/>
    <w:unhideWhenUsed/>
    <w:rsid w:val="0011015A"/>
    <w:pPr>
      <w:tabs>
        <w:tab w:val="center" w:pos="4153"/>
        <w:tab w:val="right" w:pos="8306"/>
      </w:tabs>
      <w:snapToGrid w:val="0"/>
    </w:pPr>
  </w:style>
  <w:style w:type="character" w:customStyle="1" w:styleId="aa">
    <w:name w:val="頁首 字元"/>
    <w:basedOn w:val="a0"/>
    <w:link w:val="a9"/>
    <w:uiPriority w:val="99"/>
    <w:rsid w:val="0011015A"/>
  </w:style>
  <w:style w:type="paragraph" w:styleId="ab">
    <w:name w:val="footer"/>
    <w:basedOn w:val="a"/>
    <w:link w:val="ac"/>
    <w:uiPriority w:val="99"/>
    <w:unhideWhenUsed/>
    <w:rsid w:val="0011015A"/>
    <w:pPr>
      <w:tabs>
        <w:tab w:val="center" w:pos="4153"/>
        <w:tab w:val="right" w:pos="8306"/>
      </w:tabs>
      <w:snapToGrid w:val="0"/>
    </w:pPr>
  </w:style>
  <w:style w:type="character" w:customStyle="1" w:styleId="ac">
    <w:name w:val="頁尾 字元"/>
    <w:basedOn w:val="a0"/>
    <w:link w:val="ab"/>
    <w:uiPriority w:val="99"/>
    <w:rsid w:val="001101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481</Words>
  <Characters>2744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台大影醫部 陳世杰主任</cp:lastModifiedBy>
  <cp:revision>5</cp:revision>
  <dcterms:created xsi:type="dcterms:W3CDTF">2022-12-04T12:24:00Z</dcterms:created>
  <dcterms:modified xsi:type="dcterms:W3CDTF">2022-12-06T16:07:00Z</dcterms:modified>
</cp:coreProperties>
</file>