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ajorBidi" w:hAnsiTheme="majorBidi" w:cstheme="majorBidi"/>
          <w:color w:val="auto"/>
          <w:sz w:val="20"/>
          <w:szCs w:val="20"/>
          <w:lang w:val="en-US"/>
        </w:rPr>
      </w:pPr>
      <w:bookmarkStart w:id="1" w:name="_GoBack"/>
      <w:r>
        <w:rPr>
          <w:rFonts w:asciiTheme="majorBidi" w:hAnsiTheme="majorBidi" w:cstheme="majorBidi"/>
          <w:color w:val="auto"/>
          <w:sz w:val="20"/>
          <w:szCs w:val="20"/>
          <w:lang w:val="en-US"/>
        </w:rPr>
        <w:t>Supplementary table 1. Key words used for search in this study</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92"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(cardiovascular OR “cardiovascular disease” OR “cardiovascular events” OR “myocardial infarction” OR MI OR “Coronary heart disease” OR IHD OR “Ischemic heart disease” OR Angina OR “heart attack” OR CAD OR “coronary arterial disease” OR Stroke OR “Cerebral Infarction” OR “hemorrhagic stroke” OR “ischemic stroke” OR CVD OR “Cerebrovascular disease” OR “Heart failure” OR “Heart valve disease” OR “Aortic stenosis” OR “Mitral regurgitation” OR “cardiovascular dead” OR “cardiovascular mortality” OR “cardiovascular morbidity” OR PH OR “Pulmonary hypertension” OR HTN Or hypertension) AND (“premature ovarian insufficiency” OR POI OR “Premature Ovarian failure” OR POF OR “primary ovarian insufficiency” OR “ovarian insufficiency” OR menopause Or “early menopause” OR climacteric)</w:t>
            </w:r>
          </w:p>
        </w:tc>
      </w:tr>
    </w:tbl>
    <w:p>
      <w:pPr>
        <w:rPr>
          <w:rFonts w:asciiTheme="majorBidi" w:hAnsiTheme="majorBidi" w:cstheme="majorBidi"/>
          <w:color w:val="auto"/>
          <w:lang w:val="en-US"/>
        </w:rPr>
      </w:pPr>
    </w:p>
    <w:p>
      <w:pPr>
        <w:rPr>
          <w:rFonts w:asciiTheme="majorBidi" w:hAnsiTheme="majorBidi" w:cstheme="majorBidi"/>
          <w:color w:val="auto"/>
          <w:lang w:val="en-US"/>
        </w:rPr>
      </w:pPr>
    </w:p>
    <w:p>
      <w:pPr>
        <w:rPr>
          <w:rFonts w:asciiTheme="majorBidi" w:hAnsiTheme="majorBidi" w:cstheme="majorBidi"/>
          <w:color w:val="auto"/>
          <w:lang w:val="en-US"/>
        </w:rPr>
      </w:pPr>
    </w:p>
    <w:p>
      <w:pPr>
        <w:rPr>
          <w:rFonts w:ascii="Times New Roman" w:hAnsi="Times New Roman" w:eastAsia="Calibri" w:cs="Times New Roman"/>
          <w:color w:val="auto"/>
          <w:sz w:val="20"/>
          <w:szCs w:val="20"/>
          <w:lang w:val="en-US"/>
        </w:rPr>
      </w:pPr>
      <w:r>
        <w:rPr>
          <w:rFonts w:asciiTheme="majorBidi" w:hAnsiTheme="majorBidi" w:cstheme="majorBidi"/>
          <w:color w:val="auto"/>
          <w:lang w:val="en-US"/>
        </w:rPr>
        <w:t xml:space="preserve">Supplementary table 2: </w:t>
      </w:r>
      <w:r>
        <w:rPr>
          <w:rFonts w:ascii="Times New Roman" w:hAnsi="Times New Roman" w:eastAsia="Calibri" w:cs="Times New Roman"/>
          <w:color w:val="auto"/>
          <w:sz w:val="20"/>
          <w:szCs w:val="20"/>
          <w:lang w:val="en-US"/>
        </w:rPr>
        <w:t>Quality assessment of the included studies using the Newcastle–Ottawa Quality Assessment Scale for cohort studies.</w:t>
      </w:r>
    </w:p>
    <w:tbl>
      <w:tblPr>
        <w:tblStyle w:val="7"/>
        <w:tblW w:w="0" w:type="auto"/>
        <w:tblInd w:w="-10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8"/>
        <w:gridCol w:w="1593"/>
        <w:gridCol w:w="1308"/>
        <w:gridCol w:w="1395"/>
        <w:gridCol w:w="1390"/>
        <w:gridCol w:w="1945"/>
        <w:gridCol w:w="2079"/>
        <w:gridCol w:w="1276"/>
        <w:gridCol w:w="1076"/>
        <w:gridCol w:w="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b/>
                <w:bCs/>
                <w:color w:val="auto"/>
                <w:sz w:val="16"/>
                <w:szCs w:val="16"/>
                <w:lang w:val="en-US" w:eastAsia="en-US"/>
              </w:rPr>
            </w:pPr>
            <w:bookmarkStart w:id="0" w:name="_Hlk47083528"/>
          </w:p>
        </w:tc>
        <w:tc>
          <w:tcPr>
            <w:tcW w:w="5515" w:type="dxa"/>
            <w:gridSpan w:val="4"/>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b/>
                <w:bCs/>
                <w:color w:val="auto"/>
                <w:sz w:val="16"/>
                <w:szCs w:val="16"/>
                <w:lang w:val="en-US" w:eastAsia="en-US"/>
              </w:rPr>
            </w:pPr>
            <w:r>
              <w:rPr>
                <w:rFonts w:ascii="Times New Roman" w:hAnsi="Times New Roman" w:eastAsia="Calibri" w:cs="Times New Roman"/>
                <w:b/>
                <w:bCs/>
                <w:color w:val="auto"/>
                <w:sz w:val="16"/>
                <w:szCs w:val="16"/>
                <w:lang w:val="en-US" w:eastAsia="en-US"/>
              </w:rPr>
              <w:t>SELECTION</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b/>
                <w:bCs/>
                <w:color w:val="auto"/>
                <w:sz w:val="16"/>
                <w:szCs w:val="16"/>
                <w:lang w:val="en-US" w:eastAsia="en-US"/>
              </w:rPr>
            </w:pPr>
            <w:r>
              <w:rPr>
                <w:rFonts w:ascii="Times New Roman" w:hAnsi="Times New Roman" w:eastAsia="Calibri" w:cs="Times New Roman"/>
                <w:b/>
                <w:bCs/>
                <w:color w:val="auto"/>
                <w:sz w:val="16"/>
                <w:szCs w:val="16"/>
                <w:lang w:val="en-US" w:eastAsia="en-US"/>
              </w:rPr>
              <w:t>COMPARABILITY</w:t>
            </w:r>
          </w:p>
        </w:tc>
        <w:tc>
          <w:tcPr>
            <w:tcW w:w="0" w:type="auto"/>
            <w:gridSpan w:val="3"/>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b/>
                <w:bCs/>
                <w:color w:val="auto"/>
                <w:sz w:val="16"/>
                <w:szCs w:val="16"/>
                <w:lang w:val="en-US" w:eastAsia="en-US"/>
              </w:rPr>
            </w:pPr>
            <w:r>
              <w:rPr>
                <w:rFonts w:ascii="Times New Roman" w:hAnsi="Times New Roman" w:eastAsia="Calibri" w:cs="Times New Roman"/>
                <w:b/>
                <w:bCs/>
                <w:color w:val="auto"/>
                <w:sz w:val="16"/>
                <w:szCs w:val="16"/>
                <w:lang w:val="en-US" w:eastAsia="en-US"/>
              </w:rPr>
              <w:t>Outcome</w:t>
            </w:r>
          </w:p>
        </w:tc>
        <w:tc>
          <w:tcPr>
            <w:tcW w:w="0" w:type="auto"/>
            <w:vMerge w:val="restart"/>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b/>
                <w:bCs/>
                <w:color w:val="auto"/>
                <w:sz w:val="16"/>
                <w:szCs w:val="16"/>
                <w:lang w:val="en-US" w:eastAsia="en-US"/>
              </w:rPr>
            </w:pPr>
            <w:r>
              <w:rPr>
                <w:rFonts w:ascii="Times New Roman" w:hAnsi="Times New Roman" w:eastAsia="Calibri" w:cs="Times New Roman"/>
                <w:b/>
                <w:bCs/>
                <w:color w:val="auto"/>
                <w:sz w:val="16"/>
                <w:szCs w:val="16"/>
                <w:lang w:val="en-US" w:eastAsia="en-US"/>
              </w:rPr>
              <w:t>Total scores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blHeader/>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b/>
                <w:bCs/>
                <w:color w:val="auto"/>
                <w:sz w:val="16"/>
                <w:szCs w:val="16"/>
                <w:lang w:val="en-US" w:eastAsia="en-US"/>
              </w:rPr>
            </w:pPr>
            <w:r>
              <w:rPr>
                <w:rFonts w:ascii="Times New Roman" w:hAnsi="Times New Roman" w:eastAsia="Calibri" w:cs="Times New Roman"/>
                <w:b/>
                <w:bCs/>
                <w:color w:val="auto"/>
                <w:sz w:val="16"/>
                <w:szCs w:val="16"/>
                <w:lang w:val="en-US" w:eastAsia="en-US"/>
              </w:rPr>
              <w:t>Author, Year</w:t>
            </w:r>
          </w:p>
        </w:tc>
        <w:tc>
          <w:tcPr>
            <w:tcW w:w="1593"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Representativeness of the exposed cohort *</w:t>
            </w:r>
          </w:p>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 xml:space="preserve"> </w:t>
            </w:r>
          </w:p>
        </w:tc>
        <w:tc>
          <w:tcPr>
            <w:tcW w:w="0" w:type="auto"/>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Selection of the non-exposed cohort</w:t>
            </w:r>
            <w:r>
              <w:rPr>
                <w:rFonts w:ascii="Times New Roman" w:hAnsi="Times New Roman" w:eastAsia="Calibri" w:cs="Times New Roman"/>
                <w:color w:val="auto"/>
                <w:sz w:val="16"/>
                <w:szCs w:val="16"/>
                <w:rtl/>
                <w:lang w:val="en-US" w:eastAsia="en-US"/>
              </w:rPr>
              <w:t xml:space="preserve"> </w:t>
            </w: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Ascertainment of exposure</w:t>
            </w:r>
            <w:r>
              <w:rPr>
                <w:rFonts w:ascii="Times New Roman" w:hAnsi="Times New Roman" w:eastAsia="Calibri" w:cs="Times New Roman"/>
                <w:color w:val="auto"/>
                <w:sz w:val="16"/>
                <w:szCs w:val="16"/>
                <w:rtl/>
                <w:lang w:val="en-US" w:eastAsia="en-US"/>
              </w:rPr>
              <w:t xml:space="preserve"> </w:t>
            </w: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No outcome of interest at the start of study</w:t>
            </w:r>
            <w:r>
              <w:rPr>
                <w:rFonts w:ascii="Times New Roman" w:hAnsi="Times New Roman" w:eastAsia="Calibri" w:cs="Times New Roman"/>
                <w:color w:val="auto"/>
                <w:sz w:val="16"/>
                <w:szCs w:val="16"/>
                <w:rtl/>
                <w:lang w:val="en-US" w:eastAsia="en-US"/>
              </w:rPr>
              <w:t xml:space="preserve"> </w:t>
            </w: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 xml:space="preserve">A: Study controls for age and/or BMI </w:t>
            </w:r>
            <w:r>
              <w:rPr>
                <w:rFonts w:ascii="Times New Roman" w:hAnsi="Times New Roman" w:eastAsia="Calibri" w:cs="Times New Roman"/>
                <w:color w:val="auto"/>
                <w:sz w:val="16"/>
                <w:szCs w:val="16"/>
                <w:rtl/>
                <w:lang w:val="en-US" w:eastAsia="en-US"/>
              </w:rPr>
              <w:t>*</w:t>
            </w:r>
          </w:p>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 xml:space="preserve">B: Study controls for *other confounders </w:t>
            </w:r>
          </w:p>
        </w:tc>
        <w:tc>
          <w:tcPr>
            <w:tcW w:w="2079"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A: doctor’s diagnosis OR objective measurements</w:t>
            </w:r>
          </w:p>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B: parent/self-reported * doctor’s diagnosis OR use of medication</w:t>
            </w:r>
          </w:p>
        </w:tc>
        <w:tc>
          <w:tcPr>
            <w:tcW w:w="1276"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Follow-up long enough for outcomes *</w:t>
            </w:r>
          </w:p>
        </w:tc>
        <w:tc>
          <w:tcPr>
            <w:tcW w:w="1076"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Adequacy of follow up of cohorts</w:t>
            </w:r>
            <w:r>
              <w:rPr>
                <w:rFonts w:ascii="Times New Roman" w:hAnsi="Times New Roman" w:eastAsia="Calibri" w:cs="Times New Roman"/>
                <w:color w:val="auto"/>
                <w:sz w:val="16"/>
                <w:szCs w:val="16"/>
                <w:rtl/>
                <w:lang w:val="en-US" w:eastAsia="en-US"/>
              </w:rPr>
              <w:t xml:space="preserve"> </w:t>
            </w:r>
            <w:r>
              <w:rPr>
                <w:rFonts w:ascii="Times New Roman" w:hAnsi="Times New Roman" w:eastAsia="Calibri" w:cs="Times New Roman"/>
                <w:color w:val="auto"/>
                <w:sz w:val="16"/>
                <w:szCs w:val="16"/>
                <w:lang w:val="en-US" w:eastAsia="en-US"/>
              </w:rPr>
              <w:t>*</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rPr>
                <w:rFonts w:ascii="Times New Roman" w:hAnsi="Times New Roman" w:eastAsia="Calibri" w:cs="Times New Roman"/>
                <w:b/>
                <w:bCs/>
                <w:color w:val="auto"/>
                <w:sz w:val="16"/>
                <w:szCs w:val="16"/>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Baba et al. 2010 </w:t>
            </w:r>
            <w:r>
              <w:rPr>
                <w:rFonts w:asciiTheme="majorBidi" w:hAnsiTheme="majorBidi" w:eastAsiaTheme="minorHAnsi" w:cstheme="majorBidi"/>
                <w:color w:val="auto"/>
                <w:sz w:val="18"/>
                <w:szCs w:val="18"/>
                <w:vertAlign w:val="superscript"/>
                <w:lang w:val="en-US" w:eastAsia="en-US"/>
              </w:rPr>
              <w:t>19</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8" w:type="dxa"/>
            <w:tcBorders>
              <w:top w:val="single" w:color="auto" w:sz="4" w:space="0"/>
              <w:left w:val="single" w:color="auto" w:sz="4" w:space="0"/>
              <w:bottom w:val="single" w:color="auto" w:sz="4" w:space="0"/>
              <w:right w:val="single" w:color="auto" w:sz="4" w:space="0"/>
            </w:tcBorders>
          </w:tcPr>
          <w:p>
            <w:pPr>
              <w:spacing w:after="0" w:line="0" w:lineRule="atLeast"/>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Choi et al. 2005 </w:t>
            </w:r>
            <w:r>
              <w:rPr>
                <w:rFonts w:asciiTheme="majorBidi" w:hAnsiTheme="majorBidi" w:eastAsiaTheme="minorHAnsi" w:cstheme="majorBidi"/>
                <w:color w:val="auto"/>
                <w:sz w:val="18"/>
                <w:szCs w:val="18"/>
                <w:vertAlign w:val="superscript"/>
                <w:lang w:val="en-US" w:eastAsia="en-US"/>
              </w:rPr>
              <w:t>38</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8" w:type="dxa"/>
            <w:tcBorders>
              <w:top w:val="single" w:color="auto" w:sz="4" w:space="0"/>
              <w:left w:val="single" w:color="auto" w:sz="4" w:space="0"/>
              <w:bottom w:val="single" w:color="auto" w:sz="4" w:space="0"/>
              <w:right w:val="single" w:color="auto" w:sz="4" w:space="0"/>
            </w:tcBorders>
          </w:tcPr>
          <w:p>
            <w:pPr>
              <w:spacing w:after="0" w:line="0" w:lineRule="atLeast"/>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Cooper et al. 1998 </w:t>
            </w:r>
            <w:r>
              <w:rPr>
                <w:rFonts w:asciiTheme="majorBidi" w:hAnsiTheme="majorBidi" w:eastAsiaTheme="minorHAnsi" w:cstheme="majorBidi"/>
                <w:color w:val="auto"/>
                <w:sz w:val="18"/>
                <w:szCs w:val="18"/>
                <w:vertAlign w:val="superscript"/>
                <w:lang w:val="en-US" w:eastAsia="en-US"/>
              </w:rPr>
              <w:t>44</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rtl/>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rtl/>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rtl/>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rtl/>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rtl/>
                <w:lang w:val="en-US" w:eastAsia="en-US"/>
              </w:rPr>
            </w:pPr>
            <w:r>
              <w:rPr>
                <w:rFonts w:ascii="Times New Roman" w:hAnsi="Times New Roman" w:eastAsia="Calibri" w:cs="Times New Roman"/>
                <w:color w:val="auto"/>
                <w:sz w:val="16"/>
                <w:szCs w:val="16"/>
                <w:lang w:val="en-US" w:eastAsia="en-US"/>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Dam et al. 2019 </w:t>
            </w:r>
            <w:r>
              <w:rPr>
                <w:rFonts w:asciiTheme="majorBidi" w:hAnsiTheme="majorBidi" w:eastAsiaTheme="minorHAnsi" w:cstheme="majorBidi"/>
                <w:color w:val="auto"/>
                <w:sz w:val="18"/>
                <w:szCs w:val="18"/>
                <w:vertAlign w:val="superscript"/>
                <w:lang w:val="en-US" w:eastAsia="en-US"/>
              </w:rPr>
              <w:t>49</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Gallagher et al. 2011 </w:t>
            </w:r>
            <w:r>
              <w:rPr>
                <w:rFonts w:asciiTheme="majorBidi" w:hAnsiTheme="majorBidi" w:eastAsiaTheme="minorHAnsi" w:cstheme="majorBidi"/>
                <w:color w:val="auto"/>
                <w:sz w:val="18"/>
                <w:szCs w:val="18"/>
                <w:vertAlign w:val="superscript"/>
                <w:lang w:val="en-US" w:eastAsia="en-US"/>
              </w:rPr>
              <w:t>65</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heme="majorBidi" w:hAnsiTheme="majorBidi" w:eastAsiaTheme="minorHAnsi" w:cstheme="majorBidi"/>
                <w:color w:val="auto"/>
                <w:sz w:val="18"/>
                <w:szCs w:val="18"/>
                <w:lang w:val="en-US" w:eastAsia="en-US"/>
              </w:rPr>
            </w:pPr>
            <w:r>
              <w:rPr>
                <w:rFonts w:asciiTheme="majorBidi" w:hAnsiTheme="majorBidi" w:eastAsiaTheme="minorHAnsi" w:cstheme="majorBidi"/>
                <w:color w:val="auto"/>
                <w:sz w:val="18"/>
                <w:szCs w:val="18"/>
                <w:lang w:val="en-US" w:eastAsia="en-US"/>
              </w:rPr>
              <w:t xml:space="preserve">Hong et al. 2007 </w:t>
            </w:r>
            <w:r>
              <w:rPr>
                <w:rFonts w:asciiTheme="majorBidi" w:hAnsiTheme="majorBidi" w:eastAsiaTheme="minorHAnsi" w:cstheme="majorBidi"/>
                <w:color w:val="auto"/>
                <w:sz w:val="18"/>
                <w:szCs w:val="18"/>
                <w:vertAlign w:val="superscript"/>
                <w:lang w:val="en-US" w:eastAsia="en-US"/>
              </w:rPr>
              <w:t>79</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Honigberg et al. 2021 </w:t>
            </w:r>
            <w:r>
              <w:rPr>
                <w:rFonts w:asciiTheme="majorBidi" w:hAnsiTheme="majorBidi" w:eastAsiaTheme="minorHAnsi" w:cstheme="majorBidi"/>
                <w:color w:val="auto"/>
                <w:sz w:val="18"/>
                <w:szCs w:val="18"/>
                <w:vertAlign w:val="superscript"/>
                <w:lang w:val="en-US" w:eastAsia="en-US"/>
              </w:rPr>
              <w:t>81</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Honigberg et al. 2019 </w:t>
            </w:r>
            <w:r>
              <w:rPr>
                <w:rFonts w:asciiTheme="majorBidi" w:hAnsiTheme="majorBidi" w:eastAsiaTheme="minorHAnsi" w:cstheme="majorBidi"/>
                <w:color w:val="auto"/>
                <w:sz w:val="18"/>
                <w:szCs w:val="18"/>
                <w:vertAlign w:val="superscript"/>
                <w:lang w:val="en-US" w:eastAsia="en-US"/>
              </w:rPr>
              <w:t>82</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Honigberg et al. 2021 </w:t>
            </w:r>
            <w:r>
              <w:rPr>
                <w:rFonts w:asciiTheme="majorBidi" w:hAnsiTheme="majorBidi" w:eastAsiaTheme="minorHAnsi" w:cstheme="majorBidi"/>
                <w:color w:val="auto"/>
                <w:sz w:val="18"/>
                <w:szCs w:val="18"/>
                <w:vertAlign w:val="superscript"/>
                <w:lang w:val="en-US" w:eastAsia="en-US"/>
              </w:rPr>
              <w:t>83</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Hu et al. 1999 </w:t>
            </w:r>
            <w:r>
              <w:rPr>
                <w:rFonts w:asciiTheme="majorBidi" w:hAnsiTheme="majorBidi" w:eastAsiaTheme="minorHAnsi" w:cstheme="majorBidi"/>
                <w:color w:val="auto"/>
                <w:sz w:val="18"/>
                <w:szCs w:val="18"/>
                <w:vertAlign w:val="superscript"/>
                <w:lang w:val="en-US" w:eastAsia="en-US"/>
              </w:rPr>
              <w:t>85</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Ley et al. 2017 </w:t>
            </w:r>
            <w:r>
              <w:rPr>
                <w:rFonts w:asciiTheme="majorBidi" w:hAnsiTheme="majorBidi" w:eastAsiaTheme="minorHAnsi" w:cstheme="majorBidi"/>
                <w:color w:val="auto"/>
                <w:sz w:val="18"/>
                <w:szCs w:val="18"/>
                <w:vertAlign w:val="superscript"/>
                <w:lang w:val="en-US" w:eastAsia="en-US"/>
              </w:rPr>
              <w:t>118</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Li et al. 2013 </w:t>
            </w:r>
            <w:r>
              <w:rPr>
                <w:rFonts w:asciiTheme="majorBidi" w:hAnsiTheme="majorBidi" w:eastAsiaTheme="minorHAnsi" w:cstheme="majorBidi"/>
                <w:color w:val="auto"/>
                <w:sz w:val="18"/>
                <w:szCs w:val="18"/>
                <w:vertAlign w:val="superscript"/>
                <w:lang w:val="en-US" w:eastAsia="en-US"/>
              </w:rPr>
              <w:t>119</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rPr>
                <w:rFonts w:asciiTheme="majorBidi" w:hAnsiTheme="majorBidi" w:eastAsiaTheme="minorHAnsi" w:cstheme="majorBidi"/>
                <w:color w:val="auto"/>
                <w:sz w:val="18"/>
                <w:szCs w:val="18"/>
                <w:vertAlign w:val="superscript"/>
                <w:lang w:val="en-US" w:eastAsia="en-US"/>
              </w:rPr>
            </w:pPr>
            <w:r>
              <w:rPr>
                <w:rFonts w:asciiTheme="majorBidi" w:hAnsiTheme="majorBidi" w:eastAsiaTheme="minorHAnsi" w:cstheme="majorBidi"/>
                <w:color w:val="auto"/>
                <w:sz w:val="18"/>
                <w:szCs w:val="18"/>
                <w:lang w:val="en-US" w:eastAsia="en-US"/>
              </w:rPr>
              <w:t xml:space="preserve">Løkkegaard et al. 2006 </w:t>
            </w:r>
            <w:r>
              <w:rPr>
                <w:rFonts w:asciiTheme="majorBidi" w:hAnsiTheme="majorBidi" w:eastAsiaTheme="minorHAnsi" w:cstheme="majorBidi"/>
                <w:color w:val="auto"/>
                <w:sz w:val="18"/>
                <w:szCs w:val="18"/>
                <w:vertAlign w:val="superscript"/>
                <w:lang w:val="en-US" w:eastAsia="en-US"/>
              </w:rPr>
              <w:t>132</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Ossewaarde et al. 2005 </w:t>
            </w:r>
            <w:r>
              <w:rPr>
                <w:rFonts w:asciiTheme="majorBidi" w:hAnsiTheme="majorBidi" w:eastAsiaTheme="minorHAnsi" w:cstheme="majorBidi"/>
                <w:color w:val="auto"/>
                <w:sz w:val="18"/>
                <w:szCs w:val="18"/>
                <w:vertAlign w:val="superscript"/>
                <w:lang w:val="en-US" w:eastAsia="en-US"/>
              </w:rPr>
              <w:t>151</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nl-NL" w:eastAsia="en-US"/>
              </w:rPr>
            </w:pPr>
            <w:r>
              <w:rPr>
                <w:rFonts w:asciiTheme="majorBidi" w:hAnsiTheme="majorBidi" w:eastAsiaTheme="minorHAnsi" w:cstheme="majorBidi"/>
                <w:color w:val="auto"/>
                <w:sz w:val="18"/>
                <w:szCs w:val="18"/>
                <w:lang w:val="nl-NL" w:eastAsia="en-US"/>
              </w:rPr>
              <w:t xml:space="preserve">van der Schouw et al. 1996 </w:t>
            </w:r>
            <w:r>
              <w:rPr>
                <w:rFonts w:asciiTheme="majorBidi" w:hAnsiTheme="majorBidi" w:eastAsiaTheme="minorHAnsi" w:cstheme="majorBidi"/>
                <w:color w:val="auto"/>
                <w:sz w:val="18"/>
                <w:szCs w:val="18"/>
                <w:vertAlign w:val="superscript"/>
                <w:lang w:val="nl-NL" w:eastAsia="en-US"/>
              </w:rPr>
              <w:t>204</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nl-NL"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nl-NL" w:eastAsia="en-US"/>
              </w:rPr>
            </w:pP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nl-NL" w:eastAsia="en-US"/>
              </w:rPr>
            </w:pP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nl-NL"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nl-NL"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nl-NL"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nl-NL"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nl-NL"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nl-NL" w:eastAsia="en-US"/>
              </w:rPr>
            </w:pPr>
            <w:r>
              <w:rPr>
                <w:rFonts w:ascii="Times New Roman" w:hAnsi="Times New Roman" w:eastAsia="Calibri" w:cs="Times New Roman"/>
                <w:color w:val="auto"/>
                <w:sz w:val="16"/>
                <w:szCs w:val="16"/>
                <w:lang w:val="en-US" w:eastAsia="en-US"/>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498" w:type="dxa"/>
            <w:tcBorders>
              <w:top w:val="single" w:color="auto" w:sz="4" w:space="0"/>
              <w:left w:val="single" w:color="auto" w:sz="4" w:space="0"/>
              <w:bottom w:val="single" w:color="auto" w:sz="4" w:space="0"/>
              <w:right w:val="single" w:color="auto" w:sz="4" w:space="0"/>
            </w:tcBorders>
          </w:tcPr>
          <w:p>
            <w:pPr>
              <w:spacing w:after="0" w:line="240" w:lineRule="auto"/>
              <w:rPr>
                <w:rFonts w:ascii="Times New Roman" w:hAnsi="Times New Roman" w:eastAsia="Calibri" w:cs="Times New Roman"/>
                <w:color w:val="auto"/>
                <w:sz w:val="16"/>
                <w:szCs w:val="16"/>
                <w:lang w:val="en-US" w:eastAsia="en-US"/>
              </w:rPr>
            </w:pPr>
            <w:r>
              <w:rPr>
                <w:rFonts w:asciiTheme="majorBidi" w:hAnsiTheme="majorBidi" w:eastAsiaTheme="minorHAnsi" w:cstheme="majorBidi"/>
                <w:color w:val="auto"/>
                <w:sz w:val="18"/>
                <w:szCs w:val="18"/>
                <w:lang w:val="en-US" w:eastAsia="en-US"/>
              </w:rPr>
              <w:t xml:space="preserve">Welten et al. 2021 </w:t>
            </w:r>
            <w:r>
              <w:rPr>
                <w:rFonts w:asciiTheme="majorBidi" w:hAnsiTheme="majorBidi" w:eastAsiaTheme="minorHAnsi" w:cstheme="majorBidi"/>
                <w:color w:val="auto"/>
                <w:sz w:val="18"/>
                <w:szCs w:val="18"/>
                <w:vertAlign w:val="superscript"/>
                <w:lang w:val="en-US" w:eastAsia="en-US"/>
              </w:rPr>
              <w:t>214</w:t>
            </w:r>
          </w:p>
        </w:tc>
        <w:tc>
          <w:tcPr>
            <w:tcW w:w="1593"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207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2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1076"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w:t>
            </w:r>
          </w:p>
        </w:tc>
        <w:tc>
          <w:tcPr>
            <w:tcW w:w="0" w:type="auto"/>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Calibri" w:cs="Times New Roman"/>
                <w:color w:val="auto"/>
                <w:sz w:val="16"/>
                <w:szCs w:val="16"/>
                <w:lang w:val="en-US" w:eastAsia="en-US"/>
              </w:rPr>
            </w:pPr>
            <w:r>
              <w:rPr>
                <w:rFonts w:ascii="Times New Roman" w:hAnsi="Times New Roman" w:eastAsia="Calibri" w:cs="Times New Roman"/>
                <w:color w:val="auto"/>
                <w:sz w:val="16"/>
                <w:szCs w:val="16"/>
                <w:lang w:val="en-US" w:eastAsia="en-US"/>
              </w:rPr>
              <w:t>9*</w:t>
            </w:r>
          </w:p>
        </w:tc>
      </w:tr>
      <w:bookmarkEnd w:id="0"/>
    </w:tbl>
    <w:p>
      <w:pPr>
        <w:rPr>
          <w:rFonts w:asciiTheme="majorBidi" w:hAnsiTheme="majorBidi" w:cstheme="majorBidi"/>
          <w:color w:val="auto"/>
        </w:rPr>
      </w:pPr>
    </w:p>
    <w:p>
      <w:pPr>
        <w:rPr>
          <w:rFonts w:asciiTheme="majorBidi" w:hAnsiTheme="majorBidi" w:cstheme="majorBidi"/>
          <w:color w:val="auto"/>
        </w:rPr>
      </w:pPr>
    </w:p>
    <w:p>
      <w:pPr>
        <w:rPr>
          <w:color w:val="auto"/>
        </w:rPr>
      </w:pPr>
    </w:p>
    <w:p>
      <w:pPr>
        <w:rPr>
          <w:rFonts w:asciiTheme="majorBidi" w:hAnsiTheme="majorBidi" w:cstheme="majorBidi"/>
          <w:color w:val="auto"/>
          <w:sz w:val="20"/>
          <w:szCs w:val="20"/>
          <w:lang w:val="en-US"/>
        </w:rPr>
      </w:pPr>
      <w:r>
        <w:rPr>
          <w:rFonts w:asciiTheme="majorBidi" w:hAnsiTheme="majorBidi" w:cstheme="majorBidi"/>
          <w:color w:val="auto"/>
          <w:sz w:val="20"/>
          <w:szCs w:val="20"/>
          <w:lang w:val="en-US"/>
        </w:rPr>
        <w:t>Supplementary table 3. Meta-analysis of included studies conducted on the prevalence of cardiovascular events and association with premature ovarian insufficiency</w:t>
      </w:r>
    </w:p>
    <w:p>
      <w:pPr>
        <w:spacing w:after="0" w:line="240" w:lineRule="auto"/>
        <w:rPr>
          <w:rFonts w:asciiTheme="majorBidi" w:hAnsiTheme="majorBidi" w:cstheme="majorBidi"/>
          <w:color w:val="auto"/>
          <w:sz w:val="18"/>
          <w:szCs w:val="18"/>
          <w:lang w:val="en-US"/>
        </w:rPr>
      </w:pPr>
    </w:p>
    <w:tbl>
      <w:tblPr>
        <w:tblStyle w:val="5"/>
        <w:tblW w:w="141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
        <w:gridCol w:w="2267"/>
        <w:gridCol w:w="683"/>
        <w:gridCol w:w="954"/>
        <w:gridCol w:w="688"/>
        <w:gridCol w:w="2156"/>
        <w:gridCol w:w="805"/>
        <w:gridCol w:w="916"/>
        <w:gridCol w:w="681"/>
        <w:gridCol w:w="2188"/>
        <w:gridCol w:w="614"/>
        <w:gridCol w:w="1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gridSpan w:val="2"/>
            <w:vMerge w:val="restart"/>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Outcomes</w:t>
            </w:r>
          </w:p>
        </w:tc>
        <w:tc>
          <w:tcPr>
            <w:tcW w:w="4536" w:type="dxa"/>
            <w:gridSpan w:val="4"/>
          </w:tcPr>
          <w:p>
            <w:pPr>
              <w:spacing w:after="0" w:line="240" w:lineRule="auto"/>
              <w:jc w:val="center"/>
              <w:rPr>
                <w:rFonts w:asciiTheme="majorBidi" w:hAnsiTheme="majorBidi" w:cstheme="majorBidi"/>
                <w:color w:val="auto"/>
                <w:sz w:val="20"/>
                <w:szCs w:val="20"/>
                <w:lang w:val="en-US"/>
              </w:rPr>
            </w:pPr>
            <w:r>
              <w:rPr>
                <w:rFonts w:asciiTheme="majorBidi" w:hAnsiTheme="majorBidi" w:cstheme="majorBidi"/>
                <w:color w:val="auto"/>
                <w:sz w:val="20"/>
                <w:szCs w:val="20"/>
                <w:lang w:val="en-US"/>
              </w:rPr>
              <w:t>POI population (menopausal age less than 40 years)</w:t>
            </w:r>
          </w:p>
        </w:tc>
        <w:tc>
          <w:tcPr>
            <w:tcW w:w="4641" w:type="dxa"/>
            <w:gridSpan w:val="4"/>
          </w:tcPr>
          <w:p>
            <w:pPr>
              <w:spacing w:after="0" w:line="240" w:lineRule="auto"/>
              <w:jc w:val="center"/>
              <w:rPr>
                <w:rFonts w:asciiTheme="majorBidi" w:hAnsiTheme="majorBidi" w:cstheme="majorBidi"/>
                <w:color w:val="auto"/>
                <w:sz w:val="20"/>
                <w:szCs w:val="20"/>
                <w:lang w:val="en-US"/>
              </w:rPr>
            </w:pPr>
            <w:r>
              <w:rPr>
                <w:rFonts w:asciiTheme="majorBidi" w:hAnsiTheme="majorBidi" w:cstheme="majorBidi"/>
                <w:color w:val="auto"/>
                <w:sz w:val="20"/>
                <w:szCs w:val="20"/>
                <w:lang w:val="en-US"/>
              </w:rPr>
              <w:t>Controls (menopausal age 50-54 years)</w:t>
            </w:r>
          </w:p>
        </w:tc>
        <w:tc>
          <w:tcPr>
            <w:tcW w:w="2386" w:type="dxa"/>
            <w:gridSpan w:val="2"/>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 xml:space="preserve">Hazard Ratio </w:t>
            </w:r>
            <w:r>
              <w:rPr>
                <w:rFonts w:asciiTheme="majorBidi" w:hAnsiTheme="majorBidi" w:cstheme="majorBidi"/>
                <w:color w:val="auto"/>
                <w:sz w:val="20"/>
                <w:szCs w:val="20"/>
                <w:vertAlign w:val="superscript"/>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gridSpan w:val="2"/>
            <w:vMerge w:val="continue"/>
          </w:tcPr>
          <w:p>
            <w:pPr>
              <w:spacing w:after="0" w:line="240" w:lineRule="auto"/>
              <w:rPr>
                <w:rFonts w:asciiTheme="majorBidi" w:hAnsiTheme="majorBidi" w:cstheme="majorBidi"/>
                <w:color w:val="auto"/>
                <w:sz w:val="20"/>
                <w:szCs w:val="20"/>
                <w:lang w:val="en-US"/>
              </w:rPr>
            </w:pPr>
          </w:p>
        </w:tc>
        <w:tc>
          <w:tcPr>
            <w:tcW w:w="1641" w:type="dxa"/>
            <w:gridSpan w:val="2"/>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Number</w:t>
            </w:r>
          </w:p>
        </w:tc>
        <w:tc>
          <w:tcPr>
            <w:tcW w:w="2895" w:type="dxa"/>
            <w:gridSpan w:val="2"/>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Prevalence</w:t>
            </w:r>
          </w:p>
        </w:tc>
        <w:tc>
          <w:tcPr>
            <w:tcW w:w="1721" w:type="dxa"/>
            <w:gridSpan w:val="2"/>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Number</w:t>
            </w:r>
          </w:p>
        </w:tc>
        <w:tc>
          <w:tcPr>
            <w:tcW w:w="2920" w:type="dxa"/>
            <w:gridSpan w:val="2"/>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Prevalence</w:t>
            </w:r>
          </w:p>
        </w:tc>
        <w:tc>
          <w:tcPr>
            <w:tcW w:w="2386" w:type="dxa"/>
            <w:gridSpan w:val="2"/>
          </w:tcPr>
          <w:p>
            <w:pPr>
              <w:spacing w:after="0" w:line="240" w:lineRule="auto"/>
              <w:rPr>
                <w:rFonts w:asciiTheme="majorBidi" w:hAnsiTheme="majorBidi" w:cstheme="majorBidi"/>
                <w:color w:val="auto"/>
                <w:sz w:val="20"/>
                <w:szCs w:val="2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gridSpan w:val="2"/>
            <w:vMerge w:val="continue"/>
          </w:tcPr>
          <w:p>
            <w:pPr>
              <w:spacing w:after="0" w:line="240" w:lineRule="auto"/>
              <w:rPr>
                <w:rFonts w:asciiTheme="majorBidi" w:hAnsiTheme="majorBidi" w:cstheme="majorBidi"/>
                <w:color w:val="auto"/>
                <w:sz w:val="20"/>
                <w:szCs w:val="20"/>
                <w:lang w:val="en-US"/>
              </w:rPr>
            </w:pP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Study</w:t>
            </w:r>
          </w:p>
        </w:tc>
        <w:tc>
          <w:tcPr>
            <w:tcW w:w="958"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Women</w:t>
            </w:r>
          </w:p>
        </w:tc>
        <w:tc>
          <w:tcPr>
            <w:tcW w:w="69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I</w:t>
            </w:r>
            <w:r>
              <w:rPr>
                <w:rFonts w:asciiTheme="majorBidi" w:hAnsiTheme="majorBidi" w:cstheme="majorBidi"/>
                <w:color w:val="auto"/>
                <w:sz w:val="20"/>
                <w:szCs w:val="20"/>
                <w:vertAlign w:val="superscript"/>
                <w:lang w:val="en-US"/>
              </w:rPr>
              <w:t>2</w:t>
            </w:r>
            <w:r>
              <w:rPr>
                <w:rFonts w:asciiTheme="majorBidi" w:hAnsiTheme="majorBidi" w:cstheme="majorBidi"/>
                <w:color w:val="auto"/>
                <w:sz w:val="20"/>
                <w:szCs w:val="20"/>
                <w:lang w:val="en-US"/>
              </w:rPr>
              <w:t>, %</w:t>
            </w:r>
          </w:p>
        </w:tc>
        <w:tc>
          <w:tcPr>
            <w:tcW w:w="2204"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Pooled P% (95%, CI%)</w:t>
            </w:r>
          </w:p>
        </w:tc>
        <w:tc>
          <w:tcPr>
            <w:tcW w:w="80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Studies</w:t>
            </w:r>
          </w:p>
        </w:tc>
        <w:tc>
          <w:tcPr>
            <w:tcW w:w="916"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Women</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I</w:t>
            </w:r>
            <w:r>
              <w:rPr>
                <w:rFonts w:asciiTheme="majorBidi" w:hAnsiTheme="majorBidi" w:cstheme="majorBidi"/>
                <w:color w:val="auto"/>
                <w:sz w:val="20"/>
                <w:szCs w:val="20"/>
                <w:vertAlign w:val="superscript"/>
                <w:lang w:val="en-US"/>
              </w:rPr>
              <w:t>2</w:t>
            </w:r>
            <w:r>
              <w:rPr>
                <w:rFonts w:asciiTheme="majorBidi" w:hAnsiTheme="majorBidi" w:cstheme="majorBidi"/>
                <w:color w:val="auto"/>
                <w:sz w:val="20"/>
                <w:szCs w:val="20"/>
                <w:lang w:val="en-US"/>
              </w:rPr>
              <w:t>, %</w:t>
            </w:r>
          </w:p>
        </w:tc>
        <w:tc>
          <w:tcPr>
            <w:tcW w:w="2237"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Pooled P% (95% CI%)</w:t>
            </w:r>
          </w:p>
        </w:tc>
        <w:tc>
          <w:tcPr>
            <w:tcW w:w="43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I</w:t>
            </w:r>
            <w:r>
              <w:rPr>
                <w:rFonts w:asciiTheme="majorBidi" w:hAnsiTheme="majorBidi" w:cstheme="majorBidi"/>
                <w:color w:val="auto"/>
                <w:sz w:val="20"/>
                <w:szCs w:val="20"/>
                <w:vertAlign w:val="superscript"/>
                <w:lang w:val="en-US"/>
              </w:rPr>
              <w:t>2</w:t>
            </w:r>
            <w:r>
              <w:rPr>
                <w:rFonts w:asciiTheme="majorBidi" w:hAnsiTheme="majorBidi" w:cstheme="majorBidi"/>
                <w:color w:val="auto"/>
                <w:sz w:val="20"/>
                <w:szCs w:val="20"/>
                <w:lang w:val="en-US"/>
              </w:rPr>
              <w:t>, %</w:t>
            </w:r>
          </w:p>
        </w:tc>
        <w:tc>
          <w:tcPr>
            <w:tcW w:w="195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 xml:space="preserve">Pooled HR (95% CI)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gridSpan w:val="2"/>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Composite CV events</w:t>
            </w:r>
          </w:p>
        </w:tc>
        <w:tc>
          <w:tcPr>
            <w:tcW w:w="683" w:type="dxa"/>
            <w:shd w:val="clear" w:color="auto" w:fill="auto"/>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14*</w:t>
            </w:r>
          </w:p>
        </w:tc>
        <w:tc>
          <w:tcPr>
            <w:tcW w:w="958" w:type="dxa"/>
            <w:shd w:val="clear" w:color="auto" w:fill="auto"/>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40,549</w:t>
            </w:r>
          </w:p>
        </w:tc>
        <w:tc>
          <w:tcPr>
            <w:tcW w:w="691" w:type="dxa"/>
            <w:shd w:val="clear" w:color="auto" w:fill="auto"/>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98</w:t>
            </w:r>
          </w:p>
        </w:tc>
        <w:tc>
          <w:tcPr>
            <w:tcW w:w="2204" w:type="dxa"/>
            <w:shd w:val="clear" w:color="auto" w:fill="auto"/>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4 (3-4)</w:t>
            </w:r>
          </w:p>
        </w:tc>
        <w:tc>
          <w:tcPr>
            <w:tcW w:w="805" w:type="dxa"/>
            <w:shd w:val="clear" w:color="auto" w:fill="auto"/>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10</w:t>
            </w:r>
          </w:p>
        </w:tc>
        <w:tc>
          <w:tcPr>
            <w:tcW w:w="916" w:type="dxa"/>
            <w:shd w:val="clear" w:color="auto" w:fill="auto"/>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1016633</w:t>
            </w:r>
          </w:p>
        </w:tc>
        <w:tc>
          <w:tcPr>
            <w:tcW w:w="683" w:type="dxa"/>
            <w:shd w:val="clear" w:color="auto" w:fill="auto"/>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99.7</w:t>
            </w:r>
          </w:p>
        </w:tc>
        <w:tc>
          <w:tcPr>
            <w:tcW w:w="2237" w:type="dxa"/>
            <w:shd w:val="clear" w:color="auto" w:fill="auto"/>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4 (3-4)</w:t>
            </w:r>
          </w:p>
        </w:tc>
        <w:tc>
          <w:tcPr>
            <w:tcW w:w="431" w:type="dxa"/>
            <w:shd w:val="clear" w:color="auto" w:fill="auto"/>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58</w:t>
            </w:r>
          </w:p>
        </w:tc>
        <w:tc>
          <w:tcPr>
            <w:tcW w:w="1955" w:type="dxa"/>
            <w:shd w:val="clear" w:color="auto" w:fill="auto"/>
          </w:tcPr>
          <w:p>
            <w:pPr>
              <w:spacing w:after="0" w:line="240" w:lineRule="auto"/>
              <w:rPr>
                <w:rFonts w:asciiTheme="majorBidi" w:hAnsiTheme="majorBidi" w:cstheme="majorBidi"/>
                <w:b/>
                <w:bCs/>
                <w:color w:val="auto"/>
                <w:sz w:val="20"/>
                <w:szCs w:val="20"/>
                <w:lang w:val="en-US"/>
              </w:rPr>
            </w:pPr>
            <w:r>
              <w:rPr>
                <w:rFonts w:asciiTheme="majorBidi" w:hAnsiTheme="majorBidi" w:cstheme="majorBidi"/>
                <w:b/>
                <w:bCs/>
                <w:color w:val="auto"/>
                <w:sz w:val="20"/>
                <w:szCs w:val="20"/>
                <w:lang w:val="en-US"/>
              </w:rPr>
              <w:t>1.35 (1.17-1.52)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47" w:type="dxa"/>
            <w:gridSpan w:val="12"/>
          </w:tcPr>
          <w:p>
            <w:pPr>
              <w:spacing w:after="0"/>
              <w:rPr>
                <w:rFonts w:asciiTheme="majorBidi" w:hAnsiTheme="majorBidi" w:cstheme="majorBidi"/>
                <w:color w:val="auto"/>
                <w:sz w:val="20"/>
                <w:szCs w:val="20"/>
                <w:lang w:val="en-US"/>
              </w:rPr>
            </w:pPr>
            <w:r>
              <w:rPr>
                <w:rFonts w:asciiTheme="majorBidi" w:hAnsiTheme="majorBidi" w:cstheme="majorBidi"/>
                <w:color w:val="auto"/>
                <w:sz w:val="20"/>
                <w:szCs w:val="20"/>
                <w:lang w:val="en-US"/>
              </w:rPr>
              <w:t>Individual CV events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dxa"/>
          </w:tcPr>
          <w:p>
            <w:pPr>
              <w:spacing w:after="0" w:line="240" w:lineRule="auto"/>
              <w:rPr>
                <w:rFonts w:asciiTheme="majorBidi" w:hAnsiTheme="majorBidi" w:cstheme="majorBidi"/>
                <w:color w:val="auto"/>
                <w:sz w:val="20"/>
                <w:szCs w:val="20"/>
              </w:rPr>
            </w:pPr>
          </w:p>
        </w:tc>
        <w:tc>
          <w:tcPr>
            <w:tcW w:w="2302" w:type="dxa"/>
          </w:tcPr>
          <w:p>
            <w:pPr>
              <w:spacing w:after="0" w:line="240" w:lineRule="auto"/>
              <w:rPr>
                <w:rFonts w:asciiTheme="majorBidi" w:hAnsiTheme="majorBidi" w:cstheme="majorBidi"/>
                <w:color w:val="auto"/>
                <w:sz w:val="20"/>
                <w:szCs w:val="20"/>
              </w:rPr>
            </w:pPr>
            <w:r>
              <w:rPr>
                <w:rFonts w:asciiTheme="majorBidi" w:hAnsiTheme="majorBidi" w:cstheme="majorBidi"/>
                <w:color w:val="auto"/>
                <w:sz w:val="20"/>
                <w:szCs w:val="20"/>
              </w:rPr>
              <w:t>Stroke</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4</w:t>
            </w:r>
          </w:p>
        </w:tc>
        <w:tc>
          <w:tcPr>
            <w:tcW w:w="958"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8,276</w:t>
            </w:r>
          </w:p>
        </w:tc>
        <w:tc>
          <w:tcPr>
            <w:tcW w:w="69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97</w:t>
            </w:r>
          </w:p>
        </w:tc>
        <w:tc>
          <w:tcPr>
            <w:tcW w:w="2204"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3.30 (0.22-6.37)</w:t>
            </w:r>
          </w:p>
        </w:tc>
        <w:tc>
          <w:tcPr>
            <w:tcW w:w="80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4</w:t>
            </w:r>
          </w:p>
        </w:tc>
        <w:tc>
          <w:tcPr>
            <w:tcW w:w="916"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460438</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99.3</w:t>
            </w:r>
          </w:p>
        </w:tc>
        <w:tc>
          <w:tcPr>
            <w:tcW w:w="2237"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3.22 (021-6.23)</w:t>
            </w:r>
          </w:p>
        </w:tc>
        <w:tc>
          <w:tcPr>
            <w:tcW w:w="43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67</w:t>
            </w:r>
          </w:p>
        </w:tc>
        <w:tc>
          <w:tcPr>
            <w:tcW w:w="195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1.16 (084-1.49)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dxa"/>
          </w:tcPr>
          <w:p>
            <w:pPr>
              <w:spacing w:after="0" w:line="240" w:lineRule="auto"/>
              <w:rPr>
                <w:rFonts w:asciiTheme="majorBidi" w:hAnsiTheme="majorBidi" w:cstheme="majorBidi"/>
                <w:color w:val="auto"/>
                <w:sz w:val="20"/>
                <w:szCs w:val="20"/>
                <w:lang w:val="en-US"/>
              </w:rPr>
            </w:pPr>
          </w:p>
        </w:tc>
        <w:tc>
          <w:tcPr>
            <w:tcW w:w="2302"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Death due to CV events</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4</w:t>
            </w:r>
          </w:p>
        </w:tc>
        <w:tc>
          <w:tcPr>
            <w:tcW w:w="958"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1,614</w:t>
            </w:r>
          </w:p>
        </w:tc>
        <w:tc>
          <w:tcPr>
            <w:tcW w:w="69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92.9</w:t>
            </w:r>
          </w:p>
        </w:tc>
        <w:tc>
          <w:tcPr>
            <w:tcW w:w="2204"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7.59 (2.47-12.44)</w:t>
            </w:r>
          </w:p>
        </w:tc>
        <w:tc>
          <w:tcPr>
            <w:tcW w:w="80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4</w:t>
            </w:r>
          </w:p>
        </w:tc>
        <w:tc>
          <w:tcPr>
            <w:tcW w:w="916"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17716</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99.2</w:t>
            </w:r>
          </w:p>
        </w:tc>
        <w:tc>
          <w:tcPr>
            <w:tcW w:w="2237"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5.20 (1.67-8.73)</w:t>
            </w:r>
          </w:p>
        </w:tc>
        <w:tc>
          <w:tcPr>
            <w:tcW w:w="43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0</w:t>
            </w:r>
          </w:p>
        </w:tc>
        <w:tc>
          <w:tcPr>
            <w:tcW w:w="1955" w:type="dxa"/>
          </w:tcPr>
          <w:p>
            <w:pPr>
              <w:spacing w:after="0" w:line="240" w:lineRule="auto"/>
              <w:rPr>
                <w:rFonts w:asciiTheme="majorBidi" w:hAnsiTheme="majorBidi" w:cstheme="majorBidi"/>
                <w:b/>
                <w:bCs/>
                <w:color w:val="auto"/>
                <w:sz w:val="20"/>
                <w:szCs w:val="20"/>
                <w:lang w:val="en-US"/>
              </w:rPr>
            </w:pPr>
            <w:r>
              <w:rPr>
                <w:rFonts w:asciiTheme="majorBidi" w:hAnsiTheme="majorBidi" w:cstheme="majorBidi"/>
                <w:b/>
                <w:bCs/>
                <w:color w:val="auto"/>
                <w:sz w:val="20"/>
                <w:szCs w:val="20"/>
                <w:lang w:val="en-US"/>
              </w:rPr>
              <w:t>1.49 (1.18-1.79)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dxa"/>
          </w:tcPr>
          <w:p>
            <w:pPr>
              <w:spacing w:after="0" w:line="240" w:lineRule="auto"/>
              <w:rPr>
                <w:rFonts w:asciiTheme="majorBidi" w:hAnsiTheme="majorBidi" w:cstheme="majorBidi"/>
                <w:color w:val="auto"/>
                <w:sz w:val="20"/>
                <w:szCs w:val="20"/>
                <w:lang w:val="en-US"/>
              </w:rPr>
            </w:pPr>
          </w:p>
        </w:tc>
        <w:tc>
          <w:tcPr>
            <w:tcW w:w="2302"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Coronary heart disease</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5</w:t>
            </w:r>
          </w:p>
        </w:tc>
        <w:tc>
          <w:tcPr>
            <w:tcW w:w="958"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31,006</w:t>
            </w:r>
          </w:p>
        </w:tc>
        <w:tc>
          <w:tcPr>
            <w:tcW w:w="69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99.4</w:t>
            </w:r>
          </w:p>
        </w:tc>
        <w:tc>
          <w:tcPr>
            <w:tcW w:w="2204"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3.89 (1.49-6.29)</w:t>
            </w:r>
          </w:p>
        </w:tc>
        <w:tc>
          <w:tcPr>
            <w:tcW w:w="80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2</w:t>
            </w:r>
          </w:p>
        </w:tc>
        <w:tc>
          <w:tcPr>
            <w:tcW w:w="916"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451922</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0</w:t>
            </w:r>
          </w:p>
        </w:tc>
        <w:tc>
          <w:tcPr>
            <w:tcW w:w="2237"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3.7 (3.52-3.88)</w:t>
            </w:r>
          </w:p>
        </w:tc>
        <w:tc>
          <w:tcPr>
            <w:tcW w:w="43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0</w:t>
            </w:r>
          </w:p>
        </w:tc>
        <w:tc>
          <w:tcPr>
            <w:tcW w:w="1955" w:type="dxa"/>
          </w:tcPr>
          <w:p>
            <w:pPr>
              <w:spacing w:after="0" w:line="240" w:lineRule="auto"/>
              <w:rPr>
                <w:rFonts w:asciiTheme="majorBidi" w:hAnsiTheme="majorBidi" w:cstheme="majorBidi"/>
                <w:b/>
                <w:bCs/>
                <w:color w:val="auto"/>
                <w:sz w:val="20"/>
                <w:szCs w:val="20"/>
                <w:lang w:val="en-US"/>
              </w:rPr>
            </w:pPr>
            <w:r>
              <w:rPr>
                <w:rFonts w:asciiTheme="majorBidi" w:hAnsiTheme="majorBidi" w:cstheme="majorBidi"/>
                <w:b/>
                <w:bCs/>
                <w:color w:val="auto"/>
                <w:sz w:val="20"/>
                <w:szCs w:val="20"/>
                <w:lang w:val="en-US"/>
              </w:rPr>
              <w:t>1.33 (1.21-1.45)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dxa"/>
          </w:tcPr>
          <w:p>
            <w:pPr>
              <w:spacing w:after="0" w:line="240" w:lineRule="auto"/>
              <w:rPr>
                <w:rFonts w:asciiTheme="majorBidi" w:hAnsiTheme="majorBidi" w:cstheme="majorBidi"/>
                <w:color w:val="auto"/>
                <w:sz w:val="20"/>
                <w:szCs w:val="20"/>
                <w:lang w:val="en-US"/>
              </w:rPr>
            </w:pPr>
          </w:p>
        </w:tc>
        <w:tc>
          <w:tcPr>
            <w:tcW w:w="2302"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Pulmonary hypertension</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w:t>
            </w:r>
          </w:p>
        </w:tc>
        <w:tc>
          <w:tcPr>
            <w:tcW w:w="958"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5221</w:t>
            </w:r>
          </w:p>
        </w:tc>
        <w:tc>
          <w:tcPr>
            <w:tcW w:w="69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2204"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80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w:t>
            </w:r>
          </w:p>
        </w:tc>
        <w:tc>
          <w:tcPr>
            <w:tcW w:w="916"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86557</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2237"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43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195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dxa"/>
          </w:tcPr>
          <w:p>
            <w:pPr>
              <w:spacing w:after="0" w:line="240" w:lineRule="auto"/>
              <w:rPr>
                <w:rFonts w:asciiTheme="majorBidi" w:hAnsiTheme="majorBidi" w:cstheme="majorBidi"/>
                <w:color w:val="auto"/>
                <w:sz w:val="20"/>
                <w:szCs w:val="20"/>
                <w:lang w:val="en-US"/>
              </w:rPr>
            </w:pPr>
          </w:p>
        </w:tc>
        <w:tc>
          <w:tcPr>
            <w:tcW w:w="2302"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hypertension</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w:t>
            </w:r>
          </w:p>
        </w:tc>
        <w:tc>
          <w:tcPr>
            <w:tcW w:w="958"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5548</w:t>
            </w:r>
          </w:p>
        </w:tc>
        <w:tc>
          <w:tcPr>
            <w:tcW w:w="69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2204"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80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916"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2237"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43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195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dxa"/>
          </w:tcPr>
          <w:p>
            <w:pPr>
              <w:spacing w:after="0" w:line="240" w:lineRule="auto"/>
              <w:rPr>
                <w:rFonts w:asciiTheme="majorBidi" w:hAnsiTheme="majorBidi" w:cstheme="majorBidi"/>
                <w:color w:val="auto"/>
                <w:sz w:val="20"/>
                <w:szCs w:val="20"/>
                <w:lang w:val="en-US"/>
              </w:rPr>
            </w:pPr>
          </w:p>
        </w:tc>
        <w:tc>
          <w:tcPr>
            <w:tcW w:w="2302"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Heart failure</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w:t>
            </w:r>
          </w:p>
        </w:tc>
        <w:tc>
          <w:tcPr>
            <w:tcW w:w="958"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5548</w:t>
            </w:r>
          </w:p>
        </w:tc>
        <w:tc>
          <w:tcPr>
            <w:tcW w:w="69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2204"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80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916"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2237"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43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195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dxa"/>
          </w:tcPr>
          <w:p>
            <w:pPr>
              <w:spacing w:after="0" w:line="240" w:lineRule="auto"/>
              <w:rPr>
                <w:rFonts w:asciiTheme="majorBidi" w:hAnsiTheme="majorBidi" w:cstheme="majorBidi"/>
                <w:color w:val="auto"/>
                <w:sz w:val="20"/>
                <w:szCs w:val="20"/>
                <w:lang w:val="en-US"/>
              </w:rPr>
            </w:pPr>
          </w:p>
        </w:tc>
        <w:tc>
          <w:tcPr>
            <w:tcW w:w="2302"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Heart valve disease</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1</w:t>
            </w:r>
          </w:p>
        </w:tc>
        <w:tc>
          <w:tcPr>
            <w:tcW w:w="958"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5548</w:t>
            </w:r>
          </w:p>
        </w:tc>
        <w:tc>
          <w:tcPr>
            <w:tcW w:w="69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2204"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80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916"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683"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2237"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431"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c>
          <w:tcPr>
            <w:tcW w:w="1955" w:type="dxa"/>
          </w:tcPr>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47" w:type="dxa"/>
            <w:gridSpan w:val="12"/>
          </w:tcPr>
          <w:p>
            <w:pPr>
              <w:spacing w:after="0"/>
              <w:rPr>
                <w:rFonts w:asciiTheme="majorBidi" w:hAnsiTheme="majorBidi" w:cstheme="majorBidi"/>
                <w:color w:val="auto"/>
                <w:sz w:val="20"/>
                <w:szCs w:val="20"/>
                <w:lang w:val="en-US"/>
              </w:rPr>
            </w:pPr>
            <w:r>
              <w:rPr>
                <w:rFonts w:asciiTheme="majorBidi" w:hAnsiTheme="majorBidi" w:cstheme="majorBidi"/>
                <w:color w:val="auto"/>
                <w:sz w:val="20"/>
                <w:szCs w:val="20"/>
                <w:lang w:val="en-US"/>
              </w:rPr>
              <w:t>CV: cardiovascular; I</w:t>
            </w:r>
            <w:r>
              <w:rPr>
                <w:rFonts w:asciiTheme="majorBidi" w:hAnsiTheme="majorBidi" w:cstheme="majorBidi"/>
                <w:color w:val="auto"/>
                <w:sz w:val="20"/>
                <w:szCs w:val="20"/>
                <w:vertAlign w:val="superscript"/>
                <w:lang w:val="en-US"/>
              </w:rPr>
              <w:t>2</w:t>
            </w:r>
            <w:r>
              <w:rPr>
                <w:rFonts w:asciiTheme="majorBidi" w:hAnsiTheme="majorBidi" w:cstheme="majorBidi"/>
                <w:color w:val="auto"/>
                <w:sz w:val="20"/>
                <w:szCs w:val="20"/>
                <w:lang w:val="en-US"/>
              </w:rPr>
              <w:t xml:space="preserve">: I-squared; </w:t>
            </w:r>
          </w:p>
          <w:p>
            <w:pPr>
              <w:spacing w:after="0"/>
              <w:rPr>
                <w:rFonts w:asciiTheme="majorBidi" w:hAnsiTheme="majorBidi" w:cstheme="majorBidi"/>
                <w:color w:val="auto"/>
                <w:sz w:val="20"/>
                <w:szCs w:val="20"/>
                <w:lang w:val="en-US"/>
              </w:rPr>
            </w:pPr>
            <w:r>
              <w:rPr>
                <w:rFonts w:asciiTheme="majorBidi" w:hAnsiTheme="majorBidi" w:cstheme="majorBidi"/>
                <w:color w:val="auto"/>
                <w:sz w:val="20"/>
                <w:szCs w:val="20"/>
                <w:vertAlign w:val="superscript"/>
                <w:lang w:val="en-US"/>
              </w:rPr>
              <w:t>€</w:t>
            </w:r>
            <w:r>
              <w:rPr>
                <w:rFonts w:asciiTheme="majorBidi" w:hAnsiTheme="majorBidi" w:cstheme="majorBidi"/>
                <w:color w:val="auto"/>
                <w:sz w:val="20"/>
                <w:szCs w:val="20"/>
                <w:lang w:val="en-US"/>
              </w:rPr>
              <w:t xml:space="preserve"> Bold values indicates significant result</w:t>
            </w:r>
          </w:p>
          <w:p>
            <w:pPr>
              <w:spacing w:after="0"/>
              <w:rPr>
                <w:rFonts w:asciiTheme="majorBidi" w:hAnsiTheme="majorBidi" w:cstheme="majorBidi"/>
                <w:color w:val="auto"/>
                <w:sz w:val="20"/>
                <w:szCs w:val="20"/>
                <w:lang w:val="en-US"/>
              </w:rPr>
            </w:pPr>
            <w:r>
              <w:rPr>
                <w:rFonts w:asciiTheme="majorBidi" w:hAnsiTheme="majorBidi" w:cstheme="majorBidi"/>
                <w:color w:val="auto"/>
                <w:sz w:val="20"/>
                <w:szCs w:val="20"/>
                <w:lang w:val="en-US"/>
              </w:rPr>
              <w:t xml:space="preserve">*Two studies of (Hu et al. 1999) and (Ley et al. 2017) did not included in the meta-analysis of pooled prevalence, since they reported incidence.  </w:t>
            </w:r>
          </w:p>
          <w:p>
            <w:pPr>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 xml:space="preserve">** Lack of sufficient data </w:t>
            </w:r>
          </w:p>
        </w:tc>
      </w:tr>
    </w:tbl>
    <w:p>
      <w:pPr>
        <w:rPr>
          <w:rFonts w:asciiTheme="majorBidi" w:hAnsiTheme="majorBidi" w:cstheme="majorBidi"/>
          <w:color w:val="auto"/>
          <w:lang w:val="en-US"/>
        </w:rPr>
      </w:pPr>
    </w:p>
    <w:p>
      <w:pPr>
        <w:rPr>
          <w:rFonts w:asciiTheme="majorBidi" w:hAnsiTheme="majorBidi" w:cstheme="majorBidi"/>
          <w:color w:val="auto"/>
          <w:lang w:val="en-US"/>
        </w:rPr>
      </w:pPr>
    </w:p>
    <w:p>
      <w:pPr>
        <w:rPr>
          <w:rFonts w:asciiTheme="majorBidi" w:hAnsiTheme="majorBidi" w:cstheme="majorBidi"/>
          <w:color w:val="auto"/>
          <w:lang w:val="en-US"/>
        </w:rPr>
      </w:pPr>
    </w:p>
    <w:p>
      <w:pPr>
        <w:rPr>
          <w:rFonts w:asciiTheme="majorBidi" w:hAnsiTheme="majorBidi" w:cstheme="majorBidi"/>
          <w:color w:val="auto"/>
          <w:lang w:val="en-US"/>
        </w:rPr>
      </w:pPr>
    </w:p>
    <w:p>
      <w:pPr>
        <w:rPr>
          <w:color w:val="auto"/>
        </w:rPr>
      </w:pPr>
    </w:p>
    <w:p>
      <w:pPr>
        <w:rPr>
          <w:color w:val="auto"/>
        </w:rPr>
      </w:pPr>
    </w:p>
    <w:p>
      <w:pPr>
        <w:rPr>
          <w:color w:val="auto"/>
        </w:rPr>
      </w:pPr>
    </w:p>
    <w:p>
      <w:pPr>
        <w:rPr>
          <w:color w:val="auto"/>
        </w:rPr>
      </w:pPr>
    </w:p>
    <w:p>
      <w:pPr>
        <w:rPr>
          <w:color w:val="auto"/>
        </w:rPr>
      </w:pPr>
    </w:p>
    <w:p>
      <w:pPr>
        <w:rPr>
          <w:color w:val="auto"/>
        </w:rPr>
        <w:sectPr>
          <w:pgSz w:w="16838" w:h="11906" w:orient="landscape"/>
          <w:pgMar w:top="1418" w:right="1418" w:bottom="1418" w:left="1418" w:header="709" w:footer="709" w:gutter="0"/>
          <w:cols w:space="708" w:num="1"/>
          <w:docGrid w:linePitch="360" w:charSpace="0"/>
        </w:sectPr>
      </w:pPr>
    </w:p>
    <w:p>
      <w:pPr>
        <w:autoSpaceDE w:val="0"/>
        <w:autoSpaceDN w:val="0"/>
        <w:adjustRightInd w:val="0"/>
        <w:spacing w:after="0" w:line="240" w:lineRule="auto"/>
        <w:rPr>
          <w:rFonts w:asciiTheme="majorBidi" w:hAnsiTheme="majorBidi" w:cstheme="majorBidi"/>
          <w:color w:val="auto"/>
          <w:sz w:val="20"/>
          <w:szCs w:val="20"/>
          <w:lang w:val="en-US"/>
        </w:rPr>
      </w:pPr>
      <w:r>
        <w:rPr>
          <w:rFonts w:asciiTheme="majorBidi" w:hAnsiTheme="majorBidi" w:cstheme="majorBidi"/>
          <w:color w:val="auto"/>
          <w:sz w:val="20"/>
          <w:szCs w:val="20"/>
          <w:lang w:val="en-US"/>
        </w:rPr>
        <w:t>Supplementary figure 1. Forest plot of the pooled risk of composite and individual cardiovascular events adjusted for hormone therapy.</w:t>
      </w:r>
    </w:p>
    <w:p>
      <w:pPr>
        <w:autoSpaceDE w:val="0"/>
        <w:autoSpaceDN w:val="0"/>
        <w:adjustRightInd w:val="0"/>
        <w:spacing w:after="0" w:line="240" w:lineRule="auto"/>
        <w:rPr>
          <w:rFonts w:asciiTheme="majorBidi" w:hAnsiTheme="majorBidi" w:cstheme="majorBidi"/>
          <w:color w:val="auto"/>
          <w:sz w:val="20"/>
          <w:szCs w:val="20"/>
          <w:lang w:val="en-US"/>
        </w:rPr>
      </w:pPr>
    </w:p>
    <w:p>
      <w:pPr>
        <w:autoSpaceDE w:val="0"/>
        <w:autoSpaceDN w:val="0"/>
        <w:adjustRightInd w:val="0"/>
        <w:spacing w:after="0" w:line="240" w:lineRule="auto"/>
        <w:rPr>
          <w:rFonts w:asciiTheme="majorBidi" w:hAnsiTheme="majorBidi" w:cstheme="majorBidi"/>
          <w:color w:val="auto"/>
          <w:sz w:val="20"/>
          <w:szCs w:val="20"/>
          <w:lang w:val="en-US"/>
        </w:rPr>
      </w:pPr>
      <w:r>
        <w:rPr>
          <w:color w:val="auto"/>
          <w:lang w:val="en-US" w:eastAsia="en-US"/>
        </w:rPr>
        <mc:AlternateContent>
          <mc:Choice Requires="wps">
            <w:drawing>
              <wp:anchor distT="0" distB="0" distL="114300" distR="114300" simplePos="0" relativeHeight="251659264" behindDoc="0" locked="0" layoutInCell="1" allowOverlap="1">
                <wp:simplePos x="0" y="0"/>
                <wp:positionH relativeFrom="column">
                  <wp:posOffset>718820</wp:posOffset>
                </wp:positionH>
                <wp:positionV relativeFrom="paragraph">
                  <wp:posOffset>90170</wp:posOffset>
                </wp:positionV>
                <wp:extent cx="4540250" cy="425450"/>
                <wp:effectExtent l="0" t="0" r="0" b="0"/>
                <wp:wrapNone/>
                <wp:docPr id="2" name="Rektangel: avrundede hjørner 2"/>
                <wp:cNvGraphicFramePr/>
                <a:graphic xmlns:a="http://schemas.openxmlformats.org/drawingml/2006/main">
                  <a:graphicData uri="http://schemas.microsoft.com/office/word/2010/wordprocessingShape">
                    <wps:wsp>
                      <wps:cNvSpPr/>
                      <wps:spPr>
                        <a:xfrm>
                          <a:off x="0" y="0"/>
                          <a:ext cx="4540250" cy="425450"/>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ektangel: avrundede hjørner 2" o:spid="_x0000_s1026" o:spt="2" style="position:absolute;left:0pt;margin-left:56.6pt;margin-top:7.1pt;height:33.5pt;width:357.5pt;z-index:251659264;v-text-anchor:middle;mso-width-relative:page;mso-height-relative:page;" fillcolor="#FFFFFF [3212]" filled="t" stroked="f" coordsize="21600,21600" arcsize="0.166666666666667" o:gfxdata="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5ZelytUAAAAJAQAADwAAAAAAAAABACAAAAAiAAAAZHJzL2Rv&#10;d25yZXYueG1sUEsBAhQAFAAAAAgAh07iQHxHeGF2AgAA5wQAAA4AAAAAAAAAAQAgAAAAJAEAAGRy&#10;cy9lMm9Eb2MueG1sUEsFBgAAAAAGAAYAWQEAAAwGAAAAAA==&#10;">
                <v:fill on="t" focussize="0,0"/>
                <v:stroke on="f" weight="1pt" miterlimit="8" joinstyle="miter"/>
                <v:imagedata o:title=""/>
                <o:lock v:ext="edit" aspectratio="f"/>
              </v:roundrect>
            </w:pict>
          </mc:Fallback>
        </mc:AlternateContent>
      </w:r>
      <w:r>
        <w:rPr>
          <w:rFonts w:asciiTheme="majorBidi" w:hAnsiTheme="majorBidi" w:cstheme="majorBidi"/>
          <w:color w:val="auto"/>
          <w:sz w:val="20"/>
          <w:szCs w:val="20"/>
          <w:lang w:val="en-US" w:eastAsia="en-US"/>
        </w:rPr>
        <w:drawing>
          <wp:inline distT="0" distB="0" distL="0" distR="0">
            <wp:extent cx="5759450" cy="4740910"/>
            <wp:effectExtent l="0" t="0" r="635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759450" cy="4740910"/>
                    </a:xfrm>
                    <a:prstGeom prst="rect">
                      <a:avLst/>
                    </a:prstGeom>
                  </pic:spPr>
                </pic:pic>
              </a:graphicData>
            </a:graphic>
          </wp:inline>
        </w:drawing>
      </w:r>
      <w:r>
        <w:rPr>
          <w:rFonts w:asciiTheme="majorBidi" w:hAnsiTheme="majorBidi" w:cstheme="majorBidi"/>
          <w:color w:val="auto"/>
          <w:sz w:val="20"/>
          <w:szCs w:val="20"/>
          <w:lang w:val="en-US"/>
        </w:rPr>
        <w:t xml:space="preserve"> </w:t>
      </w:r>
    </w:p>
    <w:p>
      <w:pPr>
        <w:rPr>
          <w:color w:val="auto"/>
          <w:lang w:val="en-US"/>
        </w:rPr>
      </w:pPr>
    </w:p>
    <w:p>
      <w:pPr>
        <w:rPr>
          <w:color w:val="auto"/>
          <w:lang w:val="en-US"/>
        </w:rPr>
      </w:pPr>
    </w:p>
    <w:p>
      <w:pPr>
        <w:rPr>
          <w:color w:val="auto"/>
          <w:lang w:val="en-US"/>
        </w:rPr>
      </w:pPr>
    </w:p>
    <w:p>
      <w:pPr>
        <w:rPr>
          <w:color w:val="auto"/>
          <w:lang w:val="en-US"/>
        </w:rPr>
      </w:pPr>
    </w:p>
    <w:p>
      <w:pPr>
        <w:rPr>
          <w:color w:val="auto"/>
          <w:lang w:val="en-US"/>
        </w:rPr>
      </w:pPr>
    </w:p>
    <w:p>
      <w:pPr>
        <w:rPr>
          <w:color w:val="auto"/>
          <w:lang w:val="en-US"/>
        </w:rPr>
      </w:pPr>
    </w:p>
    <w:p>
      <w:pPr>
        <w:rPr>
          <w:color w:val="auto"/>
          <w:lang w:val="en-US"/>
        </w:rPr>
      </w:pPr>
    </w:p>
    <w:p>
      <w:pPr>
        <w:rPr>
          <w:color w:val="auto"/>
          <w:lang w:val="en-US"/>
        </w:rPr>
      </w:pPr>
    </w:p>
    <w:p>
      <w:pPr>
        <w:rPr>
          <w:color w:val="auto"/>
          <w:lang w:val="en-US"/>
        </w:rPr>
      </w:pPr>
    </w:p>
    <w:p>
      <w:pPr>
        <w:rPr>
          <w:color w:val="auto"/>
          <w:lang w:val="en-US"/>
        </w:rPr>
      </w:pPr>
    </w:p>
    <w:p>
      <w:pPr>
        <w:rPr>
          <w:color w:val="auto"/>
          <w:lang w:val="en-US"/>
        </w:rPr>
      </w:pPr>
    </w:p>
    <w:p>
      <w:pPr>
        <w:rPr>
          <w:color w:val="auto"/>
          <w:lang w:val="en-US"/>
        </w:rPr>
      </w:pPr>
    </w:p>
    <w:p>
      <w:pPr>
        <w:rPr>
          <w:rFonts w:asciiTheme="majorBidi" w:hAnsiTheme="majorBidi" w:cstheme="majorBidi"/>
          <w:color w:val="auto"/>
          <w:sz w:val="20"/>
          <w:szCs w:val="20"/>
          <w:lang w:val="en-US"/>
        </w:rPr>
      </w:pPr>
    </w:p>
    <w:p>
      <w:pPr>
        <w:rPr>
          <w:rFonts w:asciiTheme="majorBidi" w:hAnsiTheme="majorBidi" w:cstheme="majorBidi"/>
          <w:color w:val="auto"/>
          <w:sz w:val="20"/>
          <w:szCs w:val="20"/>
          <w:lang w:val="en-US"/>
        </w:rPr>
      </w:pPr>
      <w:r>
        <w:rPr>
          <w:rFonts w:asciiTheme="majorBidi" w:hAnsiTheme="majorBidi" w:cstheme="majorBidi"/>
          <w:color w:val="auto"/>
          <w:sz w:val="20"/>
          <w:szCs w:val="20"/>
          <w:lang w:val="en-US"/>
        </w:rPr>
        <w:t xml:space="preserve">Supplementary figure </w:t>
      </w:r>
      <w:r>
        <w:rPr>
          <w:rFonts w:asciiTheme="majorBidi" w:hAnsiTheme="majorBidi" w:cstheme="majorBidi"/>
          <w:color w:val="auto"/>
          <w:sz w:val="20"/>
          <w:szCs w:val="20"/>
          <w:lang w:val="en-US"/>
        </w:rPr>
        <w:t>2</w:t>
      </w:r>
      <w:r>
        <w:rPr>
          <w:rFonts w:asciiTheme="majorBidi" w:hAnsiTheme="majorBidi" w:cstheme="majorBidi"/>
          <w:color w:val="auto"/>
          <w:sz w:val="20"/>
          <w:szCs w:val="20"/>
          <w:lang w:val="en-US"/>
        </w:rPr>
        <w:t xml:space="preserve">. Sensitivity analysis </w:t>
      </w:r>
    </w:p>
    <w:p>
      <w:pPr>
        <w:rPr>
          <w:rFonts w:asciiTheme="majorBidi" w:hAnsiTheme="majorBidi" w:cstheme="majorBidi"/>
          <w:color w:val="auto"/>
          <w:sz w:val="20"/>
          <w:szCs w:val="20"/>
          <w:lang w:val="en-US"/>
        </w:rPr>
      </w:pPr>
      <w:r>
        <w:rPr>
          <w:rFonts w:asciiTheme="majorBidi" w:hAnsiTheme="majorBidi" w:cstheme="majorBidi"/>
          <w:color w:val="auto"/>
          <w:sz w:val="20"/>
          <w:szCs w:val="20"/>
          <w:lang w:val="en-US"/>
        </w:rPr>
        <w:t xml:space="preserve">A: Sensitivity analysis of pooled prevalence of cardiovascular events in premature ovarian failure </w:t>
      </w:r>
    </w:p>
    <w:p>
      <w:pPr>
        <w:rPr>
          <w:rFonts w:asciiTheme="majorBidi" w:hAnsiTheme="majorBidi" w:cstheme="majorBidi"/>
          <w:color w:val="auto"/>
          <w:sz w:val="20"/>
          <w:szCs w:val="20"/>
          <w:lang w:val="en-US"/>
        </w:rPr>
      </w:pPr>
      <w:r>
        <w:rPr>
          <w:color w:val="auto"/>
          <w:lang w:val="en-US" w:eastAsia="en-US"/>
        </w:rPr>
        <w:drawing>
          <wp:inline distT="0" distB="0" distL="0" distR="0">
            <wp:extent cx="5048250" cy="33655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7"/>
                    <a:stretch>
                      <a:fillRect/>
                    </a:stretch>
                  </pic:blipFill>
                  <pic:spPr>
                    <a:xfrm>
                      <a:off x="0" y="0"/>
                      <a:ext cx="5061161" cy="3374106"/>
                    </a:xfrm>
                    <a:prstGeom prst="rect">
                      <a:avLst/>
                    </a:prstGeom>
                  </pic:spPr>
                </pic:pic>
              </a:graphicData>
            </a:graphic>
          </wp:inline>
        </w:drawing>
      </w:r>
    </w:p>
    <w:p>
      <w:pPr>
        <w:rPr>
          <w:rFonts w:asciiTheme="majorBidi" w:hAnsiTheme="majorBidi" w:cstheme="majorBidi"/>
          <w:color w:val="auto"/>
          <w:sz w:val="20"/>
          <w:szCs w:val="20"/>
          <w:lang w:val="en-US"/>
        </w:rPr>
      </w:pPr>
      <w:r>
        <w:rPr>
          <w:rFonts w:asciiTheme="majorBidi" w:hAnsiTheme="majorBidi" w:cstheme="majorBidi"/>
          <w:color w:val="auto"/>
          <w:sz w:val="20"/>
          <w:szCs w:val="20"/>
          <w:lang w:val="en-US"/>
        </w:rPr>
        <w:t>B: Sensitivity analysis of pooled prevalence of cardiovascular events among controls women with menopausal age of 50-54 years</w:t>
      </w:r>
    </w:p>
    <w:p>
      <w:pPr>
        <w:rPr>
          <w:rFonts w:asciiTheme="majorBidi" w:hAnsiTheme="majorBidi" w:cstheme="majorBidi"/>
          <w:color w:val="auto"/>
          <w:sz w:val="20"/>
          <w:szCs w:val="20"/>
          <w:lang w:val="en-US"/>
        </w:rPr>
      </w:pPr>
      <w:r>
        <w:rPr>
          <w:color w:val="auto"/>
          <w:lang w:val="en-US" w:eastAsia="en-US"/>
        </w:rPr>
        <w:drawing>
          <wp:inline distT="0" distB="0" distL="0" distR="0">
            <wp:extent cx="5105400" cy="340360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8"/>
                    <a:stretch>
                      <a:fillRect/>
                    </a:stretch>
                  </pic:blipFill>
                  <pic:spPr>
                    <a:xfrm>
                      <a:off x="0" y="0"/>
                      <a:ext cx="5161352" cy="3440901"/>
                    </a:xfrm>
                    <a:prstGeom prst="rect">
                      <a:avLst/>
                    </a:prstGeom>
                  </pic:spPr>
                </pic:pic>
              </a:graphicData>
            </a:graphic>
          </wp:inline>
        </w:drawing>
      </w:r>
    </w:p>
    <w:p>
      <w:pPr>
        <w:rPr>
          <w:rFonts w:asciiTheme="majorBidi" w:hAnsiTheme="majorBidi" w:cstheme="majorBidi"/>
          <w:color w:val="auto"/>
          <w:sz w:val="20"/>
          <w:szCs w:val="20"/>
          <w:lang w:val="en-US"/>
        </w:rPr>
      </w:pPr>
    </w:p>
    <w:p>
      <w:pPr>
        <w:rPr>
          <w:rFonts w:asciiTheme="majorBidi" w:hAnsiTheme="majorBidi" w:cstheme="majorBidi"/>
          <w:color w:val="auto"/>
          <w:sz w:val="20"/>
          <w:szCs w:val="20"/>
          <w:lang w:val="en-US"/>
        </w:rPr>
      </w:pPr>
    </w:p>
    <w:p>
      <w:pPr>
        <w:rPr>
          <w:rFonts w:asciiTheme="majorBidi" w:hAnsiTheme="majorBidi" w:cstheme="majorBidi"/>
          <w:color w:val="auto"/>
          <w:sz w:val="20"/>
          <w:szCs w:val="20"/>
          <w:lang w:val="en-US"/>
        </w:rPr>
      </w:pPr>
      <w:r>
        <w:rPr>
          <w:rFonts w:asciiTheme="majorBidi" w:hAnsiTheme="majorBidi" w:cstheme="majorBidi"/>
          <w:color w:val="auto"/>
          <w:sz w:val="20"/>
          <w:szCs w:val="20"/>
          <w:lang w:val="en-US"/>
        </w:rPr>
        <w:t>C: Sensitivity analysis of pooled hazard of cardiovascular events among POI vs. controls women with menopausal age of 50-54 years</w:t>
      </w:r>
    </w:p>
    <w:p>
      <w:pPr>
        <w:rPr>
          <w:rFonts w:asciiTheme="majorBidi" w:hAnsiTheme="majorBidi" w:cstheme="majorBidi"/>
          <w:color w:val="auto"/>
          <w:sz w:val="20"/>
          <w:szCs w:val="20"/>
          <w:lang w:val="en-US"/>
        </w:rPr>
      </w:pPr>
    </w:p>
    <w:p>
      <w:pPr>
        <w:rPr>
          <w:rFonts w:asciiTheme="majorBidi" w:hAnsiTheme="majorBidi" w:cstheme="majorBidi"/>
          <w:color w:val="auto"/>
          <w:sz w:val="20"/>
          <w:szCs w:val="20"/>
          <w:lang w:val="en-US"/>
        </w:rPr>
        <w:sectPr>
          <w:pgSz w:w="11906" w:h="16838"/>
          <w:pgMar w:top="1418" w:right="1418" w:bottom="1418" w:left="1418" w:header="709" w:footer="709" w:gutter="0"/>
          <w:cols w:space="708" w:num="1"/>
          <w:docGrid w:linePitch="360" w:charSpace="0"/>
        </w:sectPr>
      </w:pPr>
      <w:r>
        <w:rPr>
          <w:color w:val="auto"/>
          <w:lang w:val="en-US" w:eastAsia="en-US"/>
        </w:rPr>
        <w:drawing>
          <wp:inline distT="0" distB="0" distL="0" distR="0">
            <wp:extent cx="5452110" cy="3634740"/>
            <wp:effectExtent l="0" t="0" r="889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9"/>
                    <a:stretch>
                      <a:fillRect/>
                    </a:stretch>
                  </pic:blipFill>
                  <pic:spPr>
                    <a:xfrm>
                      <a:off x="0" y="0"/>
                      <a:ext cx="5480258" cy="3653505"/>
                    </a:xfrm>
                    <a:prstGeom prst="rect">
                      <a:avLst/>
                    </a:prstGeom>
                  </pic:spPr>
                </pic:pic>
              </a:graphicData>
            </a:graphic>
          </wp:inline>
        </w:drawing>
      </w:r>
    </w:p>
    <w:p>
      <w:pPr>
        <w:rPr>
          <w:rFonts w:asciiTheme="majorBidi" w:hAnsiTheme="majorBidi" w:cstheme="majorBidi"/>
          <w:color w:val="auto"/>
          <w:sz w:val="20"/>
          <w:szCs w:val="20"/>
          <w:lang w:val="en-US"/>
        </w:rPr>
      </w:pPr>
    </w:p>
    <w:bookmarkEnd w:id="1"/>
    <w:sectPr>
      <w:pgSz w:w="16838" w:h="11906" w:orient="landscape"/>
      <w:pgMar w:top="1418" w:right="1418" w:bottom="1418" w:left="1418"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script"/>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6" w:lineRule="auto"/>
      </w:pPr>
      <w:r>
        <w:separator/>
      </w:r>
    </w:p>
  </w:footnote>
  <w:footnote w:type="continuationSeparator" w:id="1">
    <w:p>
      <w:pPr>
        <w:spacing w:before="0" w:after="0" w:line="25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ocumentProtection w:enforcement="0"/>
  <w:defaultTabStop w:val="708"/>
  <w:hyphenationZone w:val="425"/>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ZlMDg5N2JhOGJkZjEzMDcyODMxNmU4OGY1YmI5OGMifQ=="/>
  </w:docVars>
  <w:rsids>
    <w:rsidRoot w:val="0013712B"/>
    <w:rsid w:val="000044B4"/>
    <w:rsid w:val="000071C9"/>
    <w:rsid w:val="000A60EB"/>
    <w:rsid w:val="000D6529"/>
    <w:rsid w:val="000D79CD"/>
    <w:rsid w:val="0013712B"/>
    <w:rsid w:val="001459C2"/>
    <w:rsid w:val="00161CE0"/>
    <w:rsid w:val="001E2B6B"/>
    <w:rsid w:val="00235067"/>
    <w:rsid w:val="002E6705"/>
    <w:rsid w:val="00391E74"/>
    <w:rsid w:val="003C07B7"/>
    <w:rsid w:val="003C5582"/>
    <w:rsid w:val="003D64A1"/>
    <w:rsid w:val="00420DA3"/>
    <w:rsid w:val="004B4BB2"/>
    <w:rsid w:val="004D2D9E"/>
    <w:rsid w:val="00576FA3"/>
    <w:rsid w:val="0059738A"/>
    <w:rsid w:val="00621B51"/>
    <w:rsid w:val="0062312D"/>
    <w:rsid w:val="00627F47"/>
    <w:rsid w:val="006E57CE"/>
    <w:rsid w:val="007C5D57"/>
    <w:rsid w:val="008044AD"/>
    <w:rsid w:val="0082158C"/>
    <w:rsid w:val="008A3E63"/>
    <w:rsid w:val="008E6AD1"/>
    <w:rsid w:val="00940CC1"/>
    <w:rsid w:val="00953B81"/>
    <w:rsid w:val="0098371D"/>
    <w:rsid w:val="009B48F3"/>
    <w:rsid w:val="009F0E76"/>
    <w:rsid w:val="009F63AF"/>
    <w:rsid w:val="00A04F9C"/>
    <w:rsid w:val="00A2301A"/>
    <w:rsid w:val="00A602A4"/>
    <w:rsid w:val="00A821D2"/>
    <w:rsid w:val="00A87923"/>
    <w:rsid w:val="00B03D6A"/>
    <w:rsid w:val="00B17F30"/>
    <w:rsid w:val="00B9496C"/>
    <w:rsid w:val="00B96751"/>
    <w:rsid w:val="00BE6E79"/>
    <w:rsid w:val="00C000E5"/>
    <w:rsid w:val="00C17075"/>
    <w:rsid w:val="00C61665"/>
    <w:rsid w:val="00C82995"/>
    <w:rsid w:val="00C95EFC"/>
    <w:rsid w:val="00C971C5"/>
    <w:rsid w:val="00CC143D"/>
    <w:rsid w:val="00D8441E"/>
    <w:rsid w:val="00D92422"/>
    <w:rsid w:val="00DA6014"/>
    <w:rsid w:val="00E801BD"/>
    <w:rsid w:val="00F57146"/>
    <w:rsid w:val="00FC157F"/>
    <w:rsid w:val="00FC3704"/>
    <w:rsid w:val="00FE6EB8"/>
    <w:rsid w:val="207C2E0D"/>
  </w:rsids>
  <m:mathPr>
    <m:mathFont m:val="Cambria Math"/>
    <m:brkBin m:val="before"/>
    <m:brkBinSub m:val="--"/>
    <m:smallFrac m:val="0"/>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6" w:lineRule="auto"/>
    </w:pPr>
    <w:rPr>
      <w:rFonts w:asciiTheme="minorHAnsi" w:hAnsiTheme="minorHAnsi" w:eastAsiaTheme="minorEastAsia" w:cstheme="minorBidi"/>
      <w:sz w:val="22"/>
      <w:szCs w:val="22"/>
      <w:lang w:val="nb-NO"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536"/>
        <w:tab w:val="right" w:pos="9072"/>
      </w:tabs>
      <w:spacing w:after="0" w:line="240" w:lineRule="auto"/>
    </w:pPr>
  </w:style>
  <w:style w:type="paragraph" w:styleId="3">
    <w:name w:val="header"/>
    <w:basedOn w:val="1"/>
    <w:link w:val="8"/>
    <w:unhideWhenUsed/>
    <w:qFormat/>
    <w:uiPriority w:val="99"/>
    <w:pPr>
      <w:tabs>
        <w:tab w:val="center" w:pos="4536"/>
        <w:tab w:val="right" w:pos="9072"/>
      </w:tabs>
      <w:spacing w:after="0" w:line="240" w:lineRule="auto"/>
    </w:pPr>
  </w:style>
  <w:style w:type="table" w:styleId="5">
    <w:name w:val="Table Grid"/>
    <w:basedOn w:val="4"/>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
    <w:name w:val="Table Grid1"/>
    <w:basedOn w:val="4"/>
    <w:qFormat/>
    <w:uiPriority w:val="59"/>
    <w:pPr>
      <w:spacing w:after="0" w:line="240" w:lineRule="auto"/>
    </w:pPr>
    <w:rPr>
      <w:rFonts w:eastAsiaTheme="minorHAnsi"/>
      <w:lang w:val="en-US"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Header Char"/>
    <w:basedOn w:val="6"/>
    <w:link w:val="3"/>
    <w:qFormat/>
    <w:uiPriority w:val="99"/>
  </w:style>
  <w:style w:type="character" w:customStyle="1" w:styleId="9">
    <w:name w:val="Footer Char"/>
    <w:basedOn w:val="6"/>
    <w:link w:val="2"/>
    <w:qFormat/>
    <w:uiPriority w:val="99"/>
  </w:style>
  <w:style w:type="paragraph" w:styleId="10">
    <w:name w:val="List Paragraph"/>
    <w:basedOn w:val="1"/>
    <w:qFormat/>
    <w:uiPriority w:val="34"/>
    <w:pPr>
      <w:spacing w:line="259" w:lineRule="auto"/>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727</Words>
  <Characters>3229</Characters>
  <Lines>28</Lines>
  <Paragraphs>8</Paragraphs>
  <TotalTime>0</TotalTime>
  <ScaleCrop>false</ScaleCrop>
  <LinksUpToDate>false</LinksUpToDate>
  <CharactersWithSpaces>3673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2022-12-20T10:38:00Z</dcterms:created>
  <dc:creator>Samira Behboudi Gandevani</dc:creator>
  <cp:lastModifiedBy>Editor</cp:lastModifiedBy>
  <dcterms:modified xsi:type="dcterms:W3CDTF">2023-05-05T01:22:06Z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31164DB36CFB422DA70E5FF50DB036BB</vt:lpwstr>
  </property>
</Properties>
</file>