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rPr>
          <w:sz w:val="24"/>
        </w:rPr>
      </w:pPr>
      <w:r>
        <w:rPr>
          <w:b/>
          <w:sz w:val="24"/>
        </w:rPr>
        <w:t>Supplementary Materials</w:t>
      </w:r>
    </w:p>
    <w:p>
      <w:pPr>
        <w:snapToGrid w:val="0"/>
        <w:spacing w:line="480" w:lineRule="auto"/>
        <w:jc w:val="left"/>
        <w:rPr>
          <w:sz w:val="24"/>
        </w:rPr>
      </w:pPr>
    </w:p>
    <w:p>
      <w:pPr>
        <w:snapToGrid w:val="0"/>
        <w:spacing w:line="480" w:lineRule="auto"/>
        <w:jc w:val="left"/>
        <w:rPr>
          <w:sz w:val="24"/>
        </w:rPr>
      </w:pPr>
      <w:r>
        <w:rPr>
          <w:sz w:val="24"/>
        </w:rPr>
        <w:t>Li et al. One-Year Safety and Effectiveness of Bivalirudin versus Heparin in Patients Undergoing Elective Percutaneous Coronary Intervention</w:t>
      </w:r>
    </w:p>
    <w:p>
      <w:pPr>
        <w:spacing w:line="480" w:lineRule="auto"/>
        <w:jc w:val="left"/>
        <w:rPr>
          <w:sz w:val="24"/>
        </w:rPr>
      </w:pPr>
    </w:p>
    <w:p>
      <w:pPr>
        <w:spacing w:line="480" w:lineRule="auto"/>
        <w:jc w:val="left"/>
        <w:rPr>
          <w:b/>
          <w:sz w:val="24"/>
        </w:rPr>
      </w:pPr>
      <w:r>
        <w:rPr>
          <w:b/>
          <w:sz w:val="24"/>
        </w:rPr>
        <w:t xml:space="preserve">Contents </w:t>
      </w:r>
    </w:p>
    <w:p>
      <w:pPr>
        <w:spacing w:line="480" w:lineRule="auto"/>
        <w:jc w:val="left"/>
        <w:rPr>
          <w:b/>
          <w:sz w:val="24"/>
        </w:rPr>
      </w:pPr>
      <w:r>
        <w:rPr>
          <w:b/>
          <w:sz w:val="24"/>
        </w:rPr>
        <w:t>Ⅰ. Supplementary Methods</w:t>
      </w:r>
    </w:p>
    <w:p>
      <w:pPr>
        <w:spacing w:line="480" w:lineRule="auto"/>
        <w:ind w:firstLine="240" w:firstLineChars="100"/>
        <w:jc w:val="left"/>
        <w:rPr>
          <w:sz w:val="24"/>
        </w:rPr>
      </w:pPr>
      <w:r>
        <w:rPr>
          <w:sz w:val="24"/>
        </w:rPr>
        <w:t>Statistical Analysis</w:t>
      </w:r>
    </w:p>
    <w:p>
      <w:pPr>
        <w:spacing w:line="480" w:lineRule="auto"/>
        <w:jc w:val="left"/>
        <w:rPr>
          <w:sz w:val="24"/>
        </w:rPr>
      </w:pPr>
      <w:r>
        <w:rPr>
          <w:b/>
          <w:sz w:val="24"/>
        </w:rPr>
        <w:t>Ⅱ. Supplementary Tables</w:t>
      </w:r>
    </w:p>
    <w:p>
      <w:pPr>
        <w:spacing w:line="480" w:lineRule="auto"/>
        <w:rPr>
          <w:bCs/>
          <w:sz w:val="24"/>
        </w:rPr>
      </w:pPr>
      <w:r>
        <w:rPr>
          <w:b/>
          <w:sz w:val="24"/>
        </w:rPr>
        <w:t>Table S1.</w:t>
      </w:r>
      <w:r>
        <w:rPr>
          <w:bCs/>
        </w:rPr>
        <w:t xml:space="preserve"> </w:t>
      </w:r>
      <w:r>
        <w:rPr>
          <w:bCs/>
          <w:sz w:val="24"/>
        </w:rPr>
        <w:t>Baseline characteristic before propensity score matching analysis</w:t>
      </w:r>
    </w:p>
    <w:p>
      <w:pPr>
        <w:spacing w:line="480" w:lineRule="auto"/>
        <w:jc w:val="left"/>
        <w:rPr>
          <w:kern w:val="0"/>
          <w:sz w:val="24"/>
          <w:szCs w:val="24"/>
        </w:rPr>
      </w:pPr>
      <w:r>
        <w:rPr>
          <w:b/>
          <w:bCs/>
          <w:sz w:val="24"/>
          <w:szCs w:val="24"/>
        </w:rPr>
        <w:t xml:space="preserve">Table S2. </w:t>
      </w:r>
      <w:r>
        <w:rPr>
          <w:kern w:val="0"/>
          <w:sz w:val="24"/>
          <w:szCs w:val="24"/>
        </w:rPr>
        <w:t>Univariate Cox regression of variables with clinical outcomes</w:t>
      </w:r>
    </w:p>
    <w:p>
      <w:pPr>
        <w:spacing w:line="480" w:lineRule="auto"/>
        <w:jc w:val="left"/>
        <w:rPr>
          <w:rFonts w:hint="eastAsia"/>
          <w:kern w:val="0"/>
          <w:sz w:val="24"/>
          <w:szCs w:val="24"/>
        </w:rPr>
      </w:pPr>
      <w:r>
        <w:rPr>
          <w:rFonts w:hint="eastAsia"/>
          <w:b/>
          <w:bCs/>
          <w:kern w:val="0"/>
          <w:sz w:val="24"/>
          <w:szCs w:val="24"/>
        </w:rPr>
        <w:t>Table S3.</w:t>
      </w:r>
      <w:r>
        <w:rPr>
          <w:rFonts w:hint="eastAsia"/>
          <w:kern w:val="0"/>
          <w:sz w:val="24"/>
          <w:szCs w:val="24"/>
        </w:rPr>
        <w:t xml:space="preserve"> One-year BARC type 3 or 5 bleeding of bivalirudin versus UFH</w:t>
      </w:r>
    </w:p>
    <w:p>
      <w:pPr>
        <w:spacing w:line="480" w:lineRule="auto"/>
        <w:rPr>
          <w:b/>
          <w:sz w:val="24"/>
        </w:rPr>
      </w:pPr>
    </w:p>
    <w:p>
      <w:pPr>
        <w:spacing w:line="480" w:lineRule="auto"/>
        <w:jc w:val="left"/>
        <w:rPr>
          <w:b/>
          <w:sz w:val="24"/>
        </w:rPr>
      </w:pPr>
      <w:r>
        <w:rPr>
          <w:b/>
          <w:bCs/>
        </w:rPr>
        <w:br w:type="page"/>
      </w:r>
      <w:r>
        <w:rPr>
          <w:b/>
          <w:sz w:val="24"/>
        </w:rPr>
        <w:t xml:space="preserve">Ⅰ. Supplementary Methods </w:t>
      </w:r>
    </w:p>
    <w:p>
      <w:pPr>
        <w:snapToGrid w:val="0"/>
        <w:spacing w:line="480" w:lineRule="auto"/>
        <w:jc w:val="left"/>
        <w:rPr>
          <w:sz w:val="24"/>
        </w:rPr>
      </w:pPr>
      <w:bookmarkStart w:id="0" w:name="_Hlk133988"/>
      <w:r>
        <w:rPr>
          <w:sz w:val="24"/>
        </w:rPr>
        <w:t>Statistical Analysis</w:t>
      </w:r>
    </w:p>
    <w:bookmarkEnd w:id="0"/>
    <w:p>
      <w:pPr>
        <w:spacing w:line="480" w:lineRule="auto"/>
        <w:rPr>
          <w:sz w:val="24"/>
          <w:szCs w:val="24"/>
        </w:rPr>
      </w:pPr>
      <w:r>
        <w:rPr>
          <w:sz w:val="24"/>
          <w:szCs w:val="24"/>
        </w:rPr>
        <w:t xml:space="preserve">Continuous variables with a normal distribution were expressed as mean ± standard deviation, and continuous variables with non-normally distribution were expressed as median with quartiles. Categorical variables were expressed as numbers (%). Student’s </w:t>
      </w:r>
      <w:r>
        <w:rPr>
          <w:i/>
          <w:iCs/>
          <w:sz w:val="24"/>
          <w:szCs w:val="24"/>
        </w:rPr>
        <w:t>t</w:t>
      </w:r>
      <w:r>
        <w:rPr>
          <w:sz w:val="24"/>
          <w:szCs w:val="24"/>
        </w:rPr>
        <w:t xml:space="preserve">-tests or Mann-Whitney </w:t>
      </w:r>
      <w:r>
        <w:rPr>
          <w:i/>
          <w:iCs/>
          <w:sz w:val="24"/>
          <w:szCs w:val="24"/>
        </w:rPr>
        <w:t>U</w:t>
      </w:r>
      <w:r>
        <w:rPr>
          <w:sz w:val="24"/>
          <w:szCs w:val="24"/>
        </w:rPr>
        <w:t xml:space="preserve"> tests were used to compare continuous variables while Chi-square tests were applied to compare categorical variables between the two groups. The patients in the 2 groups were matched with 17 significant variables of baseline characteristics [age, male, diabetes, hypertension, hyperlipidemia, chronic obstructive pulmonary disease, peripheral vascular disease (PVD), previous MI, previous PCI, previous cerebrovascular disease, family history of coronary heart disease, hemoglobin, platelet count, </w:t>
      </w:r>
      <w:bookmarkStart w:id="1" w:name="_Hlk112959615"/>
      <w:r>
        <w:rPr>
          <w:sz w:val="24"/>
          <w:szCs w:val="24"/>
        </w:rPr>
        <w:t>low-density lipoprotein cholesterol (LDL-C)</w:t>
      </w:r>
      <w:bookmarkEnd w:id="1"/>
      <w:r>
        <w:rPr>
          <w:sz w:val="24"/>
          <w:szCs w:val="24"/>
        </w:rPr>
        <w:t xml:space="preserve">, </w:t>
      </w:r>
      <w:bookmarkStart w:id="2" w:name="_Hlk112959639"/>
      <w:r>
        <w:rPr>
          <w:sz w:val="24"/>
          <w:szCs w:val="24"/>
        </w:rPr>
        <w:t>high-sensitivity C reactive protein</w:t>
      </w:r>
      <w:bookmarkEnd w:id="2"/>
      <w:r>
        <w:rPr>
          <w:sz w:val="24"/>
          <w:szCs w:val="24"/>
        </w:rPr>
        <w:t xml:space="preserve"> (hs-CRP), left ventricular ejection fraction and clopidogrel] in a 1:2 nearest neighbor manner with a caliper width equal to 0.02. All multivariate models were adjusted by the variables that showed significance in the corresponding univariate analysis. The multivariate model was adjusted for white blood cell count (WBC), LDL-C and PVD when endpoint was NACE.</w:t>
      </w:r>
      <w:r>
        <w:rPr>
          <w:rFonts w:hint="eastAsia"/>
          <w:sz w:val="24"/>
          <w:szCs w:val="24"/>
        </w:rPr>
        <w:t xml:space="preserve"> </w:t>
      </w:r>
      <w:r>
        <w:rPr>
          <w:sz w:val="24"/>
          <w:szCs w:val="24"/>
        </w:rPr>
        <w:t>The multivariate model was adjusted for age and hemoglobin when endpoint was bleeding.</w:t>
      </w:r>
      <w:r>
        <w:rPr>
          <w:rFonts w:hint="eastAsia"/>
          <w:sz w:val="24"/>
          <w:szCs w:val="24"/>
        </w:rPr>
        <w:t xml:space="preserve"> </w:t>
      </w:r>
      <w:r>
        <w:rPr>
          <w:sz w:val="24"/>
          <w:szCs w:val="24"/>
        </w:rPr>
        <w:t>The multivariate model was adjusted for WBC, platelet count, LDL-C and PVD when endpoint was MACCE. As for subgroup analysis, the multivariate model was adjusted for age and hemoglobin when compared with UFH (with or without GPI). The multivariate model was adjusted for age and PVD when compared with UFH with GPI. The multivariate model was adjusted for age, hemoglobin, and PVD when compared with UFH without GPI.</w:t>
      </w:r>
    </w:p>
    <w:p>
      <w:pPr>
        <w:spacing w:line="480" w:lineRule="auto"/>
        <w:rPr>
          <w:sz w:val="24"/>
          <w:szCs w:val="24"/>
        </w:rPr>
      </w:pPr>
    </w:p>
    <w:p>
      <w:pPr>
        <w:spacing w:line="480" w:lineRule="auto"/>
        <w:rPr>
          <w:sz w:val="24"/>
          <w:szCs w:val="24"/>
        </w:rPr>
      </w:pPr>
    </w:p>
    <w:p>
      <w:pPr>
        <w:spacing w:line="480" w:lineRule="auto"/>
        <w:rPr>
          <w:b/>
          <w:bCs/>
        </w:rPr>
      </w:pPr>
      <w:r>
        <w:rPr>
          <w:b/>
          <w:bCs/>
        </w:rPr>
        <w:br w:type="page"/>
      </w:r>
    </w:p>
    <w:p>
      <w:pPr>
        <w:spacing w:line="480" w:lineRule="auto"/>
        <w:rPr>
          <w:b/>
          <w:bCs/>
          <w:sz w:val="24"/>
          <w:szCs w:val="24"/>
        </w:rPr>
      </w:pPr>
      <w:r>
        <w:rPr>
          <w:b/>
          <w:sz w:val="24"/>
        </w:rPr>
        <w:t>Ⅱ. Supplementary Tables</w:t>
      </w:r>
    </w:p>
    <w:p>
      <w:pPr>
        <w:spacing w:line="480" w:lineRule="auto"/>
        <w:rPr>
          <w:sz w:val="24"/>
          <w:szCs w:val="24"/>
        </w:rPr>
      </w:pPr>
      <w:r>
        <w:rPr>
          <w:b/>
          <w:bCs/>
          <w:sz w:val="24"/>
          <w:szCs w:val="24"/>
        </w:rPr>
        <w:t xml:space="preserve">Table S1. </w:t>
      </w:r>
      <w:r>
        <w:rPr>
          <w:sz w:val="24"/>
          <w:szCs w:val="24"/>
        </w:rPr>
        <w:t xml:space="preserve">Baseline characteristic before </w:t>
      </w:r>
      <w:bookmarkStart w:id="3" w:name="_Hlk112924136"/>
      <w:r>
        <w:rPr>
          <w:sz w:val="24"/>
          <w:szCs w:val="24"/>
        </w:rPr>
        <w:t>propensity score matching</w:t>
      </w:r>
      <w:bookmarkEnd w:id="3"/>
      <w:r>
        <w:rPr>
          <w:sz w:val="24"/>
          <w:szCs w:val="24"/>
        </w:rPr>
        <w:t xml:space="preserve"> analysis</w:t>
      </w:r>
    </w:p>
    <w:tbl>
      <w:tblPr>
        <w:tblStyle w:val="6"/>
        <w:tblW w:w="529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9"/>
        <w:gridCol w:w="4267"/>
        <w:gridCol w:w="1666"/>
        <w:gridCol w:w="1640"/>
        <w:gridCol w:w="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24" w:type="pct"/>
            <w:gridSpan w:val="2"/>
          </w:tcPr>
          <w:p>
            <w:pPr>
              <w:adjustRightInd w:val="0"/>
              <w:snapToGrid w:val="0"/>
              <w:spacing w:line="245" w:lineRule="auto"/>
              <w:ind w:firstLine="0" w:firstLineChars="0"/>
              <w:jc w:val="left"/>
              <w:rPr>
                <w:bCs/>
                <w:sz w:val="21"/>
                <w:szCs w:val="21"/>
              </w:rPr>
            </w:pPr>
            <w:r>
              <w:rPr>
                <w:bCs/>
                <w:sz w:val="21"/>
                <w:szCs w:val="21"/>
              </w:rPr>
              <w:t>Parameters</w:t>
            </w:r>
          </w:p>
        </w:tc>
        <w:tc>
          <w:tcPr>
            <w:tcW w:w="923" w:type="pct"/>
          </w:tcPr>
          <w:p>
            <w:pPr>
              <w:adjustRightInd w:val="0"/>
              <w:snapToGrid w:val="0"/>
              <w:spacing w:line="245" w:lineRule="auto"/>
              <w:ind w:firstLine="0" w:firstLineChars="0"/>
              <w:rPr>
                <w:bCs/>
                <w:sz w:val="21"/>
                <w:szCs w:val="21"/>
              </w:rPr>
            </w:pPr>
            <w:r>
              <w:rPr>
                <w:bCs/>
                <w:sz w:val="21"/>
                <w:szCs w:val="21"/>
              </w:rPr>
              <w:t xml:space="preserve">Bivalirudin </w:t>
            </w:r>
          </w:p>
          <w:p>
            <w:pPr>
              <w:adjustRightInd w:val="0"/>
              <w:snapToGrid w:val="0"/>
              <w:spacing w:line="245" w:lineRule="auto"/>
              <w:ind w:firstLine="0" w:firstLineChars="0"/>
              <w:rPr>
                <w:bCs/>
                <w:sz w:val="21"/>
                <w:szCs w:val="21"/>
              </w:rPr>
            </w:pPr>
            <w:r>
              <w:rPr>
                <w:bCs/>
                <w:sz w:val="21"/>
                <w:szCs w:val="21"/>
              </w:rPr>
              <w:t xml:space="preserve">(n = </w:t>
            </w:r>
            <w:r>
              <w:rPr>
                <w:rFonts w:hint="eastAsia"/>
                <w:bCs/>
                <w:sz w:val="21"/>
                <w:szCs w:val="21"/>
              </w:rPr>
              <w:t>1152</w:t>
            </w:r>
            <w:r>
              <w:rPr>
                <w:bCs/>
                <w:sz w:val="21"/>
                <w:szCs w:val="21"/>
              </w:rPr>
              <w:t>)</w:t>
            </w:r>
          </w:p>
        </w:tc>
        <w:tc>
          <w:tcPr>
            <w:tcW w:w="908" w:type="pct"/>
          </w:tcPr>
          <w:p>
            <w:pPr>
              <w:adjustRightInd w:val="0"/>
              <w:snapToGrid w:val="0"/>
              <w:spacing w:line="245" w:lineRule="auto"/>
              <w:ind w:firstLine="0" w:firstLineChars="0"/>
              <w:rPr>
                <w:bCs/>
                <w:sz w:val="21"/>
                <w:szCs w:val="21"/>
              </w:rPr>
            </w:pPr>
            <w:r>
              <w:rPr>
                <w:bCs/>
                <w:sz w:val="21"/>
                <w:szCs w:val="21"/>
              </w:rPr>
              <w:t xml:space="preserve">UFH </w:t>
            </w:r>
          </w:p>
          <w:p>
            <w:pPr>
              <w:adjustRightInd w:val="0"/>
              <w:snapToGrid w:val="0"/>
              <w:spacing w:line="245" w:lineRule="auto"/>
              <w:ind w:firstLine="0" w:firstLineChars="0"/>
              <w:rPr>
                <w:bCs/>
                <w:sz w:val="21"/>
                <w:szCs w:val="21"/>
              </w:rPr>
            </w:pPr>
            <w:r>
              <w:rPr>
                <w:bCs/>
                <w:sz w:val="21"/>
                <w:szCs w:val="21"/>
              </w:rPr>
              <w:t xml:space="preserve">(n = </w:t>
            </w:r>
            <w:r>
              <w:rPr>
                <w:rFonts w:hint="eastAsia"/>
                <w:bCs/>
                <w:sz w:val="21"/>
                <w:szCs w:val="21"/>
              </w:rPr>
              <w:t>10,250</w:t>
            </w:r>
            <w:r>
              <w:rPr>
                <w:bCs/>
                <w:sz w:val="21"/>
                <w:szCs w:val="21"/>
              </w:rPr>
              <w:t>)</w:t>
            </w:r>
          </w:p>
        </w:tc>
        <w:tc>
          <w:tcPr>
            <w:tcW w:w="543" w:type="pct"/>
          </w:tcPr>
          <w:p>
            <w:pPr>
              <w:adjustRightInd w:val="0"/>
              <w:snapToGrid w:val="0"/>
              <w:spacing w:line="245" w:lineRule="auto"/>
              <w:ind w:firstLine="0" w:firstLineChars="0"/>
              <w:rPr>
                <w:bCs/>
                <w:sz w:val="21"/>
                <w:szCs w:val="21"/>
              </w:rPr>
            </w:pPr>
            <w:r>
              <w:rPr>
                <w:bCs/>
                <w:i/>
                <w:iCs/>
                <w:sz w:val="21"/>
                <w:szCs w:val="21"/>
              </w:rPr>
              <w:t>p</w:t>
            </w:r>
            <w:r>
              <w:rPr>
                <w:bCs/>
                <w:sz w:val="21"/>
                <w:szCs w:val="21"/>
              </w:rPr>
              <w:t xml:space="preserve"> value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24" w:type="pct"/>
            <w:gridSpan w:val="2"/>
          </w:tcPr>
          <w:p>
            <w:pPr>
              <w:adjustRightInd w:val="0"/>
              <w:snapToGrid w:val="0"/>
              <w:spacing w:line="245" w:lineRule="auto"/>
              <w:ind w:firstLine="0" w:firstLineChars="0"/>
              <w:jc w:val="left"/>
              <w:rPr>
                <w:sz w:val="21"/>
                <w:szCs w:val="21"/>
              </w:rPr>
            </w:pPr>
            <w:r>
              <w:rPr>
                <w:sz w:val="21"/>
                <w:szCs w:val="21"/>
              </w:rPr>
              <w:t>Demographic characteristics</w:t>
            </w:r>
          </w:p>
        </w:tc>
        <w:tc>
          <w:tcPr>
            <w:tcW w:w="923" w:type="pct"/>
          </w:tcPr>
          <w:p>
            <w:pPr>
              <w:adjustRightInd w:val="0"/>
              <w:snapToGrid w:val="0"/>
              <w:spacing w:line="245" w:lineRule="auto"/>
              <w:ind w:firstLine="0" w:firstLineChars="0"/>
              <w:rPr>
                <w:sz w:val="21"/>
                <w:szCs w:val="21"/>
              </w:rPr>
            </w:pPr>
          </w:p>
        </w:tc>
        <w:tc>
          <w:tcPr>
            <w:tcW w:w="908" w:type="pct"/>
          </w:tcPr>
          <w:p>
            <w:pPr>
              <w:adjustRightInd w:val="0"/>
              <w:snapToGrid w:val="0"/>
              <w:spacing w:line="245" w:lineRule="auto"/>
              <w:ind w:firstLine="0" w:firstLineChars="0"/>
              <w:rPr>
                <w:sz w:val="21"/>
                <w:szCs w:val="21"/>
              </w:rPr>
            </w:pPr>
          </w:p>
        </w:tc>
        <w:tc>
          <w:tcPr>
            <w:tcW w:w="543" w:type="pct"/>
          </w:tcPr>
          <w:p>
            <w:pPr>
              <w:adjustRightInd w:val="0"/>
              <w:snapToGrid w:val="0"/>
              <w:spacing w:line="245" w:lineRule="auto"/>
              <w:ind w:firstLine="0" w:firstLineChars="0"/>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 w:type="pct"/>
          </w:tcPr>
          <w:p>
            <w:pPr>
              <w:adjustRightInd w:val="0"/>
              <w:snapToGrid w:val="0"/>
              <w:spacing w:line="245" w:lineRule="auto"/>
              <w:ind w:firstLine="0" w:firstLineChars="0"/>
              <w:jc w:val="left"/>
              <w:rPr>
                <w:sz w:val="21"/>
                <w:szCs w:val="21"/>
              </w:rPr>
            </w:pPr>
          </w:p>
        </w:tc>
        <w:tc>
          <w:tcPr>
            <w:tcW w:w="2364" w:type="pct"/>
          </w:tcPr>
          <w:p>
            <w:pPr>
              <w:adjustRightInd w:val="0"/>
              <w:snapToGrid w:val="0"/>
              <w:spacing w:line="245" w:lineRule="auto"/>
              <w:ind w:firstLine="0" w:firstLineChars="0"/>
              <w:jc w:val="left"/>
              <w:rPr>
                <w:sz w:val="21"/>
                <w:szCs w:val="21"/>
              </w:rPr>
            </w:pPr>
            <w:r>
              <w:rPr>
                <w:sz w:val="21"/>
                <w:szCs w:val="21"/>
              </w:rPr>
              <w:t>Age (years)</w:t>
            </w:r>
          </w:p>
        </w:tc>
        <w:tc>
          <w:tcPr>
            <w:tcW w:w="923" w:type="pct"/>
          </w:tcPr>
          <w:p>
            <w:pPr>
              <w:adjustRightInd w:val="0"/>
              <w:snapToGrid w:val="0"/>
              <w:spacing w:line="245" w:lineRule="auto"/>
              <w:ind w:firstLine="0" w:firstLineChars="0"/>
              <w:rPr>
                <w:sz w:val="21"/>
                <w:szCs w:val="21"/>
              </w:rPr>
            </w:pPr>
            <w:r>
              <w:rPr>
                <w:rFonts w:hint="eastAsia"/>
                <w:sz w:val="21"/>
                <w:szCs w:val="21"/>
              </w:rPr>
              <w:t>68.60</w:t>
            </w:r>
            <w:r>
              <w:rPr>
                <w:rFonts w:hint="eastAsia"/>
                <w:sz w:val="21"/>
                <w:szCs w:val="21"/>
                <w:lang w:val="en-US" w:eastAsia="zh-CN"/>
              </w:rPr>
              <w:t xml:space="preserve"> </w:t>
            </w:r>
            <w:r>
              <w:rPr>
                <w:sz w:val="21"/>
                <w:szCs w:val="21"/>
              </w:rPr>
              <w:t>±</w:t>
            </w:r>
            <w:r>
              <w:rPr>
                <w:rFonts w:hint="eastAsia"/>
                <w:sz w:val="21"/>
                <w:szCs w:val="21"/>
                <w:lang w:val="en-US" w:eastAsia="zh-CN"/>
              </w:rPr>
              <w:t xml:space="preserve"> </w:t>
            </w:r>
            <w:r>
              <w:rPr>
                <w:rFonts w:hint="eastAsia"/>
                <w:sz w:val="21"/>
                <w:szCs w:val="21"/>
              </w:rPr>
              <w:t>10.07</w:t>
            </w:r>
          </w:p>
        </w:tc>
        <w:tc>
          <w:tcPr>
            <w:tcW w:w="908" w:type="pct"/>
          </w:tcPr>
          <w:p>
            <w:pPr>
              <w:adjustRightInd w:val="0"/>
              <w:snapToGrid w:val="0"/>
              <w:spacing w:line="245" w:lineRule="auto"/>
              <w:ind w:firstLine="0" w:firstLineChars="0"/>
              <w:rPr>
                <w:sz w:val="21"/>
                <w:szCs w:val="21"/>
              </w:rPr>
            </w:pPr>
            <w:r>
              <w:rPr>
                <w:rFonts w:hint="eastAsia"/>
                <w:sz w:val="21"/>
                <w:szCs w:val="21"/>
              </w:rPr>
              <w:t>58.33</w:t>
            </w:r>
            <w:r>
              <w:rPr>
                <w:rFonts w:hint="eastAsia"/>
                <w:sz w:val="21"/>
                <w:szCs w:val="21"/>
                <w:lang w:val="en-US" w:eastAsia="zh-CN"/>
              </w:rPr>
              <w:t xml:space="preserve"> </w:t>
            </w:r>
            <w:r>
              <w:rPr>
                <w:sz w:val="21"/>
                <w:szCs w:val="21"/>
              </w:rPr>
              <w:t>±</w:t>
            </w:r>
            <w:r>
              <w:rPr>
                <w:rFonts w:hint="eastAsia"/>
                <w:sz w:val="21"/>
                <w:szCs w:val="21"/>
                <w:lang w:val="en-US" w:eastAsia="zh-CN"/>
              </w:rPr>
              <w:t xml:space="preserve"> </w:t>
            </w:r>
            <w:r>
              <w:rPr>
                <w:rFonts w:hint="eastAsia"/>
                <w:sz w:val="21"/>
                <w:szCs w:val="21"/>
              </w:rPr>
              <w:t>10.23</w:t>
            </w:r>
          </w:p>
        </w:tc>
        <w:tc>
          <w:tcPr>
            <w:tcW w:w="543" w:type="pct"/>
          </w:tcPr>
          <w:p>
            <w:pPr>
              <w:adjustRightInd w:val="0"/>
              <w:snapToGrid w:val="0"/>
              <w:spacing w:line="245" w:lineRule="auto"/>
              <w:ind w:firstLine="0" w:firstLineChars="0"/>
              <w:rPr>
                <w:sz w:val="21"/>
                <w:szCs w:val="21"/>
              </w:rPr>
            </w:pPr>
            <w:r>
              <w:rPr>
                <w:rFonts w:hint="eastAsia"/>
                <w:sz w:val="21"/>
                <w:szCs w:val="21"/>
              </w:rPr>
              <w:t>&lt;0.001*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 w:type="pct"/>
          </w:tcPr>
          <w:p>
            <w:pPr>
              <w:adjustRightInd w:val="0"/>
              <w:snapToGrid w:val="0"/>
              <w:spacing w:line="245" w:lineRule="auto"/>
              <w:ind w:firstLine="0" w:firstLineChars="0"/>
              <w:jc w:val="left"/>
              <w:rPr>
                <w:sz w:val="21"/>
                <w:szCs w:val="21"/>
              </w:rPr>
            </w:pPr>
          </w:p>
        </w:tc>
        <w:tc>
          <w:tcPr>
            <w:tcW w:w="2364" w:type="pct"/>
          </w:tcPr>
          <w:p>
            <w:pPr>
              <w:adjustRightInd w:val="0"/>
              <w:snapToGrid w:val="0"/>
              <w:spacing w:line="245" w:lineRule="auto"/>
              <w:ind w:firstLine="0" w:firstLineChars="0"/>
              <w:jc w:val="left"/>
              <w:rPr>
                <w:sz w:val="21"/>
                <w:szCs w:val="21"/>
              </w:rPr>
            </w:pPr>
            <w:r>
              <w:rPr>
                <w:sz w:val="21"/>
                <w:szCs w:val="21"/>
              </w:rPr>
              <w:t>Male</w:t>
            </w:r>
          </w:p>
        </w:tc>
        <w:tc>
          <w:tcPr>
            <w:tcW w:w="923" w:type="pct"/>
          </w:tcPr>
          <w:p>
            <w:pPr>
              <w:adjustRightInd w:val="0"/>
              <w:snapToGrid w:val="0"/>
              <w:spacing w:line="245" w:lineRule="auto"/>
              <w:ind w:firstLine="0" w:firstLineChars="0"/>
              <w:rPr>
                <w:sz w:val="21"/>
                <w:szCs w:val="21"/>
              </w:rPr>
            </w:pPr>
            <w:r>
              <w:rPr>
                <w:rFonts w:hint="eastAsia"/>
                <w:sz w:val="21"/>
                <w:szCs w:val="21"/>
              </w:rPr>
              <w:t>781</w:t>
            </w:r>
            <w:r>
              <w:rPr>
                <w:rFonts w:hint="eastAsia"/>
                <w:sz w:val="21"/>
                <w:szCs w:val="21"/>
                <w:lang w:val="en-US" w:eastAsia="zh-CN"/>
              </w:rPr>
              <w:t xml:space="preserve"> </w:t>
            </w:r>
            <w:r>
              <w:rPr>
                <w:rFonts w:hint="eastAsia"/>
                <w:sz w:val="21"/>
                <w:szCs w:val="21"/>
              </w:rPr>
              <w:t>(67.8)</w:t>
            </w:r>
          </w:p>
        </w:tc>
        <w:tc>
          <w:tcPr>
            <w:tcW w:w="908" w:type="pct"/>
          </w:tcPr>
          <w:p>
            <w:pPr>
              <w:adjustRightInd w:val="0"/>
              <w:snapToGrid w:val="0"/>
              <w:spacing w:line="245" w:lineRule="auto"/>
              <w:ind w:firstLine="0" w:firstLineChars="0"/>
              <w:rPr>
                <w:sz w:val="21"/>
                <w:szCs w:val="21"/>
              </w:rPr>
            </w:pPr>
            <w:r>
              <w:rPr>
                <w:rFonts w:hint="eastAsia"/>
                <w:sz w:val="21"/>
                <w:szCs w:val="21"/>
              </w:rPr>
              <w:t>7899</w:t>
            </w:r>
            <w:r>
              <w:rPr>
                <w:rFonts w:hint="eastAsia"/>
                <w:sz w:val="21"/>
                <w:szCs w:val="21"/>
                <w:lang w:val="en-US" w:eastAsia="zh-CN"/>
              </w:rPr>
              <w:t xml:space="preserve"> </w:t>
            </w:r>
            <w:r>
              <w:rPr>
                <w:rFonts w:hint="eastAsia"/>
                <w:sz w:val="21"/>
                <w:szCs w:val="21"/>
              </w:rPr>
              <w:t>(77.1)</w:t>
            </w:r>
          </w:p>
        </w:tc>
        <w:tc>
          <w:tcPr>
            <w:tcW w:w="543" w:type="pct"/>
          </w:tcPr>
          <w:p>
            <w:pPr>
              <w:adjustRightInd w:val="0"/>
              <w:snapToGrid w:val="0"/>
              <w:spacing w:line="245" w:lineRule="auto"/>
              <w:ind w:firstLine="0" w:firstLineChars="0"/>
              <w:rPr>
                <w:sz w:val="21"/>
                <w:szCs w:val="21"/>
              </w:rPr>
            </w:pPr>
            <w:r>
              <w:rPr>
                <w:rFonts w:hint="eastAsia"/>
                <w:sz w:val="21"/>
                <w:szCs w:val="21"/>
              </w:rPr>
              <w:t>&lt;0.001*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 w:type="pct"/>
          </w:tcPr>
          <w:p>
            <w:pPr>
              <w:adjustRightInd w:val="0"/>
              <w:snapToGrid w:val="0"/>
              <w:spacing w:line="245" w:lineRule="auto"/>
              <w:ind w:firstLine="0" w:firstLineChars="0"/>
              <w:jc w:val="left"/>
              <w:rPr>
                <w:sz w:val="21"/>
                <w:szCs w:val="21"/>
              </w:rPr>
            </w:pPr>
          </w:p>
        </w:tc>
        <w:tc>
          <w:tcPr>
            <w:tcW w:w="2364" w:type="pct"/>
          </w:tcPr>
          <w:p>
            <w:pPr>
              <w:adjustRightInd w:val="0"/>
              <w:snapToGrid w:val="0"/>
              <w:spacing w:line="245" w:lineRule="auto"/>
              <w:ind w:firstLine="0" w:firstLineChars="0"/>
              <w:jc w:val="left"/>
              <w:rPr>
                <w:sz w:val="21"/>
                <w:szCs w:val="21"/>
              </w:rPr>
            </w:pPr>
            <w:r>
              <w:rPr>
                <w:sz w:val="21"/>
                <w:szCs w:val="21"/>
              </w:rPr>
              <w:t>Body mass index (kg/m</w:t>
            </w:r>
            <w:r>
              <w:rPr>
                <w:sz w:val="21"/>
                <w:szCs w:val="21"/>
                <w:vertAlign w:val="superscript"/>
              </w:rPr>
              <w:t>2</w:t>
            </w:r>
            <w:r>
              <w:rPr>
                <w:sz w:val="21"/>
                <w:szCs w:val="21"/>
              </w:rPr>
              <w:t>)</w:t>
            </w:r>
          </w:p>
        </w:tc>
        <w:tc>
          <w:tcPr>
            <w:tcW w:w="923" w:type="pct"/>
          </w:tcPr>
          <w:p>
            <w:pPr>
              <w:adjustRightInd w:val="0"/>
              <w:snapToGrid w:val="0"/>
              <w:spacing w:line="245" w:lineRule="auto"/>
              <w:ind w:firstLine="0" w:firstLineChars="0"/>
              <w:rPr>
                <w:sz w:val="21"/>
                <w:szCs w:val="21"/>
              </w:rPr>
            </w:pPr>
            <w:r>
              <w:rPr>
                <w:rFonts w:hint="eastAsia"/>
                <w:sz w:val="21"/>
                <w:szCs w:val="21"/>
              </w:rPr>
              <w:t>25.85</w:t>
            </w:r>
            <w:r>
              <w:rPr>
                <w:sz w:val="21"/>
                <w:szCs w:val="21"/>
              </w:rPr>
              <w:t xml:space="preserve"> ± </w:t>
            </w:r>
            <w:r>
              <w:rPr>
                <w:rFonts w:hint="eastAsia"/>
                <w:sz w:val="21"/>
                <w:szCs w:val="21"/>
              </w:rPr>
              <w:t>14.07</w:t>
            </w:r>
          </w:p>
        </w:tc>
        <w:tc>
          <w:tcPr>
            <w:tcW w:w="908" w:type="pct"/>
          </w:tcPr>
          <w:p>
            <w:pPr>
              <w:adjustRightInd w:val="0"/>
              <w:snapToGrid w:val="0"/>
              <w:spacing w:line="245" w:lineRule="auto"/>
              <w:ind w:firstLine="0" w:firstLineChars="0"/>
              <w:rPr>
                <w:rFonts w:hint="eastAsia" w:eastAsia="宋体"/>
                <w:sz w:val="21"/>
                <w:szCs w:val="21"/>
                <w:lang w:val="en-US" w:eastAsia="zh-CN"/>
              </w:rPr>
            </w:pPr>
            <w:r>
              <w:rPr>
                <w:rFonts w:hint="eastAsia"/>
                <w:sz w:val="21"/>
                <w:szCs w:val="21"/>
              </w:rPr>
              <w:t>25.92</w:t>
            </w:r>
            <w:r>
              <w:rPr>
                <w:sz w:val="21"/>
                <w:szCs w:val="21"/>
              </w:rPr>
              <w:t xml:space="preserve"> ± 3.1</w:t>
            </w:r>
            <w:r>
              <w:rPr>
                <w:rFonts w:hint="eastAsia"/>
                <w:sz w:val="21"/>
                <w:szCs w:val="21"/>
                <w:lang w:val="en-US" w:eastAsia="zh-CN"/>
              </w:rPr>
              <w:t>8</w:t>
            </w:r>
          </w:p>
        </w:tc>
        <w:tc>
          <w:tcPr>
            <w:tcW w:w="543" w:type="pct"/>
          </w:tcPr>
          <w:p>
            <w:pPr>
              <w:adjustRightInd w:val="0"/>
              <w:snapToGrid w:val="0"/>
              <w:spacing w:line="245" w:lineRule="auto"/>
              <w:ind w:firstLine="0" w:firstLineChars="0"/>
              <w:rPr>
                <w:sz w:val="21"/>
                <w:szCs w:val="21"/>
              </w:rPr>
            </w:pPr>
            <w:r>
              <w:rPr>
                <w:sz w:val="21"/>
                <w:szCs w:val="21"/>
              </w:rPr>
              <w:t>0.</w:t>
            </w:r>
            <w:r>
              <w:rPr>
                <w:rFonts w:hint="eastAsia"/>
                <w:sz w:val="21"/>
                <w:szCs w:val="21"/>
              </w:rPr>
              <w:t>864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24" w:type="pct"/>
            <w:gridSpan w:val="2"/>
          </w:tcPr>
          <w:p>
            <w:pPr>
              <w:adjustRightInd w:val="0"/>
              <w:snapToGrid w:val="0"/>
              <w:spacing w:line="245" w:lineRule="auto"/>
              <w:ind w:firstLine="0" w:firstLineChars="0"/>
              <w:jc w:val="left"/>
              <w:rPr>
                <w:sz w:val="21"/>
                <w:szCs w:val="21"/>
              </w:rPr>
            </w:pPr>
            <w:r>
              <w:rPr>
                <w:sz w:val="21"/>
                <w:szCs w:val="21"/>
              </w:rPr>
              <w:t>Cardiovascular risk factor</w:t>
            </w:r>
          </w:p>
        </w:tc>
        <w:tc>
          <w:tcPr>
            <w:tcW w:w="923" w:type="pct"/>
          </w:tcPr>
          <w:p>
            <w:pPr>
              <w:adjustRightInd w:val="0"/>
              <w:snapToGrid w:val="0"/>
              <w:spacing w:line="245" w:lineRule="auto"/>
              <w:ind w:firstLine="0" w:firstLineChars="0"/>
              <w:rPr>
                <w:sz w:val="21"/>
                <w:szCs w:val="21"/>
              </w:rPr>
            </w:pPr>
          </w:p>
        </w:tc>
        <w:tc>
          <w:tcPr>
            <w:tcW w:w="908" w:type="pct"/>
          </w:tcPr>
          <w:p>
            <w:pPr>
              <w:adjustRightInd w:val="0"/>
              <w:snapToGrid w:val="0"/>
              <w:spacing w:line="245" w:lineRule="auto"/>
              <w:ind w:firstLine="0" w:firstLineChars="0"/>
              <w:rPr>
                <w:sz w:val="21"/>
                <w:szCs w:val="21"/>
              </w:rPr>
            </w:pPr>
          </w:p>
        </w:tc>
        <w:tc>
          <w:tcPr>
            <w:tcW w:w="543" w:type="pct"/>
          </w:tcPr>
          <w:p>
            <w:pPr>
              <w:adjustRightInd w:val="0"/>
              <w:snapToGrid w:val="0"/>
              <w:spacing w:line="245" w:lineRule="auto"/>
              <w:ind w:firstLine="0" w:firstLineChars="0"/>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 w:type="pct"/>
          </w:tcPr>
          <w:p>
            <w:pPr>
              <w:adjustRightInd w:val="0"/>
              <w:snapToGrid w:val="0"/>
              <w:spacing w:line="245" w:lineRule="auto"/>
              <w:ind w:firstLine="0" w:firstLineChars="0"/>
              <w:jc w:val="left"/>
              <w:rPr>
                <w:sz w:val="21"/>
                <w:szCs w:val="21"/>
              </w:rPr>
            </w:pPr>
          </w:p>
        </w:tc>
        <w:tc>
          <w:tcPr>
            <w:tcW w:w="2364" w:type="pct"/>
          </w:tcPr>
          <w:p>
            <w:pPr>
              <w:adjustRightInd w:val="0"/>
              <w:snapToGrid w:val="0"/>
              <w:spacing w:line="245" w:lineRule="auto"/>
              <w:ind w:firstLine="0" w:firstLineChars="0"/>
              <w:jc w:val="left"/>
              <w:rPr>
                <w:sz w:val="21"/>
                <w:szCs w:val="21"/>
              </w:rPr>
            </w:pPr>
            <w:r>
              <w:rPr>
                <w:sz w:val="21"/>
                <w:szCs w:val="21"/>
              </w:rPr>
              <w:t>Diabetes</w:t>
            </w:r>
          </w:p>
        </w:tc>
        <w:tc>
          <w:tcPr>
            <w:tcW w:w="923" w:type="pct"/>
          </w:tcPr>
          <w:p>
            <w:pPr>
              <w:adjustRightInd w:val="0"/>
              <w:snapToGrid w:val="0"/>
              <w:spacing w:line="245" w:lineRule="auto"/>
              <w:ind w:firstLine="0" w:firstLineChars="0"/>
              <w:rPr>
                <w:rFonts w:hint="eastAsia" w:eastAsia="宋体"/>
                <w:sz w:val="21"/>
                <w:szCs w:val="21"/>
                <w:lang w:val="en-US" w:eastAsia="zh-CN"/>
              </w:rPr>
            </w:pPr>
            <w:r>
              <w:rPr>
                <w:rFonts w:hint="eastAsia"/>
                <w:sz w:val="21"/>
                <w:szCs w:val="21"/>
                <w:lang w:val="en-US" w:eastAsia="zh-CN"/>
              </w:rPr>
              <w:t>472 (41.0)</w:t>
            </w:r>
          </w:p>
        </w:tc>
        <w:tc>
          <w:tcPr>
            <w:tcW w:w="908" w:type="pct"/>
          </w:tcPr>
          <w:p>
            <w:pPr>
              <w:adjustRightInd w:val="0"/>
              <w:snapToGrid w:val="0"/>
              <w:spacing w:line="245" w:lineRule="auto"/>
              <w:ind w:firstLine="0" w:firstLineChars="0"/>
              <w:rPr>
                <w:sz w:val="21"/>
                <w:szCs w:val="21"/>
              </w:rPr>
            </w:pPr>
            <w:r>
              <w:rPr>
                <w:rFonts w:hint="eastAsia"/>
                <w:sz w:val="21"/>
                <w:szCs w:val="21"/>
              </w:rPr>
              <w:t>3111</w:t>
            </w:r>
            <w:r>
              <w:rPr>
                <w:rFonts w:hint="eastAsia"/>
                <w:sz w:val="21"/>
                <w:szCs w:val="21"/>
                <w:lang w:val="en-US" w:eastAsia="zh-CN"/>
              </w:rPr>
              <w:t xml:space="preserve"> </w:t>
            </w:r>
            <w:r>
              <w:rPr>
                <w:rFonts w:hint="eastAsia"/>
                <w:sz w:val="21"/>
                <w:szCs w:val="21"/>
              </w:rPr>
              <w:t>(30.4)</w:t>
            </w:r>
          </w:p>
        </w:tc>
        <w:tc>
          <w:tcPr>
            <w:tcW w:w="543" w:type="pct"/>
          </w:tcPr>
          <w:p>
            <w:pPr>
              <w:adjustRightInd w:val="0"/>
              <w:snapToGrid w:val="0"/>
              <w:spacing w:line="245" w:lineRule="auto"/>
              <w:ind w:firstLine="0" w:firstLineChars="0"/>
              <w:rPr>
                <w:sz w:val="21"/>
                <w:szCs w:val="21"/>
              </w:rPr>
            </w:pPr>
            <w:r>
              <w:rPr>
                <w:sz w:val="21"/>
                <w:szCs w:val="21"/>
              </w:rPr>
              <w:t>&lt;0.001</w:t>
            </w:r>
            <w:r>
              <w:rPr>
                <w:rFonts w:hint="eastAsia"/>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 w:type="pct"/>
          </w:tcPr>
          <w:p>
            <w:pPr>
              <w:adjustRightInd w:val="0"/>
              <w:snapToGrid w:val="0"/>
              <w:spacing w:line="245" w:lineRule="auto"/>
              <w:ind w:firstLine="0" w:firstLineChars="0"/>
              <w:jc w:val="left"/>
              <w:rPr>
                <w:sz w:val="21"/>
                <w:szCs w:val="21"/>
              </w:rPr>
            </w:pPr>
          </w:p>
        </w:tc>
        <w:tc>
          <w:tcPr>
            <w:tcW w:w="2364" w:type="pct"/>
          </w:tcPr>
          <w:p>
            <w:pPr>
              <w:adjustRightInd w:val="0"/>
              <w:snapToGrid w:val="0"/>
              <w:spacing w:line="245" w:lineRule="auto"/>
              <w:ind w:firstLine="0" w:firstLineChars="0"/>
              <w:jc w:val="left"/>
              <w:rPr>
                <w:sz w:val="21"/>
                <w:szCs w:val="21"/>
              </w:rPr>
            </w:pPr>
            <w:r>
              <w:rPr>
                <w:sz w:val="21"/>
                <w:szCs w:val="21"/>
              </w:rPr>
              <w:t>Hypertension</w:t>
            </w:r>
          </w:p>
        </w:tc>
        <w:tc>
          <w:tcPr>
            <w:tcW w:w="923" w:type="pct"/>
          </w:tcPr>
          <w:p>
            <w:pPr>
              <w:adjustRightInd w:val="0"/>
              <w:snapToGrid w:val="0"/>
              <w:spacing w:line="245" w:lineRule="auto"/>
              <w:ind w:firstLine="0" w:firstLineChars="0"/>
              <w:rPr>
                <w:sz w:val="21"/>
                <w:szCs w:val="21"/>
              </w:rPr>
            </w:pPr>
            <w:r>
              <w:rPr>
                <w:rFonts w:hint="eastAsia"/>
                <w:sz w:val="21"/>
                <w:szCs w:val="21"/>
              </w:rPr>
              <w:t>832</w:t>
            </w:r>
            <w:r>
              <w:rPr>
                <w:rFonts w:hint="eastAsia"/>
                <w:sz w:val="21"/>
                <w:szCs w:val="21"/>
                <w:lang w:val="en-US" w:eastAsia="zh-CN"/>
              </w:rPr>
              <w:t xml:space="preserve"> </w:t>
            </w:r>
            <w:r>
              <w:rPr>
                <w:rFonts w:hint="eastAsia"/>
                <w:sz w:val="21"/>
                <w:szCs w:val="21"/>
              </w:rPr>
              <w:t>(72.2)</w:t>
            </w:r>
          </w:p>
        </w:tc>
        <w:tc>
          <w:tcPr>
            <w:tcW w:w="908" w:type="pct"/>
          </w:tcPr>
          <w:p>
            <w:pPr>
              <w:adjustRightInd w:val="0"/>
              <w:snapToGrid w:val="0"/>
              <w:spacing w:line="245" w:lineRule="auto"/>
              <w:ind w:firstLine="0" w:firstLineChars="0"/>
              <w:rPr>
                <w:sz w:val="21"/>
                <w:szCs w:val="21"/>
              </w:rPr>
            </w:pPr>
            <w:r>
              <w:rPr>
                <w:rFonts w:hint="eastAsia"/>
                <w:sz w:val="21"/>
                <w:szCs w:val="21"/>
              </w:rPr>
              <w:t>6605</w:t>
            </w:r>
            <w:r>
              <w:rPr>
                <w:rFonts w:hint="eastAsia"/>
                <w:sz w:val="21"/>
                <w:szCs w:val="21"/>
                <w:lang w:val="en-US" w:eastAsia="zh-CN"/>
              </w:rPr>
              <w:t xml:space="preserve"> </w:t>
            </w:r>
            <w:r>
              <w:rPr>
                <w:rFonts w:hint="eastAsia"/>
                <w:sz w:val="21"/>
                <w:szCs w:val="21"/>
              </w:rPr>
              <w:t>(64.4)</w:t>
            </w:r>
          </w:p>
        </w:tc>
        <w:tc>
          <w:tcPr>
            <w:tcW w:w="543" w:type="pct"/>
          </w:tcPr>
          <w:p>
            <w:pPr>
              <w:adjustRightInd w:val="0"/>
              <w:snapToGrid w:val="0"/>
              <w:spacing w:line="245" w:lineRule="auto"/>
              <w:ind w:firstLine="0" w:firstLineChars="0"/>
              <w:rPr>
                <w:sz w:val="21"/>
                <w:szCs w:val="21"/>
              </w:rPr>
            </w:pPr>
            <w:r>
              <w:rPr>
                <w:sz w:val="21"/>
                <w:szCs w:val="21"/>
              </w:rPr>
              <w:t>&lt;0.001</w:t>
            </w:r>
            <w:r>
              <w:rPr>
                <w:rFonts w:hint="eastAsia"/>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 w:type="pct"/>
          </w:tcPr>
          <w:p>
            <w:pPr>
              <w:adjustRightInd w:val="0"/>
              <w:snapToGrid w:val="0"/>
              <w:spacing w:line="245" w:lineRule="auto"/>
              <w:ind w:firstLine="0" w:firstLineChars="0"/>
              <w:jc w:val="left"/>
              <w:rPr>
                <w:sz w:val="21"/>
                <w:szCs w:val="21"/>
              </w:rPr>
            </w:pPr>
          </w:p>
        </w:tc>
        <w:tc>
          <w:tcPr>
            <w:tcW w:w="2364" w:type="pct"/>
          </w:tcPr>
          <w:p>
            <w:pPr>
              <w:adjustRightInd w:val="0"/>
              <w:snapToGrid w:val="0"/>
              <w:spacing w:line="245" w:lineRule="auto"/>
              <w:ind w:firstLine="0" w:firstLineChars="0"/>
              <w:jc w:val="left"/>
              <w:rPr>
                <w:sz w:val="21"/>
                <w:szCs w:val="21"/>
              </w:rPr>
            </w:pPr>
            <w:r>
              <w:rPr>
                <w:sz w:val="21"/>
                <w:szCs w:val="21"/>
              </w:rPr>
              <w:t>Hyperlipidemia</w:t>
            </w:r>
          </w:p>
        </w:tc>
        <w:tc>
          <w:tcPr>
            <w:tcW w:w="923" w:type="pct"/>
          </w:tcPr>
          <w:p>
            <w:pPr>
              <w:adjustRightInd w:val="0"/>
              <w:snapToGrid w:val="0"/>
              <w:spacing w:line="245" w:lineRule="auto"/>
              <w:ind w:firstLine="0" w:firstLineChars="0"/>
              <w:rPr>
                <w:sz w:val="21"/>
                <w:szCs w:val="21"/>
              </w:rPr>
            </w:pPr>
            <w:r>
              <w:rPr>
                <w:rFonts w:hint="eastAsia"/>
                <w:sz w:val="21"/>
                <w:szCs w:val="21"/>
              </w:rPr>
              <w:t>863</w:t>
            </w:r>
            <w:r>
              <w:rPr>
                <w:rFonts w:hint="eastAsia"/>
                <w:sz w:val="21"/>
                <w:szCs w:val="21"/>
                <w:lang w:val="en-US" w:eastAsia="zh-CN"/>
              </w:rPr>
              <w:t xml:space="preserve"> </w:t>
            </w:r>
            <w:r>
              <w:rPr>
                <w:rFonts w:hint="eastAsia"/>
                <w:sz w:val="21"/>
                <w:szCs w:val="21"/>
              </w:rPr>
              <w:t>(74.9)</w:t>
            </w:r>
          </w:p>
        </w:tc>
        <w:tc>
          <w:tcPr>
            <w:tcW w:w="908" w:type="pct"/>
          </w:tcPr>
          <w:p>
            <w:pPr>
              <w:adjustRightInd w:val="0"/>
              <w:snapToGrid w:val="0"/>
              <w:spacing w:line="245" w:lineRule="auto"/>
              <w:ind w:firstLine="0" w:firstLineChars="0"/>
              <w:rPr>
                <w:sz w:val="21"/>
                <w:szCs w:val="21"/>
              </w:rPr>
            </w:pPr>
            <w:r>
              <w:rPr>
                <w:rFonts w:hint="eastAsia"/>
                <w:sz w:val="21"/>
                <w:szCs w:val="21"/>
              </w:rPr>
              <w:t>6917</w:t>
            </w:r>
            <w:r>
              <w:rPr>
                <w:rFonts w:hint="eastAsia"/>
                <w:sz w:val="21"/>
                <w:szCs w:val="21"/>
                <w:lang w:val="en-US" w:eastAsia="zh-CN"/>
              </w:rPr>
              <w:t xml:space="preserve"> </w:t>
            </w:r>
            <w:r>
              <w:rPr>
                <w:rFonts w:hint="eastAsia"/>
                <w:sz w:val="21"/>
                <w:szCs w:val="21"/>
              </w:rPr>
              <w:t>(67.5)</w:t>
            </w:r>
          </w:p>
        </w:tc>
        <w:tc>
          <w:tcPr>
            <w:tcW w:w="543" w:type="pct"/>
          </w:tcPr>
          <w:p>
            <w:pPr>
              <w:adjustRightInd w:val="0"/>
              <w:snapToGrid w:val="0"/>
              <w:spacing w:line="245" w:lineRule="auto"/>
              <w:ind w:firstLine="0" w:firstLineChars="0"/>
              <w:rPr>
                <w:sz w:val="21"/>
                <w:szCs w:val="21"/>
              </w:rPr>
            </w:pPr>
            <w:r>
              <w:rPr>
                <w:sz w:val="21"/>
                <w:szCs w:val="21"/>
              </w:rPr>
              <w:t>&lt;0.001</w:t>
            </w:r>
            <w:r>
              <w:rPr>
                <w:rFonts w:hint="eastAsia"/>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 w:type="pct"/>
          </w:tcPr>
          <w:p>
            <w:pPr>
              <w:adjustRightInd w:val="0"/>
              <w:snapToGrid w:val="0"/>
              <w:spacing w:line="245" w:lineRule="auto"/>
              <w:ind w:firstLine="0" w:firstLineChars="0"/>
              <w:jc w:val="left"/>
              <w:rPr>
                <w:sz w:val="21"/>
                <w:szCs w:val="21"/>
              </w:rPr>
            </w:pPr>
          </w:p>
        </w:tc>
        <w:tc>
          <w:tcPr>
            <w:tcW w:w="2364" w:type="pct"/>
          </w:tcPr>
          <w:p>
            <w:pPr>
              <w:adjustRightInd w:val="0"/>
              <w:snapToGrid w:val="0"/>
              <w:spacing w:line="245" w:lineRule="auto"/>
              <w:ind w:firstLine="0" w:firstLineChars="0"/>
              <w:jc w:val="left"/>
              <w:rPr>
                <w:sz w:val="21"/>
                <w:szCs w:val="21"/>
              </w:rPr>
            </w:pPr>
            <w:r>
              <w:rPr>
                <w:sz w:val="21"/>
                <w:szCs w:val="21"/>
              </w:rPr>
              <w:t>Chronic obstructive pulmonary disease</w:t>
            </w:r>
          </w:p>
        </w:tc>
        <w:tc>
          <w:tcPr>
            <w:tcW w:w="923" w:type="pct"/>
          </w:tcPr>
          <w:p>
            <w:pPr>
              <w:adjustRightInd w:val="0"/>
              <w:snapToGrid w:val="0"/>
              <w:spacing w:line="245" w:lineRule="auto"/>
              <w:ind w:firstLine="0" w:firstLineChars="0"/>
              <w:rPr>
                <w:sz w:val="21"/>
                <w:szCs w:val="21"/>
              </w:rPr>
            </w:pPr>
            <w:r>
              <w:rPr>
                <w:rFonts w:hint="eastAsia"/>
                <w:sz w:val="21"/>
                <w:szCs w:val="21"/>
              </w:rPr>
              <w:t>11(1.0)</w:t>
            </w:r>
          </w:p>
        </w:tc>
        <w:tc>
          <w:tcPr>
            <w:tcW w:w="908" w:type="pct"/>
          </w:tcPr>
          <w:p>
            <w:pPr>
              <w:adjustRightInd w:val="0"/>
              <w:snapToGrid w:val="0"/>
              <w:spacing w:line="245" w:lineRule="auto"/>
              <w:ind w:firstLine="0" w:firstLineChars="0"/>
              <w:rPr>
                <w:sz w:val="21"/>
                <w:szCs w:val="21"/>
              </w:rPr>
            </w:pPr>
            <w:r>
              <w:rPr>
                <w:rFonts w:hint="eastAsia"/>
                <w:sz w:val="21"/>
                <w:szCs w:val="21"/>
              </w:rPr>
              <w:t>239</w:t>
            </w:r>
            <w:r>
              <w:rPr>
                <w:rFonts w:hint="eastAsia"/>
                <w:sz w:val="21"/>
                <w:szCs w:val="21"/>
                <w:lang w:val="en-US" w:eastAsia="zh-CN"/>
              </w:rPr>
              <w:t xml:space="preserve"> </w:t>
            </w:r>
            <w:r>
              <w:rPr>
                <w:rFonts w:hint="eastAsia"/>
                <w:sz w:val="21"/>
                <w:szCs w:val="21"/>
              </w:rPr>
              <w:t>(2.3)</w:t>
            </w:r>
          </w:p>
        </w:tc>
        <w:tc>
          <w:tcPr>
            <w:tcW w:w="543" w:type="pct"/>
          </w:tcPr>
          <w:p>
            <w:pPr>
              <w:adjustRightInd w:val="0"/>
              <w:snapToGrid w:val="0"/>
              <w:spacing w:line="245" w:lineRule="auto"/>
              <w:ind w:firstLine="0" w:firstLineChars="0"/>
              <w:rPr>
                <w:rFonts w:hint="eastAsia" w:eastAsia="宋体"/>
                <w:sz w:val="21"/>
                <w:szCs w:val="21"/>
                <w:lang w:val="en-US" w:eastAsia="zh-CN"/>
              </w:rPr>
            </w:pPr>
            <w:r>
              <w:rPr>
                <w:sz w:val="21"/>
                <w:szCs w:val="21"/>
              </w:rPr>
              <w:t>0.</w:t>
            </w:r>
            <w:r>
              <w:rPr>
                <w:rFonts w:hint="eastAsia"/>
                <w:sz w:val="21"/>
                <w:szCs w:val="21"/>
                <w:lang w:val="en-US" w:eastAsia="zh-CN"/>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 w:type="pct"/>
          </w:tcPr>
          <w:p>
            <w:pPr>
              <w:adjustRightInd w:val="0"/>
              <w:snapToGrid w:val="0"/>
              <w:spacing w:line="245" w:lineRule="auto"/>
              <w:ind w:firstLine="0" w:firstLineChars="0"/>
              <w:jc w:val="left"/>
              <w:rPr>
                <w:sz w:val="21"/>
                <w:szCs w:val="21"/>
              </w:rPr>
            </w:pPr>
          </w:p>
        </w:tc>
        <w:tc>
          <w:tcPr>
            <w:tcW w:w="2364" w:type="pct"/>
          </w:tcPr>
          <w:p>
            <w:pPr>
              <w:adjustRightInd w:val="0"/>
              <w:snapToGrid w:val="0"/>
              <w:spacing w:line="245" w:lineRule="auto"/>
              <w:ind w:firstLine="0" w:firstLineChars="0"/>
              <w:jc w:val="left"/>
              <w:rPr>
                <w:sz w:val="21"/>
                <w:szCs w:val="21"/>
              </w:rPr>
            </w:pPr>
            <w:r>
              <w:rPr>
                <w:sz w:val="21"/>
                <w:szCs w:val="21"/>
              </w:rPr>
              <w:t>Peripheral vascular disease</w:t>
            </w:r>
          </w:p>
        </w:tc>
        <w:tc>
          <w:tcPr>
            <w:tcW w:w="923" w:type="pct"/>
          </w:tcPr>
          <w:p>
            <w:pPr>
              <w:adjustRightInd w:val="0"/>
              <w:snapToGrid w:val="0"/>
              <w:spacing w:line="245" w:lineRule="auto"/>
              <w:ind w:firstLine="0" w:firstLineChars="0"/>
              <w:rPr>
                <w:sz w:val="21"/>
                <w:szCs w:val="21"/>
              </w:rPr>
            </w:pPr>
            <w:r>
              <w:rPr>
                <w:rFonts w:hint="eastAsia"/>
                <w:sz w:val="21"/>
                <w:szCs w:val="21"/>
              </w:rPr>
              <w:t>113</w:t>
            </w:r>
            <w:r>
              <w:rPr>
                <w:rFonts w:hint="eastAsia"/>
                <w:sz w:val="21"/>
                <w:szCs w:val="21"/>
                <w:lang w:val="en-US" w:eastAsia="zh-CN"/>
              </w:rPr>
              <w:t xml:space="preserve"> </w:t>
            </w:r>
            <w:r>
              <w:rPr>
                <w:rFonts w:hint="eastAsia"/>
                <w:sz w:val="21"/>
                <w:szCs w:val="21"/>
              </w:rPr>
              <w:t>(9.8)</w:t>
            </w:r>
          </w:p>
        </w:tc>
        <w:tc>
          <w:tcPr>
            <w:tcW w:w="908" w:type="pct"/>
          </w:tcPr>
          <w:p>
            <w:pPr>
              <w:adjustRightInd w:val="0"/>
              <w:snapToGrid w:val="0"/>
              <w:spacing w:line="245" w:lineRule="auto"/>
              <w:ind w:firstLine="0" w:firstLineChars="0"/>
              <w:rPr>
                <w:sz w:val="21"/>
                <w:szCs w:val="21"/>
              </w:rPr>
            </w:pPr>
            <w:r>
              <w:rPr>
                <w:rFonts w:hint="eastAsia"/>
                <w:sz w:val="21"/>
                <w:szCs w:val="21"/>
              </w:rPr>
              <w:t>227</w:t>
            </w:r>
            <w:r>
              <w:rPr>
                <w:rFonts w:hint="eastAsia"/>
                <w:sz w:val="21"/>
                <w:szCs w:val="21"/>
                <w:lang w:val="en-US" w:eastAsia="zh-CN"/>
              </w:rPr>
              <w:t xml:space="preserve"> </w:t>
            </w:r>
            <w:r>
              <w:rPr>
                <w:rFonts w:hint="eastAsia"/>
                <w:sz w:val="21"/>
                <w:szCs w:val="21"/>
              </w:rPr>
              <w:t>(2.7)</w:t>
            </w:r>
          </w:p>
        </w:tc>
        <w:tc>
          <w:tcPr>
            <w:tcW w:w="543" w:type="pct"/>
          </w:tcPr>
          <w:p>
            <w:pPr>
              <w:adjustRightInd w:val="0"/>
              <w:snapToGrid w:val="0"/>
              <w:spacing w:line="245" w:lineRule="auto"/>
              <w:ind w:firstLine="0" w:firstLineChars="0"/>
              <w:rPr>
                <w:rFonts w:hint="default" w:eastAsia="宋体"/>
                <w:sz w:val="21"/>
                <w:szCs w:val="21"/>
                <w:lang w:val="en-US" w:eastAsia="zh-CN"/>
              </w:rPr>
            </w:pPr>
            <w:r>
              <w:rPr>
                <w:sz w:val="21"/>
                <w:szCs w:val="21"/>
              </w:rPr>
              <w:t>&lt;0.001</w:t>
            </w:r>
            <w:r>
              <w:rPr>
                <w:rFonts w:hint="eastAsia"/>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 w:type="pct"/>
          </w:tcPr>
          <w:p>
            <w:pPr>
              <w:adjustRightInd w:val="0"/>
              <w:snapToGrid w:val="0"/>
              <w:spacing w:line="245" w:lineRule="auto"/>
              <w:ind w:firstLine="0" w:firstLineChars="0"/>
              <w:jc w:val="left"/>
              <w:rPr>
                <w:sz w:val="21"/>
                <w:szCs w:val="21"/>
              </w:rPr>
            </w:pPr>
          </w:p>
        </w:tc>
        <w:tc>
          <w:tcPr>
            <w:tcW w:w="2364" w:type="pct"/>
          </w:tcPr>
          <w:p>
            <w:pPr>
              <w:adjustRightInd w:val="0"/>
              <w:snapToGrid w:val="0"/>
              <w:spacing w:line="245" w:lineRule="auto"/>
              <w:ind w:firstLine="0" w:firstLineChars="0"/>
              <w:jc w:val="left"/>
              <w:rPr>
                <w:sz w:val="21"/>
                <w:szCs w:val="21"/>
              </w:rPr>
            </w:pPr>
            <w:r>
              <w:rPr>
                <w:sz w:val="21"/>
                <w:szCs w:val="21"/>
              </w:rPr>
              <w:t>Current/former smoker</w:t>
            </w:r>
          </w:p>
        </w:tc>
        <w:tc>
          <w:tcPr>
            <w:tcW w:w="923" w:type="pct"/>
          </w:tcPr>
          <w:p>
            <w:pPr>
              <w:adjustRightInd w:val="0"/>
              <w:snapToGrid w:val="0"/>
              <w:spacing w:line="245" w:lineRule="auto"/>
              <w:ind w:firstLine="0" w:firstLineChars="0"/>
              <w:rPr>
                <w:sz w:val="21"/>
                <w:szCs w:val="21"/>
              </w:rPr>
            </w:pPr>
            <w:r>
              <w:rPr>
                <w:rFonts w:hint="eastAsia"/>
                <w:sz w:val="21"/>
                <w:szCs w:val="21"/>
              </w:rPr>
              <w:t>650</w:t>
            </w:r>
            <w:r>
              <w:rPr>
                <w:rFonts w:hint="eastAsia"/>
                <w:sz w:val="21"/>
                <w:szCs w:val="21"/>
                <w:lang w:val="en-US" w:eastAsia="zh-CN"/>
              </w:rPr>
              <w:t xml:space="preserve"> </w:t>
            </w:r>
            <w:r>
              <w:rPr>
                <w:rFonts w:hint="eastAsia"/>
                <w:sz w:val="21"/>
                <w:szCs w:val="21"/>
              </w:rPr>
              <w:t>(56.4)</w:t>
            </w:r>
          </w:p>
        </w:tc>
        <w:tc>
          <w:tcPr>
            <w:tcW w:w="908" w:type="pct"/>
          </w:tcPr>
          <w:p>
            <w:pPr>
              <w:adjustRightInd w:val="0"/>
              <w:snapToGrid w:val="0"/>
              <w:spacing w:line="245" w:lineRule="auto"/>
              <w:ind w:firstLine="0" w:firstLineChars="0"/>
              <w:rPr>
                <w:sz w:val="21"/>
                <w:szCs w:val="21"/>
              </w:rPr>
            </w:pPr>
            <w:r>
              <w:rPr>
                <w:rFonts w:hint="eastAsia"/>
                <w:sz w:val="21"/>
                <w:szCs w:val="21"/>
              </w:rPr>
              <w:t>5957</w:t>
            </w:r>
            <w:r>
              <w:rPr>
                <w:rFonts w:hint="eastAsia"/>
                <w:sz w:val="21"/>
                <w:szCs w:val="21"/>
                <w:lang w:val="en-US" w:eastAsia="zh-CN"/>
              </w:rPr>
              <w:t xml:space="preserve"> </w:t>
            </w:r>
            <w:r>
              <w:rPr>
                <w:rFonts w:hint="eastAsia"/>
                <w:sz w:val="21"/>
                <w:szCs w:val="21"/>
              </w:rPr>
              <w:t>(58.1)</w:t>
            </w:r>
          </w:p>
        </w:tc>
        <w:tc>
          <w:tcPr>
            <w:tcW w:w="543" w:type="pct"/>
          </w:tcPr>
          <w:p>
            <w:pPr>
              <w:adjustRightInd w:val="0"/>
              <w:snapToGrid w:val="0"/>
              <w:spacing w:line="245" w:lineRule="auto"/>
              <w:ind w:firstLine="0" w:firstLineChars="0"/>
              <w:rPr>
                <w:rFonts w:hint="default" w:eastAsia="宋体"/>
                <w:sz w:val="21"/>
                <w:szCs w:val="21"/>
                <w:lang w:val="en-US" w:eastAsia="zh-CN"/>
              </w:rPr>
            </w:pPr>
            <w:r>
              <w:rPr>
                <w:sz w:val="21"/>
                <w:szCs w:val="21"/>
              </w:rPr>
              <w:t>0.</w:t>
            </w:r>
            <w:r>
              <w:rPr>
                <w:rFonts w:hint="eastAsia"/>
                <w:sz w:val="21"/>
                <w:szCs w:val="21"/>
                <w:lang w:val="en-US" w:eastAsia="zh-CN"/>
              </w:rPr>
              <w:t>270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 w:type="pct"/>
          </w:tcPr>
          <w:p>
            <w:pPr>
              <w:adjustRightInd w:val="0"/>
              <w:snapToGrid w:val="0"/>
              <w:spacing w:line="245" w:lineRule="auto"/>
              <w:ind w:firstLine="0" w:firstLineChars="0"/>
              <w:jc w:val="left"/>
              <w:rPr>
                <w:sz w:val="21"/>
                <w:szCs w:val="21"/>
              </w:rPr>
            </w:pPr>
          </w:p>
        </w:tc>
        <w:tc>
          <w:tcPr>
            <w:tcW w:w="2364" w:type="pct"/>
          </w:tcPr>
          <w:p>
            <w:pPr>
              <w:adjustRightInd w:val="0"/>
              <w:snapToGrid w:val="0"/>
              <w:spacing w:line="245" w:lineRule="auto"/>
              <w:ind w:firstLine="0" w:firstLineChars="0"/>
              <w:jc w:val="left"/>
              <w:rPr>
                <w:sz w:val="21"/>
                <w:szCs w:val="21"/>
              </w:rPr>
            </w:pPr>
            <w:r>
              <w:rPr>
                <w:sz w:val="21"/>
                <w:szCs w:val="21"/>
              </w:rPr>
              <w:t>Previous myocardial infarction</w:t>
            </w:r>
          </w:p>
        </w:tc>
        <w:tc>
          <w:tcPr>
            <w:tcW w:w="923" w:type="pct"/>
          </w:tcPr>
          <w:p>
            <w:pPr>
              <w:adjustRightInd w:val="0"/>
              <w:snapToGrid w:val="0"/>
              <w:spacing w:line="245" w:lineRule="auto"/>
              <w:ind w:firstLine="0" w:firstLineChars="0"/>
              <w:rPr>
                <w:sz w:val="21"/>
                <w:szCs w:val="21"/>
              </w:rPr>
            </w:pPr>
            <w:r>
              <w:rPr>
                <w:rFonts w:hint="eastAsia"/>
                <w:sz w:val="21"/>
                <w:szCs w:val="21"/>
              </w:rPr>
              <w:t>325 (28.2)</w:t>
            </w:r>
          </w:p>
        </w:tc>
        <w:tc>
          <w:tcPr>
            <w:tcW w:w="908" w:type="pct"/>
          </w:tcPr>
          <w:p>
            <w:pPr>
              <w:adjustRightInd w:val="0"/>
              <w:snapToGrid w:val="0"/>
              <w:spacing w:line="245" w:lineRule="auto"/>
              <w:ind w:firstLine="0" w:firstLineChars="0"/>
              <w:rPr>
                <w:sz w:val="21"/>
                <w:szCs w:val="21"/>
              </w:rPr>
            </w:pPr>
            <w:r>
              <w:rPr>
                <w:rFonts w:hint="eastAsia"/>
                <w:sz w:val="21"/>
                <w:szCs w:val="21"/>
              </w:rPr>
              <w:t>1999</w:t>
            </w:r>
            <w:r>
              <w:rPr>
                <w:rFonts w:hint="eastAsia"/>
                <w:sz w:val="21"/>
                <w:szCs w:val="21"/>
                <w:lang w:val="en-US" w:eastAsia="zh-CN"/>
              </w:rPr>
              <w:t xml:space="preserve"> </w:t>
            </w:r>
            <w:r>
              <w:rPr>
                <w:rFonts w:hint="eastAsia"/>
                <w:sz w:val="21"/>
                <w:szCs w:val="21"/>
              </w:rPr>
              <w:t>(19.5)</w:t>
            </w:r>
          </w:p>
        </w:tc>
        <w:tc>
          <w:tcPr>
            <w:tcW w:w="543" w:type="pct"/>
          </w:tcPr>
          <w:p>
            <w:pPr>
              <w:adjustRightInd w:val="0"/>
              <w:snapToGrid w:val="0"/>
              <w:spacing w:line="245" w:lineRule="auto"/>
              <w:ind w:firstLine="0" w:firstLineChars="0"/>
              <w:rPr>
                <w:rFonts w:hint="eastAsia" w:eastAsia="宋体"/>
                <w:sz w:val="21"/>
                <w:szCs w:val="21"/>
                <w:lang w:val="en-US" w:eastAsia="zh-CN"/>
              </w:rPr>
            </w:pPr>
            <w:r>
              <w:rPr>
                <w:sz w:val="21"/>
                <w:szCs w:val="21"/>
              </w:rPr>
              <w:t>&lt;0.001</w:t>
            </w:r>
            <w:r>
              <w:rPr>
                <w:rFonts w:hint="eastAsia"/>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 w:type="pct"/>
          </w:tcPr>
          <w:p>
            <w:pPr>
              <w:adjustRightInd w:val="0"/>
              <w:snapToGrid w:val="0"/>
              <w:spacing w:line="245" w:lineRule="auto"/>
              <w:ind w:firstLine="0" w:firstLineChars="0"/>
              <w:jc w:val="left"/>
              <w:rPr>
                <w:sz w:val="21"/>
                <w:szCs w:val="21"/>
              </w:rPr>
            </w:pPr>
          </w:p>
        </w:tc>
        <w:tc>
          <w:tcPr>
            <w:tcW w:w="2364" w:type="pct"/>
          </w:tcPr>
          <w:p>
            <w:pPr>
              <w:adjustRightInd w:val="0"/>
              <w:snapToGrid w:val="0"/>
              <w:spacing w:line="245" w:lineRule="auto"/>
              <w:ind w:firstLine="0" w:firstLineChars="0"/>
              <w:jc w:val="left"/>
              <w:rPr>
                <w:sz w:val="21"/>
                <w:szCs w:val="21"/>
              </w:rPr>
            </w:pPr>
            <w:r>
              <w:rPr>
                <w:sz w:val="21"/>
                <w:szCs w:val="21"/>
              </w:rPr>
              <w:t>Previous percutaneous coronary intervention</w:t>
            </w:r>
          </w:p>
        </w:tc>
        <w:tc>
          <w:tcPr>
            <w:tcW w:w="923" w:type="pct"/>
          </w:tcPr>
          <w:p>
            <w:pPr>
              <w:adjustRightInd w:val="0"/>
              <w:snapToGrid w:val="0"/>
              <w:spacing w:line="245" w:lineRule="auto"/>
              <w:ind w:firstLine="0" w:firstLineChars="0"/>
              <w:rPr>
                <w:sz w:val="21"/>
                <w:szCs w:val="21"/>
              </w:rPr>
            </w:pPr>
            <w:r>
              <w:rPr>
                <w:rFonts w:hint="eastAsia"/>
                <w:sz w:val="21"/>
                <w:szCs w:val="21"/>
              </w:rPr>
              <w:t>331</w:t>
            </w:r>
            <w:r>
              <w:rPr>
                <w:rFonts w:hint="eastAsia"/>
                <w:sz w:val="21"/>
                <w:szCs w:val="21"/>
                <w:lang w:val="en-US" w:eastAsia="zh-CN"/>
              </w:rPr>
              <w:t xml:space="preserve"> </w:t>
            </w:r>
            <w:r>
              <w:rPr>
                <w:rFonts w:hint="eastAsia"/>
                <w:sz w:val="21"/>
                <w:szCs w:val="21"/>
              </w:rPr>
              <w:t>(28.7)</w:t>
            </w:r>
          </w:p>
        </w:tc>
        <w:tc>
          <w:tcPr>
            <w:tcW w:w="908" w:type="pct"/>
          </w:tcPr>
          <w:p>
            <w:pPr>
              <w:adjustRightInd w:val="0"/>
              <w:snapToGrid w:val="0"/>
              <w:spacing w:line="245" w:lineRule="auto"/>
              <w:ind w:firstLine="0" w:firstLineChars="0"/>
              <w:rPr>
                <w:sz w:val="21"/>
                <w:szCs w:val="21"/>
              </w:rPr>
            </w:pPr>
            <w:r>
              <w:rPr>
                <w:rFonts w:hint="eastAsia"/>
                <w:sz w:val="21"/>
                <w:szCs w:val="21"/>
              </w:rPr>
              <w:t>2383 (23.2)</w:t>
            </w:r>
          </w:p>
        </w:tc>
        <w:tc>
          <w:tcPr>
            <w:tcW w:w="543" w:type="pct"/>
          </w:tcPr>
          <w:p>
            <w:pPr>
              <w:adjustRightInd w:val="0"/>
              <w:snapToGrid w:val="0"/>
              <w:spacing w:line="245" w:lineRule="auto"/>
              <w:ind w:firstLine="0" w:firstLineChars="0"/>
              <w:rPr>
                <w:sz w:val="21"/>
                <w:szCs w:val="21"/>
              </w:rPr>
            </w:pPr>
            <w:r>
              <w:rPr>
                <w:sz w:val="21"/>
                <w:szCs w:val="21"/>
              </w:rPr>
              <w:t>&lt;0.001</w:t>
            </w:r>
            <w:r>
              <w:rPr>
                <w:rFonts w:hint="eastAsia"/>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 w:type="pct"/>
          </w:tcPr>
          <w:p>
            <w:pPr>
              <w:adjustRightInd w:val="0"/>
              <w:snapToGrid w:val="0"/>
              <w:spacing w:line="245" w:lineRule="auto"/>
              <w:ind w:firstLine="0" w:firstLineChars="0"/>
              <w:jc w:val="left"/>
              <w:rPr>
                <w:sz w:val="21"/>
                <w:szCs w:val="21"/>
              </w:rPr>
            </w:pPr>
          </w:p>
        </w:tc>
        <w:tc>
          <w:tcPr>
            <w:tcW w:w="2364" w:type="pct"/>
          </w:tcPr>
          <w:p>
            <w:pPr>
              <w:adjustRightInd w:val="0"/>
              <w:snapToGrid w:val="0"/>
              <w:spacing w:line="245" w:lineRule="auto"/>
              <w:ind w:firstLine="0" w:firstLineChars="0"/>
              <w:jc w:val="left"/>
              <w:rPr>
                <w:sz w:val="21"/>
                <w:szCs w:val="21"/>
              </w:rPr>
            </w:pPr>
            <w:r>
              <w:rPr>
                <w:sz w:val="21"/>
                <w:szCs w:val="21"/>
              </w:rPr>
              <w:t>Previous coronary artery bypass grafting</w:t>
            </w:r>
          </w:p>
        </w:tc>
        <w:tc>
          <w:tcPr>
            <w:tcW w:w="923" w:type="pct"/>
          </w:tcPr>
          <w:p>
            <w:pPr>
              <w:adjustRightInd w:val="0"/>
              <w:snapToGrid w:val="0"/>
              <w:spacing w:line="245" w:lineRule="auto"/>
              <w:ind w:firstLine="0" w:firstLineChars="0"/>
              <w:rPr>
                <w:sz w:val="21"/>
                <w:szCs w:val="21"/>
              </w:rPr>
            </w:pPr>
            <w:r>
              <w:rPr>
                <w:rFonts w:hint="eastAsia"/>
                <w:sz w:val="21"/>
                <w:szCs w:val="21"/>
              </w:rPr>
              <w:t>36</w:t>
            </w:r>
            <w:r>
              <w:rPr>
                <w:rFonts w:hint="eastAsia"/>
                <w:sz w:val="21"/>
                <w:szCs w:val="21"/>
                <w:lang w:val="en-US" w:eastAsia="zh-CN"/>
              </w:rPr>
              <w:t xml:space="preserve"> </w:t>
            </w:r>
            <w:r>
              <w:rPr>
                <w:rFonts w:hint="eastAsia"/>
                <w:sz w:val="21"/>
                <w:szCs w:val="21"/>
              </w:rPr>
              <w:t>(3.1)</w:t>
            </w:r>
          </w:p>
        </w:tc>
        <w:tc>
          <w:tcPr>
            <w:tcW w:w="908" w:type="pct"/>
          </w:tcPr>
          <w:p>
            <w:pPr>
              <w:adjustRightInd w:val="0"/>
              <w:snapToGrid w:val="0"/>
              <w:spacing w:line="245" w:lineRule="auto"/>
              <w:ind w:firstLine="0" w:firstLineChars="0"/>
              <w:rPr>
                <w:sz w:val="21"/>
                <w:szCs w:val="21"/>
              </w:rPr>
            </w:pPr>
            <w:r>
              <w:rPr>
                <w:rFonts w:hint="eastAsia"/>
                <w:sz w:val="21"/>
                <w:szCs w:val="21"/>
              </w:rPr>
              <w:t>434 (4.2)</w:t>
            </w:r>
          </w:p>
        </w:tc>
        <w:tc>
          <w:tcPr>
            <w:tcW w:w="543" w:type="pct"/>
          </w:tcPr>
          <w:p>
            <w:pPr>
              <w:adjustRightInd w:val="0"/>
              <w:snapToGrid w:val="0"/>
              <w:spacing w:line="245" w:lineRule="auto"/>
              <w:ind w:firstLine="0" w:firstLineChars="0"/>
              <w:rPr>
                <w:rFonts w:hint="default" w:eastAsia="宋体"/>
                <w:sz w:val="21"/>
                <w:szCs w:val="21"/>
                <w:lang w:val="en-US" w:eastAsia="zh-CN"/>
              </w:rPr>
            </w:pPr>
            <w:r>
              <w:rPr>
                <w:sz w:val="21"/>
                <w:szCs w:val="21"/>
              </w:rPr>
              <w:t>0.0</w:t>
            </w:r>
            <w:r>
              <w:rPr>
                <w:rFonts w:hint="eastAsia"/>
                <w:sz w:val="21"/>
                <w:szCs w:val="21"/>
                <w:lang w:val="en-US" w:eastAsia="zh-CN"/>
              </w:rPr>
              <w:t>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 w:type="pct"/>
          </w:tcPr>
          <w:p>
            <w:pPr>
              <w:adjustRightInd w:val="0"/>
              <w:snapToGrid w:val="0"/>
              <w:spacing w:line="245" w:lineRule="auto"/>
              <w:ind w:firstLine="0" w:firstLineChars="0"/>
              <w:jc w:val="left"/>
              <w:rPr>
                <w:sz w:val="21"/>
                <w:szCs w:val="21"/>
              </w:rPr>
            </w:pPr>
          </w:p>
        </w:tc>
        <w:tc>
          <w:tcPr>
            <w:tcW w:w="2364" w:type="pct"/>
          </w:tcPr>
          <w:p>
            <w:pPr>
              <w:adjustRightInd w:val="0"/>
              <w:snapToGrid w:val="0"/>
              <w:spacing w:line="245" w:lineRule="auto"/>
              <w:ind w:firstLine="0" w:firstLineChars="0"/>
              <w:jc w:val="left"/>
              <w:rPr>
                <w:sz w:val="21"/>
                <w:szCs w:val="21"/>
              </w:rPr>
            </w:pPr>
            <w:r>
              <w:rPr>
                <w:sz w:val="21"/>
                <w:szCs w:val="21"/>
              </w:rPr>
              <w:t>Previous cerebrovascular disease</w:t>
            </w:r>
          </w:p>
        </w:tc>
        <w:tc>
          <w:tcPr>
            <w:tcW w:w="923" w:type="pct"/>
          </w:tcPr>
          <w:p>
            <w:pPr>
              <w:adjustRightInd w:val="0"/>
              <w:snapToGrid w:val="0"/>
              <w:spacing w:line="245" w:lineRule="auto"/>
              <w:ind w:firstLine="0" w:firstLineChars="0"/>
              <w:rPr>
                <w:sz w:val="21"/>
                <w:szCs w:val="21"/>
              </w:rPr>
            </w:pPr>
            <w:r>
              <w:rPr>
                <w:rFonts w:hint="eastAsia"/>
                <w:sz w:val="21"/>
                <w:szCs w:val="21"/>
              </w:rPr>
              <w:t>313</w:t>
            </w:r>
            <w:r>
              <w:rPr>
                <w:rFonts w:hint="eastAsia"/>
                <w:sz w:val="21"/>
                <w:szCs w:val="21"/>
                <w:lang w:val="en-US" w:eastAsia="zh-CN"/>
              </w:rPr>
              <w:t xml:space="preserve"> </w:t>
            </w:r>
            <w:r>
              <w:rPr>
                <w:rFonts w:hint="eastAsia"/>
                <w:sz w:val="21"/>
                <w:szCs w:val="21"/>
              </w:rPr>
              <w:t>(27.2)</w:t>
            </w:r>
          </w:p>
        </w:tc>
        <w:tc>
          <w:tcPr>
            <w:tcW w:w="908" w:type="pct"/>
          </w:tcPr>
          <w:p>
            <w:pPr>
              <w:adjustRightInd w:val="0"/>
              <w:snapToGrid w:val="0"/>
              <w:spacing w:line="245" w:lineRule="auto"/>
              <w:ind w:firstLine="0" w:firstLineChars="0"/>
              <w:rPr>
                <w:sz w:val="21"/>
                <w:szCs w:val="21"/>
              </w:rPr>
            </w:pPr>
            <w:r>
              <w:rPr>
                <w:rFonts w:hint="eastAsia"/>
                <w:sz w:val="21"/>
                <w:szCs w:val="21"/>
              </w:rPr>
              <w:t>1089 (10.6)</w:t>
            </w:r>
          </w:p>
        </w:tc>
        <w:tc>
          <w:tcPr>
            <w:tcW w:w="543" w:type="pct"/>
          </w:tcPr>
          <w:p>
            <w:pPr>
              <w:adjustRightInd w:val="0"/>
              <w:snapToGrid w:val="0"/>
              <w:spacing w:line="245" w:lineRule="auto"/>
              <w:ind w:firstLine="0" w:firstLineChars="0"/>
              <w:rPr>
                <w:sz w:val="21"/>
                <w:szCs w:val="21"/>
              </w:rPr>
            </w:pPr>
            <w:r>
              <w:rPr>
                <w:sz w:val="21"/>
                <w:szCs w:val="21"/>
              </w:rPr>
              <w:t>&lt;0.001</w:t>
            </w:r>
            <w:r>
              <w:rPr>
                <w:rFonts w:hint="eastAsia"/>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 w:type="pct"/>
          </w:tcPr>
          <w:p>
            <w:pPr>
              <w:adjustRightInd w:val="0"/>
              <w:snapToGrid w:val="0"/>
              <w:spacing w:line="245" w:lineRule="auto"/>
              <w:ind w:firstLine="0" w:firstLineChars="0"/>
              <w:jc w:val="left"/>
              <w:rPr>
                <w:sz w:val="21"/>
                <w:szCs w:val="21"/>
              </w:rPr>
            </w:pPr>
          </w:p>
        </w:tc>
        <w:tc>
          <w:tcPr>
            <w:tcW w:w="2364" w:type="pct"/>
          </w:tcPr>
          <w:p>
            <w:pPr>
              <w:adjustRightInd w:val="0"/>
              <w:snapToGrid w:val="0"/>
              <w:spacing w:line="245" w:lineRule="auto"/>
              <w:ind w:firstLine="0" w:firstLineChars="0"/>
              <w:jc w:val="left"/>
              <w:rPr>
                <w:sz w:val="21"/>
                <w:szCs w:val="21"/>
              </w:rPr>
            </w:pPr>
            <w:r>
              <w:rPr>
                <w:sz w:val="21"/>
                <w:szCs w:val="21"/>
              </w:rPr>
              <w:t>Family history of coronary heart disease</w:t>
            </w:r>
          </w:p>
        </w:tc>
        <w:tc>
          <w:tcPr>
            <w:tcW w:w="923" w:type="pct"/>
          </w:tcPr>
          <w:p>
            <w:pPr>
              <w:adjustRightInd w:val="0"/>
              <w:snapToGrid w:val="0"/>
              <w:spacing w:line="245" w:lineRule="auto"/>
              <w:ind w:firstLine="0" w:firstLineChars="0"/>
              <w:rPr>
                <w:sz w:val="21"/>
                <w:szCs w:val="21"/>
              </w:rPr>
            </w:pPr>
            <w:r>
              <w:rPr>
                <w:rFonts w:hint="eastAsia"/>
                <w:sz w:val="21"/>
                <w:szCs w:val="21"/>
              </w:rPr>
              <w:t>137</w:t>
            </w:r>
            <w:r>
              <w:rPr>
                <w:rFonts w:hint="eastAsia"/>
                <w:sz w:val="21"/>
                <w:szCs w:val="21"/>
                <w:lang w:val="en-US" w:eastAsia="zh-CN"/>
              </w:rPr>
              <w:t xml:space="preserve"> </w:t>
            </w:r>
            <w:r>
              <w:rPr>
                <w:rFonts w:hint="eastAsia"/>
                <w:sz w:val="21"/>
                <w:szCs w:val="21"/>
              </w:rPr>
              <w:t>(11.9)</w:t>
            </w:r>
          </w:p>
        </w:tc>
        <w:tc>
          <w:tcPr>
            <w:tcW w:w="908" w:type="pct"/>
          </w:tcPr>
          <w:p>
            <w:pPr>
              <w:adjustRightInd w:val="0"/>
              <w:snapToGrid w:val="0"/>
              <w:spacing w:line="245" w:lineRule="auto"/>
              <w:ind w:firstLine="0" w:firstLineChars="0"/>
              <w:rPr>
                <w:sz w:val="21"/>
                <w:szCs w:val="21"/>
              </w:rPr>
            </w:pPr>
            <w:r>
              <w:rPr>
                <w:rFonts w:hint="eastAsia"/>
                <w:sz w:val="21"/>
                <w:szCs w:val="21"/>
              </w:rPr>
              <w:t>2526 (24.6)</w:t>
            </w:r>
          </w:p>
        </w:tc>
        <w:tc>
          <w:tcPr>
            <w:tcW w:w="543" w:type="pct"/>
          </w:tcPr>
          <w:p>
            <w:pPr>
              <w:adjustRightInd w:val="0"/>
              <w:snapToGrid w:val="0"/>
              <w:spacing w:line="245" w:lineRule="auto"/>
              <w:ind w:firstLine="0" w:firstLineChars="0"/>
              <w:rPr>
                <w:sz w:val="21"/>
                <w:szCs w:val="21"/>
              </w:rPr>
            </w:pPr>
            <w:r>
              <w:rPr>
                <w:sz w:val="21"/>
                <w:szCs w:val="21"/>
              </w:rPr>
              <w:t>&lt;0.001</w:t>
            </w:r>
            <w:r>
              <w:rPr>
                <w:rFonts w:hint="eastAsia"/>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24" w:type="pct"/>
            <w:gridSpan w:val="2"/>
          </w:tcPr>
          <w:p>
            <w:pPr>
              <w:adjustRightInd w:val="0"/>
              <w:snapToGrid w:val="0"/>
              <w:spacing w:line="245" w:lineRule="auto"/>
              <w:ind w:firstLine="0" w:firstLineChars="0"/>
              <w:jc w:val="left"/>
              <w:rPr>
                <w:sz w:val="21"/>
                <w:szCs w:val="21"/>
              </w:rPr>
            </w:pPr>
            <w:r>
              <w:rPr>
                <w:sz w:val="21"/>
                <w:szCs w:val="21"/>
              </w:rPr>
              <w:t>Laboratory results at admission</w:t>
            </w:r>
          </w:p>
        </w:tc>
        <w:tc>
          <w:tcPr>
            <w:tcW w:w="923" w:type="pct"/>
          </w:tcPr>
          <w:p>
            <w:pPr>
              <w:adjustRightInd w:val="0"/>
              <w:snapToGrid w:val="0"/>
              <w:spacing w:line="245" w:lineRule="auto"/>
              <w:ind w:firstLine="0" w:firstLineChars="0"/>
              <w:rPr>
                <w:sz w:val="21"/>
                <w:szCs w:val="21"/>
              </w:rPr>
            </w:pPr>
          </w:p>
        </w:tc>
        <w:tc>
          <w:tcPr>
            <w:tcW w:w="908" w:type="pct"/>
          </w:tcPr>
          <w:p>
            <w:pPr>
              <w:adjustRightInd w:val="0"/>
              <w:snapToGrid w:val="0"/>
              <w:spacing w:line="245" w:lineRule="auto"/>
              <w:ind w:firstLine="0" w:firstLineChars="0"/>
              <w:rPr>
                <w:sz w:val="21"/>
                <w:szCs w:val="21"/>
              </w:rPr>
            </w:pPr>
          </w:p>
        </w:tc>
        <w:tc>
          <w:tcPr>
            <w:tcW w:w="543" w:type="pct"/>
          </w:tcPr>
          <w:p>
            <w:pPr>
              <w:adjustRightInd w:val="0"/>
              <w:snapToGrid w:val="0"/>
              <w:spacing w:line="245" w:lineRule="auto"/>
              <w:ind w:firstLine="0" w:firstLineChars="0"/>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 w:type="pct"/>
          </w:tcPr>
          <w:p>
            <w:pPr>
              <w:adjustRightInd w:val="0"/>
              <w:snapToGrid w:val="0"/>
              <w:spacing w:line="245" w:lineRule="auto"/>
              <w:ind w:firstLine="0" w:firstLineChars="0"/>
              <w:jc w:val="left"/>
              <w:rPr>
                <w:sz w:val="21"/>
                <w:szCs w:val="21"/>
              </w:rPr>
            </w:pPr>
          </w:p>
        </w:tc>
        <w:tc>
          <w:tcPr>
            <w:tcW w:w="2364" w:type="pct"/>
          </w:tcPr>
          <w:p>
            <w:pPr>
              <w:adjustRightInd w:val="0"/>
              <w:snapToGrid w:val="0"/>
              <w:spacing w:line="245" w:lineRule="auto"/>
              <w:ind w:firstLine="0" w:firstLineChars="0"/>
              <w:jc w:val="left"/>
              <w:rPr>
                <w:sz w:val="21"/>
                <w:szCs w:val="21"/>
              </w:rPr>
            </w:pPr>
            <w:r>
              <w:rPr>
                <w:sz w:val="21"/>
                <w:szCs w:val="21"/>
              </w:rPr>
              <w:t>Hemoglobin (g/dL)</w:t>
            </w:r>
          </w:p>
        </w:tc>
        <w:tc>
          <w:tcPr>
            <w:tcW w:w="923" w:type="pct"/>
          </w:tcPr>
          <w:p>
            <w:pPr>
              <w:adjustRightInd w:val="0"/>
              <w:snapToGrid w:val="0"/>
              <w:spacing w:line="245" w:lineRule="auto"/>
              <w:ind w:firstLine="0" w:firstLineChars="0"/>
              <w:rPr>
                <w:rFonts w:hint="eastAsia" w:eastAsia="宋体"/>
                <w:sz w:val="21"/>
                <w:szCs w:val="21"/>
                <w:lang w:val="en-US" w:eastAsia="zh-CN"/>
              </w:rPr>
            </w:pPr>
            <w:r>
              <w:rPr>
                <w:sz w:val="21"/>
                <w:szCs w:val="21"/>
              </w:rPr>
              <w:t>14.1</w:t>
            </w:r>
            <w:r>
              <w:rPr>
                <w:rFonts w:hint="eastAsia"/>
                <w:sz w:val="21"/>
                <w:szCs w:val="21"/>
                <w:lang w:val="en-US" w:eastAsia="zh-CN"/>
              </w:rPr>
              <w:t>7</w:t>
            </w:r>
            <w:r>
              <w:rPr>
                <w:sz w:val="21"/>
                <w:szCs w:val="21"/>
              </w:rPr>
              <w:t xml:space="preserve"> ± 1.7</w:t>
            </w:r>
            <w:r>
              <w:rPr>
                <w:rFonts w:hint="eastAsia"/>
                <w:sz w:val="21"/>
                <w:szCs w:val="21"/>
                <w:lang w:val="en-US" w:eastAsia="zh-CN"/>
              </w:rPr>
              <w:t>1</w:t>
            </w:r>
          </w:p>
        </w:tc>
        <w:tc>
          <w:tcPr>
            <w:tcW w:w="908" w:type="pct"/>
          </w:tcPr>
          <w:p>
            <w:pPr>
              <w:adjustRightInd w:val="0"/>
              <w:snapToGrid w:val="0"/>
              <w:spacing w:line="245" w:lineRule="auto"/>
              <w:ind w:firstLine="0" w:firstLineChars="0"/>
              <w:rPr>
                <w:rFonts w:hint="default" w:eastAsia="宋体"/>
                <w:sz w:val="21"/>
                <w:szCs w:val="21"/>
                <w:lang w:val="en-US" w:eastAsia="zh-CN"/>
              </w:rPr>
            </w:pPr>
            <w:r>
              <w:rPr>
                <w:sz w:val="21"/>
                <w:szCs w:val="21"/>
              </w:rPr>
              <w:t>14.</w:t>
            </w:r>
            <w:r>
              <w:rPr>
                <w:rFonts w:hint="eastAsia"/>
                <w:sz w:val="21"/>
                <w:szCs w:val="21"/>
                <w:lang w:val="en-US" w:eastAsia="zh-CN"/>
              </w:rPr>
              <w:t>30</w:t>
            </w:r>
            <w:r>
              <w:rPr>
                <w:sz w:val="21"/>
                <w:szCs w:val="21"/>
              </w:rPr>
              <w:t xml:space="preserve"> ± 1.</w:t>
            </w:r>
            <w:r>
              <w:rPr>
                <w:rFonts w:hint="eastAsia"/>
                <w:sz w:val="21"/>
                <w:szCs w:val="21"/>
                <w:lang w:val="en-US" w:eastAsia="zh-CN"/>
              </w:rPr>
              <w:t>53</w:t>
            </w:r>
          </w:p>
        </w:tc>
        <w:tc>
          <w:tcPr>
            <w:tcW w:w="543" w:type="pct"/>
          </w:tcPr>
          <w:p>
            <w:pPr>
              <w:adjustRightInd w:val="0"/>
              <w:snapToGrid w:val="0"/>
              <w:spacing w:line="245" w:lineRule="auto"/>
              <w:ind w:firstLine="0" w:firstLineChars="0"/>
              <w:rPr>
                <w:sz w:val="21"/>
                <w:szCs w:val="21"/>
              </w:rPr>
            </w:pPr>
            <w:r>
              <w:rPr>
                <w:rFonts w:hint="eastAsia"/>
                <w:sz w:val="21"/>
                <w:szCs w:val="21"/>
              </w:rPr>
              <w:t>0.012*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 w:type="pct"/>
          </w:tcPr>
          <w:p>
            <w:pPr>
              <w:adjustRightInd w:val="0"/>
              <w:snapToGrid w:val="0"/>
              <w:spacing w:line="245" w:lineRule="auto"/>
              <w:ind w:firstLine="0" w:firstLineChars="0"/>
              <w:jc w:val="left"/>
              <w:rPr>
                <w:sz w:val="21"/>
                <w:szCs w:val="21"/>
              </w:rPr>
            </w:pPr>
          </w:p>
        </w:tc>
        <w:tc>
          <w:tcPr>
            <w:tcW w:w="2364" w:type="pct"/>
          </w:tcPr>
          <w:p>
            <w:pPr>
              <w:adjustRightInd w:val="0"/>
              <w:snapToGrid w:val="0"/>
              <w:spacing w:line="245" w:lineRule="auto"/>
              <w:ind w:firstLine="0" w:firstLineChars="0"/>
              <w:jc w:val="left"/>
              <w:rPr>
                <w:sz w:val="21"/>
                <w:szCs w:val="21"/>
              </w:rPr>
            </w:pPr>
            <w:r>
              <w:rPr>
                <w:sz w:val="21"/>
                <w:szCs w:val="21"/>
              </w:rPr>
              <w:t>White blood cell count (10</w:t>
            </w:r>
            <w:r>
              <w:rPr>
                <w:sz w:val="21"/>
                <w:szCs w:val="21"/>
                <w:vertAlign w:val="superscript"/>
              </w:rPr>
              <w:t>9</w:t>
            </w:r>
            <w:r>
              <w:rPr>
                <w:sz w:val="21"/>
                <w:szCs w:val="21"/>
              </w:rPr>
              <w:t>/L)</w:t>
            </w:r>
          </w:p>
        </w:tc>
        <w:tc>
          <w:tcPr>
            <w:tcW w:w="923" w:type="pct"/>
          </w:tcPr>
          <w:p>
            <w:pPr>
              <w:adjustRightInd w:val="0"/>
              <w:snapToGrid w:val="0"/>
              <w:spacing w:line="245" w:lineRule="auto"/>
              <w:ind w:firstLine="0" w:firstLineChars="0"/>
              <w:rPr>
                <w:rFonts w:hint="eastAsia" w:eastAsia="宋体"/>
                <w:sz w:val="21"/>
                <w:szCs w:val="21"/>
                <w:lang w:val="en-US" w:eastAsia="zh-CN"/>
              </w:rPr>
            </w:pPr>
            <w:r>
              <w:rPr>
                <w:sz w:val="21"/>
                <w:szCs w:val="21"/>
              </w:rPr>
              <w:t>6.</w:t>
            </w:r>
            <w:r>
              <w:rPr>
                <w:rFonts w:hint="eastAsia"/>
                <w:sz w:val="21"/>
                <w:szCs w:val="21"/>
                <w:lang w:val="en-US" w:eastAsia="zh-CN"/>
              </w:rPr>
              <w:t>74</w:t>
            </w:r>
            <w:r>
              <w:rPr>
                <w:sz w:val="21"/>
                <w:szCs w:val="21"/>
              </w:rPr>
              <w:t xml:space="preserve"> ± 1.8</w:t>
            </w:r>
            <w:r>
              <w:rPr>
                <w:rFonts w:hint="eastAsia"/>
                <w:sz w:val="21"/>
                <w:szCs w:val="21"/>
                <w:lang w:val="en-US" w:eastAsia="zh-CN"/>
              </w:rPr>
              <w:t>8</w:t>
            </w:r>
          </w:p>
        </w:tc>
        <w:tc>
          <w:tcPr>
            <w:tcW w:w="908" w:type="pct"/>
          </w:tcPr>
          <w:p>
            <w:pPr>
              <w:adjustRightInd w:val="0"/>
              <w:snapToGrid w:val="0"/>
              <w:spacing w:line="245" w:lineRule="auto"/>
              <w:ind w:firstLine="0" w:firstLineChars="0"/>
              <w:rPr>
                <w:rFonts w:hint="eastAsia" w:eastAsia="宋体"/>
                <w:sz w:val="21"/>
                <w:szCs w:val="21"/>
                <w:lang w:val="en-US" w:eastAsia="zh-CN"/>
              </w:rPr>
            </w:pPr>
            <w:r>
              <w:rPr>
                <w:rFonts w:hint="eastAsia"/>
                <w:sz w:val="21"/>
                <w:szCs w:val="21"/>
              </w:rPr>
              <w:t>6.74</w:t>
            </w:r>
            <w:r>
              <w:rPr>
                <w:sz w:val="21"/>
                <w:szCs w:val="21"/>
              </w:rPr>
              <w:t xml:space="preserve"> ± 1.8</w:t>
            </w:r>
            <w:r>
              <w:rPr>
                <w:rFonts w:hint="eastAsia"/>
                <w:sz w:val="21"/>
                <w:szCs w:val="21"/>
                <w:lang w:val="en-US" w:eastAsia="zh-CN"/>
              </w:rPr>
              <w:t>0</w:t>
            </w:r>
          </w:p>
        </w:tc>
        <w:tc>
          <w:tcPr>
            <w:tcW w:w="543" w:type="pct"/>
          </w:tcPr>
          <w:p>
            <w:pPr>
              <w:adjustRightInd w:val="0"/>
              <w:snapToGrid w:val="0"/>
              <w:spacing w:line="245" w:lineRule="auto"/>
              <w:ind w:firstLine="0" w:firstLineChars="0"/>
              <w:rPr>
                <w:rFonts w:hint="eastAsia" w:eastAsia="宋体"/>
                <w:sz w:val="21"/>
                <w:szCs w:val="21"/>
                <w:lang w:val="en-US" w:eastAsia="zh-CN"/>
              </w:rPr>
            </w:pPr>
            <w:r>
              <w:rPr>
                <w:sz w:val="21"/>
                <w:szCs w:val="21"/>
              </w:rPr>
              <w:t>0.9</w:t>
            </w:r>
            <w:r>
              <w:rPr>
                <w:rFonts w:hint="eastAsia"/>
                <w:sz w:val="21"/>
                <w:szCs w:val="21"/>
                <w:lang w:val="en-US" w:eastAsia="zh-CN"/>
              </w:rPr>
              <w:t>4</w:t>
            </w:r>
            <w:r>
              <w:rPr>
                <w:sz w:val="21"/>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 w:type="pct"/>
          </w:tcPr>
          <w:p>
            <w:pPr>
              <w:adjustRightInd w:val="0"/>
              <w:snapToGrid w:val="0"/>
              <w:spacing w:line="245" w:lineRule="auto"/>
              <w:ind w:firstLine="0" w:firstLineChars="0"/>
              <w:jc w:val="left"/>
              <w:rPr>
                <w:sz w:val="21"/>
                <w:szCs w:val="21"/>
              </w:rPr>
            </w:pPr>
          </w:p>
        </w:tc>
        <w:tc>
          <w:tcPr>
            <w:tcW w:w="2364" w:type="pct"/>
          </w:tcPr>
          <w:p>
            <w:pPr>
              <w:adjustRightInd w:val="0"/>
              <w:snapToGrid w:val="0"/>
              <w:spacing w:line="245" w:lineRule="auto"/>
              <w:ind w:firstLine="0" w:firstLineChars="0"/>
              <w:jc w:val="left"/>
              <w:rPr>
                <w:sz w:val="21"/>
                <w:szCs w:val="21"/>
              </w:rPr>
            </w:pPr>
            <w:r>
              <w:rPr>
                <w:sz w:val="21"/>
                <w:szCs w:val="21"/>
              </w:rPr>
              <w:t>Platelet count (10</w:t>
            </w:r>
            <w:r>
              <w:rPr>
                <w:sz w:val="21"/>
                <w:szCs w:val="21"/>
                <w:vertAlign w:val="superscript"/>
              </w:rPr>
              <w:t>9</w:t>
            </w:r>
            <w:r>
              <w:rPr>
                <w:sz w:val="21"/>
                <w:szCs w:val="21"/>
              </w:rPr>
              <w:t>/L)</w:t>
            </w:r>
          </w:p>
        </w:tc>
        <w:tc>
          <w:tcPr>
            <w:tcW w:w="923" w:type="pct"/>
          </w:tcPr>
          <w:p>
            <w:pPr>
              <w:adjustRightInd w:val="0"/>
              <w:snapToGrid w:val="0"/>
              <w:spacing w:line="245" w:lineRule="auto"/>
              <w:ind w:firstLine="0" w:firstLineChars="0"/>
              <w:rPr>
                <w:sz w:val="21"/>
                <w:szCs w:val="21"/>
              </w:rPr>
            </w:pPr>
            <w:r>
              <w:rPr>
                <w:sz w:val="21"/>
                <w:szCs w:val="21"/>
              </w:rPr>
              <w:t>22</w:t>
            </w:r>
            <w:r>
              <w:rPr>
                <w:rFonts w:hint="eastAsia"/>
                <w:sz w:val="21"/>
                <w:szCs w:val="21"/>
                <w:lang w:val="en-US" w:eastAsia="zh-CN"/>
              </w:rPr>
              <w:t>8</w:t>
            </w:r>
            <w:r>
              <w:rPr>
                <w:sz w:val="21"/>
                <w:szCs w:val="21"/>
              </w:rPr>
              <w:t>.</w:t>
            </w:r>
            <w:r>
              <w:rPr>
                <w:rFonts w:hint="eastAsia"/>
                <w:sz w:val="21"/>
                <w:szCs w:val="21"/>
                <w:lang w:val="en-US" w:eastAsia="zh-CN"/>
              </w:rPr>
              <w:t>86</w:t>
            </w:r>
            <w:r>
              <w:rPr>
                <w:sz w:val="21"/>
                <w:szCs w:val="21"/>
              </w:rPr>
              <w:t xml:space="preserve"> ± </w:t>
            </w:r>
            <w:r>
              <w:rPr>
                <w:rFonts w:hint="eastAsia"/>
                <w:sz w:val="21"/>
                <w:szCs w:val="21"/>
              </w:rPr>
              <w:t>65.86</w:t>
            </w:r>
          </w:p>
        </w:tc>
        <w:tc>
          <w:tcPr>
            <w:tcW w:w="908" w:type="pct"/>
          </w:tcPr>
          <w:p>
            <w:pPr>
              <w:adjustRightInd w:val="0"/>
              <w:snapToGrid w:val="0"/>
              <w:spacing w:line="245" w:lineRule="auto"/>
              <w:ind w:firstLine="0" w:firstLineChars="0"/>
              <w:rPr>
                <w:sz w:val="21"/>
                <w:szCs w:val="21"/>
              </w:rPr>
            </w:pPr>
            <w:r>
              <w:rPr>
                <w:rFonts w:hint="eastAsia"/>
                <w:sz w:val="21"/>
                <w:szCs w:val="21"/>
              </w:rPr>
              <w:t>204.96</w:t>
            </w:r>
            <w:r>
              <w:rPr>
                <w:sz w:val="21"/>
                <w:szCs w:val="21"/>
              </w:rPr>
              <w:t xml:space="preserve"> ± </w:t>
            </w:r>
            <w:r>
              <w:rPr>
                <w:rFonts w:hint="eastAsia"/>
                <w:sz w:val="21"/>
                <w:szCs w:val="21"/>
              </w:rPr>
              <w:t>54.36</w:t>
            </w:r>
          </w:p>
        </w:tc>
        <w:tc>
          <w:tcPr>
            <w:tcW w:w="543" w:type="pct"/>
          </w:tcPr>
          <w:p>
            <w:pPr>
              <w:adjustRightInd w:val="0"/>
              <w:snapToGrid w:val="0"/>
              <w:spacing w:line="245" w:lineRule="auto"/>
              <w:ind w:firstLine="0" w:firstLineChars="0"/>
              <w:rPr>
                <w:sz w:val="21"/>
                <w:szCs w:val="21"/>
              </w:rPr>
            </w:pPr>
            <w:r>
              <w:rPr>
                <w:sz w:val="21"/>
                <w:szCs w:val="21"/>
              </w:rPr>
              <w:t>&lt;0.001</w:t>
            </w:r>
            <w:r>
              <w:rPr>
                <w:rFonts w:hint="eastAsia"/>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 w:type="pct"/>
          </w:tcPr>
          <w:p>
            <w:pPr>
              <w:adjustRightInd w:val="0"/>
              <w:snapToGrid w:val="0"/>
              <w:spacing w:line="245" w:lineRule="auto"/>
              <w:ind w:firstLine="0" w:firstLineChars="0"/>
              <w:jc w:val="left"/>
              <w:rPr>
                <w:sz w:val="21"/>
                <w:szCs w:val="21"/>
              </w:rPr>
            </w:pPr>
          </w:p>
        </w:tc>
        <w:tc>
          <w:tcPr>
            <w:tcW w:w="2364" w:type="pct"/>
          </w:tcPr>
          <w:p>
            <w:pPr>
              <w:adjustRightInd w:val="0"/>
              <w:snapToGrid w:val="0"/>
              <w:spacing w:line="245" w:lineRule="auto"/>
              <w:ind w:firstLine="0" w:firstLineChars="0"/>
              <w:jc w:val="left"/>
              <w:rPr>
                <w:sz w:val="21"/>
                <w:szCs w:val="21"/>
              </w:rPr>
            </w:pPr>
            <w:r>
              <w:rPr>
                <w:sz w:val="21"/>
                <w:szCs w:val="21"/>
              </w:rPr>
              <w:t>Low-density lipoprotein cholesterol (mmol/L)</w:t>
            </w:r>
          </w:p>
        </w:tc>
        <w:tc>
          <w:tcPr>
            <w:tcW w:w="923" w:type="pct"/>
          </w:tcPr>
          <w:p>
            <w:pPr>
              <w:adjustRightInd w:val="0"/>
              <w:snapToGrid w:val="0"/>
              <w:spacing w:line="245" w:lineRule="auto"/>
              <w:ind w:firstLine="0" w:firstLineChars="0"/>
              <w:rPr>
                <w:rFonts w:hint="eastAsia" w:eastAsia="宋体"/>
                <w:sz w:val="21"/>
                <w:szCs w:val="21"/>
                <w:lang w:val="en-US" w:eastAsia="zh-CN"/>
              </w:rPr>
            </w:pPr>
            <w:r>
              <w:rPr>
                <w:sz w:val="21"/>
                <w:szCs w:val="21"/>
              </w:rPr>
              <w:t>2.36 ± 0.8</w:t>
            </w:r>
            <w:r>
              <w:rPr>
                <w:rFonts w:hint="eastAsia"/>
                <w:sz w:val="21"/>
                <w:szCs w:val="21"/>
                <w:lang w:val="en-US" w:eastAsia="zh-CN"/>
              </w:rPr>
              <w:t>1</w:t>
            </w:r>
          </w:p>
        </w:tc>
        <w:tc>
          <w:tcPr>
            <w:tcW w:w="908" w:type="pct"/>
          </w:tcPr>
          <w:p>
            <w:pPr>
              <w:adjustRightInd w:val="0"/>
              <w:snapToGrid w:val="0"/>
              <w:spacing w:line="245" w:lineRule="auto"/>
              <w:ind w:firstLine="0" w:firstLineChars="0"/>
              <w:rPr>
                <w:sz w:val="21"/>
                <w:szCs w:val="21"/>
              </w:rPr>
            </w:pPr>
            <w:r>
              <w:rPr>
                <w:rFonts w:hint="eastAsia"/>
                <w:sz w:val="21"/>
                <w:szCs w:val="21"/>
              </w:rPr>
              <w:t>2.43</w:t>
            </w:r>
            <w:r>
              <w:rPr>
                <w:sz w:val="21"/>
                <w:szCs w:val="21"/>
              </w:rPr>
              <w:t xml:space="preserve"> ± </w:t>
            </w:r>
            <w:r>
              <w:rPr>
                <w:rFonts w:hint="eastAsia"/>
                <w:sz w:val="21"/>
                <w:szCs w:val="21"/>
              </w:rPr>
              <w:t>0.98</w:t>
            </w:r>
          </w:p>
        </w:tc>
        <w:tc>
          <w:tcPr>
            <w:tcW w:w="543" w:type="pct"/>
          </w:tcPr>
          <w:p>
            <w:pPr>
              <w:adjustRightInd w:val="0"/>
              <w:snapToGrid w:val="0"/>
              <w:spacing w:line="245" w:lineRule="auto"/>
              <w:ind w:firstLine="0" w:firstLineChars="0"/>
              <w:rPr>
                <w:rFonts w:hint="default" w:eastAsia="宋体"/>
                <w:sz w:val="21"/>
                <w:szCs w:val="21"/>
                <w:lang w:val="en-US" w:eastAsia="zh-CN"/>
              </w:rPr>
            </w:pPr>
            <w:r>
              <w:rPr>
                <w:sz w:val="21"/>
                <w:szCs w:val="21"/>
              </w:rPr>
              <w:t>0.</w:t>
            </w:r>
            <w:r>
              <w:rPr>
                <w:rFonts w:hint="eastAsia"/>
                <w:sz w:val="21"/>
                <w:szCs w:val="21"/>
                <w:lang w:val="en-US" w:eastAsia="zh-CN"/>
              </w:rPr>
              <w:t>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 w:type="pct"/>
          </w:tcPr>
          <w:p>
            <w:pPr>
              <w:adjustRightInd w:val="0"/>
              <w:snapToGrid w:val="0"/>
              <w:spacing w:line="245" w:lineRule="auto"/>
              <w:ind w:firstLine="0" w:firstLineChars="0"/>
              <w:jc w:val="left"/>
              <w:rPr>
                <w:sz w:val="21"/>
                <w:szCs w:val="21"/>
              </w:rPr>
            </w:pPr>
          </w:p>
        </w:tc>
        <w:tc>
          <w:tcPr>
            <w:tcW w:w="2364" w:type="pct"/>
          </w:tcPr>
          <w:p>
            <w:pPr>
              <w:adjustRightInd w:val="0"/>
              <w:snapToGrid w:val="0"/>
              <w:spacing w:line="245" w:lineRule="auto"/>
              <w:ind w:firstLine="0" w:firstLineChars="0"/>
              <w:jc w:val="left"/>
              <w:rPr>
                <w:sz w:val="21"/>
                <w:szCs w:val="21"/>
              </w:rPr>
            </w:pPr>
            <w:r>
              <w:rPr>
                <w:sz w:val="21"/>
                <w:szCs w:val="21"/>
              </w:rPr>
              <w:t>High-sensitivity C reactive protein (mg/L)</w:t>
            </w:r>
          </w:p>
        </w:tc>
        <w:tc>
          <w:tcPr>
            <w:tcW w:w="923" w:type="pct"/>
          </w:tcPr>
          <w:p>
            <w:pPr>
              <w:adjustRightInd w:val="0"/>
              <w:snapToGrid w:val="0"/>
              <w:spacing w:line="245" w:lineRule="auto"/>
              <w:ind w:firstLine="0" w:firstLineChars="0"/>
              <w:rPr>
                <w:sz w:val="21"/>
                <w:szCs w:val="21"/>
              </w:rPr>
            </w:pPr>
            <w:r>
              <w:rPr>
                <w:rFonts w:hint="eastAsia"/>
                <w:sz w:val="21"/>
                <w:szCs w:val="21"/>
              </w:rPr>
              <w:t>2.</w:t>
            </w:r>
            <w:r>
              <w:rPr>
                <w:sz w:val="21"/>
                <w:szCs w:val="21"/>
              </w:rPr>
              <w:t>09</w:t>
            </w:r>
            <w:r>
              <w:rPr>
                <w:rFonts w:hint="eastAsia"/>
                <w:sz w:val="21"/>
                <w:szCs w:val="21"/>
                <w:lang w:val="en-US" w:eastAsia="zh-CN"/>
              </w:rPr>
              <w:t xml:space="preserve"> </w:t>
            </w:r>
            <w:r>
              <w:rPr>
                <w:rFonts w:hint="eastAsia"/>
                <w:sz w:val="21"/>
                <w:szCs w:val="21"/>
              </w:rPr>
              <w:t>(0.91,</w:t>
            </w:r>
            <w:r>
              <w:rPr>
                <w:sz w:val="21"/>
                <w:szCs w:val="21"/>
              </w:rPr>
              <w:t xml:space="preserve"> </w:t>
            </w:r>
            <w:r>
              <w:rPr>
                <w:rFonts w:hint="eastAsia"/>
                <w:sz w:val="21"/>
                <w:szCs w:val="21"/>
              </w:rPr>
              <w:t>3.1</w:t>
            </w:r>
            <w:r>
              <w:rPr>
                <w:sz w:val="21"/>
                <w:szCs w:val="21"/>
              </w:rPr>
              <w:t>7</w:t>
            </w:r>
            <w:r>
              <w:rPr>
                <w:rFonts w:hint="eastAsia"/>
                <w:sz w:val="21"/>
                <w:szCs w:val="21"/>
              </w:rPr>
              <w:t>)</w:t>
            </w:r>
          </w:p>
        </w:tc>
        <w:tc>
          <w:tcPr>
            <w:tcW w:w="908" w:type="pct"/>
          </w:tcPr>
          <w:p>
            <w:pPr>
              <w:adjustRightInd w:val="0"/>
              <w:snapToGrid w:val="0"/>
              <w:spacing w:line="245" w:lineRule="auto"/>
              <w:ind w:firstLine="0" w:firstLineChars="0"/>
              <w:rPr>
                <w:sz w:val="21"/>
                <w:szCs w:val="21"/>
              </w:rPr>
            </w:pPr>
            <w:r>
              <w:rPr>
                <w:rFonts w:hint="eastAsia"/>
                <w:sz w:val="21"/>
                <w:szCs w:val="21"/>
              </w:rPr>
              <w:t>1.50 (0.73, 3.35)</w:t>
            </w:r>
          </w:p>
        </w:tc>
        <w:tc>
          <w:tcPr>
            <w:tcW w:w="543" w:type="pct"/>
          </w:tcPr>
          <w:p>
            <w:pPr>
              <w:adjustRightInd w:val="0"/>
              <w:snapToGrid w:val="0"/>
              <w:spacing w:line="245" w:lineRule="auto"/>
              <w:ind w:firstLine="0" w:firstLineChars="0"/>
              <w:rPr>
                <w:sz w:val="21"/>
                <w:szCs w:val="21"/>
              </w:rPr>
            </w:pPr>
            <w:r>
              <w:rPr>
                <w:sz w:val="21"/>
                <w:szCs w:val="21"/>
              </w:rPr>
              <w:t>&lt;0.001</w:t>
            </w:r>
            <w:r>
              <w:rPr>
                <w:rFonts w:hint="eastAsia"/>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 w:type="pct"/>
          </w:tcPr>
          <w:p>
            <w:pPr>
              <w:adjustRightInd w:val="0"/>
              <w:snapToGrid w:val="0"/>
              <w:spacing w:line="245" w:lineRule="auto"/>
              <w:ind w:firstLine="0" w:firstLineChars="0"/>
              <w:jc w:val="left"/>
              <w:rPr>
                <w:sz w:val="21"/>
                <w:szCs w:val="21"/>
              </w:rPr>
            </w:pPr>
          </w:p>
        </w:tc>
        <w:tc>
          <w:tcPr>
            <w:tcW w:w="2364" w:type="pct"/>
          </w:tcPr>
          <w:p>
            <w:pPr>
              <w:adjustRightInd w:val="0"/>
              <w:snapToGrid w:val="0"/>
              <w:spacing w:line="245" w:lineRule="auto"/>
              <w:ind w:firstLine="0" w:firstLineChars="0"/>
              <w:jc w:val="left"/>
              <w:rPr>
                <w:sz w:val="21"/>
                <w:szCs w:val="21"/>
              </w:rPr>
            </w:pPr>
            <w:r>
              <w:rPr>
                <w:sz w:val="21"/>
                <w:szCs w:val="21"/>
              </w:rPr>
              <w:t>Left ventricular ejection fraction (%)</w:t>
            </w:r>
          </w:p>
        </w:tc>
        <w:tc>
          <w:tcPr>
            <w:tcW w:w="923" w:type="pct"/>
          </w:tcPr>
          <w:p>
            <w:pPr>
              <w:adjustRightInd w:val="0"/>
              <w:snapToGrid w:val="0"/>
              <w:spacing w:line="245" w:lineRule="auto"/>
              <w:ind w:firstLine="0" w:firstLineChars="0"/>
              <w:rPr>
                <w:rFonts w:hint="default" w:eastAsia="宋体"/>
                <w:sz w:val="21"/>
                <w:szCs w:val="21"/>
                <w:lang w:val="en-US" w:eastAsia="zh-CN"/>
              </w:rPr>
            </w:pPr>
            <w:r>
              <w:rPr>
                <w:sz w:val="21"/>
                <w:szCs w:val="21"/>
              </w:rPr>
              <w:t>60.</w:t>
            </w:r>
            <w:r>
              <w:rPr>
                <w:rFonts w:hint="eastAsia"/>
                <w:sz w:val="21"/>
                <w:szCs w:val="21"/>
                <w:lang w:val="en-US" w:eastAsia="zh-CN"/>
              </w:rPr>
              <w:t>56</w:t>
            </w:r>
            <w:r>
              <w:rPr>
                <w:sz w:val="21"/>
                <w:szCs w:val="21"/>
              </w:rPr>
              <w:t xml:space="preserve"> ± 6.</w:t>
            </w:r>
            <w:r>
              <w:rPr>
                <w:rFonts w:hint="eastAsia"/>
                <w:sz w:val="21"/>
                <w:szCs w:val="21"/>
                <w:lang w:val="en-US" w:eastAsia="zh-CN"/>
              </w:rPr>
              <w:t>92</w:t>
            </w:r>
          </w:p>
        </w:tc>
        <w:tc>
          <w:tcPr>
            <w:tcW w:w="908" w:type="pct"/>
          </w:tcPr>
          <w:p>
            <w:pPr>
              <w:adjustRightInd w:val="0"/>
              <w:snapToGrid w:val="0"/>
              <w:spacing w:line="245" w:lineRule="auto"/>
              <w:ind w:firstLine="0" w:firstLineChars="0"/>
              <w:rPr>
                <w:sz w:val="21"/>
                <w:szCs w:val="21"/>
              </w:rPr>
            </w:pPr>
            <w:r>
              <w:rPr>
                <w:rFonts w:hint="eastAsia"/>
                <w:sz w:val="21"/>
                <w:szCs w:val="21"/>
              </w:rPr>
              <w:t>61.65</w:t>
            </w:r>
            <w:r>
              <w:rPr>
                <w:sz w:val="21"/>
                <w:szCs w:val="21"/>
              </w:rPr>
              <w:t xml:space="preserve"> ± </w:t>
            </w:r>
            <w:r>
              <w:rPr>
                <w:rFonts w:hint="eastAsia"/>
                <w:sz w:val="21"/>
                <w:szCs w:val="21"/>
              </w:rPr>
              <w:t>11.69</w:t>
            </w:r>
          </w:p>
        </w:tc>
        <w:tc>
          <w:tcPr>
            <w:tcW w:w="543" w:type="pct"/>
          </w:tcPr>
          <w:p>
            <w:pPr>
              <w:adjustRightInd w:val="0"/>
              <w:snapToGrid w:val="0"/>
              <w:spacing w:line="245" w:lineRule="auto"/>
              <w:ind w:firstLine="0" w:firstLineChars="0"/>
              <w:rPr>
                <w:sz w:val="21"/>
                <w:szCs w:val="21"/>
              </w:rPr>
            </w:pPr>
            <w:r>
              <w:rPr>
                <w:sz w:val="21"/>
                <w:szCs w:val="21"/>
              </w:rPr>
              <w:t>&lt;0.001</w:t>
            </w:r>
            <w:r>
              <w:rPr>
                <w:rFonts w:hint="eastAsia"/>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24" w:type="pct"/>
            <w:gridSpan w:val="2"/>
          </w:tcPr>
          <w:p>
            <w:pPr>
              <w:adjustRightInd w:val="0"/>
              <w:snapToGrid w:val="0"/>
              <w:spacing w:line="245" w:lineRule="auto"/>
              <w:ind w:firstLine="0" w:firstLineChars="0"/>
              <w:jc w:val="left"/>
              <w:rPr>
                <w:sz w:val="21"/>
                <w:szCs w:val="21"/>
              </w:rPr>
            </w:pPr>
            <w:r>
              <w:rPr>
                <w:sz w:val="21"/>
                <w:szCs w:val="21"/>
              </w:rPr>
              <w:t>Medication</w:t>
            </w:r>
          </w:p>
        </w:tc>
        <w:tc>
          <w:tcPr>
            <w:tcW w:w="923" w:type="pct"/>
          </w:tcPr>
          <w:p>
            <w:pPr>
              <w:adjustRightInd w:val="0"/>
              <w:snapToGrid w:val="0"/>
              <w:spacing w:line="245" w:lineRule="auto"/>
              <w:ind w:firstLine="0" w:firstLineChars="0"/>
              <w:rPr>
                <w:sz w:val="21"/>
                <w:szCs w:val="21"/>
              </w:rPr>
            </w:pPr>
          </w:p>
        </w:tc>
        <w:tc>
          <w:tcPr>
            <w:tcW w:w="908" w:type="pct"/>
          </w:tcPr>
          <w:p>
            <w:pPr>
              <w:adjustRightInd w:val="0"/>
              <w:snapToGrid w:val="0"/>
              <w:spacing w:line="245" w:lineRule="auto"/>
              <w:ind w:firstLine="0" w:firstLineChars="0"/>
              <w:rPr>
                <w:sz w:val="21"/>
                <w:szCs w:val="21"/>
              </w:rPr>
            </w:pPr>
          </w:p>
        </w:tc>
        <w:tc>
          <w:tcPr>
            <w:tcW w:w="543" w:type="pct"/>
          </w:tcPr>
          <w:p>
            <w:pPr>
              <w:adjustRightInd w:val="0"/>
              <w:snapToGrid w:val="0"/>
              <w:spacing w:line="245" w:lineRule="auto"/>
              <w:ind w:firstLine="0" w:firstLineChars="0"/>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 w:type="pct"/>
          </w:tcPr>
          <w:p>
            <w:pPr>
              <w:adjustRightInd w:val="0"/>
              <w:snapToGrid w:val="0"/>
              <w:spacing w:line="245" w:lineRule="auto"/>
              <w:ind w:firstLine="0" w:firstLineChars="0"/>
              <w:jc w:val="left"/>
              <w:rPr>
                <w:sz w:val="21"/>
                <w:szCs w:val="21"/>
              </w:rPr>
            </w:pPr>
          </w:p>
        </w:tc>
        <w:tc>
          <w:tcPr>
            <w:tcW w:w="2364" w:type="pct"/>
          </w:tcPr>
          <w:p>
            <w:pPr>
              <w:adjustRightInd w:val="0"/>
              <w:snapToGrid w:val="0"/>
              <w:spacing w:line="245" w:lineRule="auto"/>
              <w:ind w:firstLine="0" w:firstLineChars="0"/>
              <w:jc w:val="left"/>
              <w:rPr>
                <w:sz w:val="21"/>
                <w:szCs w:val="21"/>
              </w:rPr>
            </w:pPr>
            <w:r>
              <w:rPr>
                <w:sz w:val="21"/>
                <w:szCs w:val="21"/>
              </w:rPr>
              <w:t>Clopidogrel</w:t>
            </w:r>
          </w:p>
        </w:tc>
        <w:tc>
          <w:tcPr>
            <w:tcW w:w="923" w:type="pct"/>
          </w:tcPr>
          <w:p>
            <w:pPr>
              <w:adjustRightInd w:val="0"/>
              <w:snapToGrid w:val="0"/>
              <w:spacing w:line="245" w:lineRule="auto"/>
              <w:ind w:firstLine="0" w:firstLineChars="0"/>
              <w:rPr>
                <w:sz w:val="21"/>
                <w:szCs w:val="21"/>
              </w:rPr>
            </w:pPr>
            <w:r>
              <w:rPr>
                <w:rFonts w:hint="eastAsia"/>
                <w:sz w:val="21"/>
                <w:szCs w:val="21"/>
              </w:rPr>
              <w:t>982</w:t>
            </w:r>
            <w:r>
              <w:rPr>
                <w:rFonts w:hint="eastAsia"/>
                <w:sz w:val="21"/>
                <w:szCs w:val="21"/>
                <w:lang w:val="en-US" w:eastAsia="zh-CN"/>
              </w:rPr>
              <w:t xml:space="preserve"> </w:t>
            </w:r>
            <w:r>
              <w:rPr>
                <w:rFonts w:hint="eastAsia"/>
                <w:sz w:val="21"/>
                <w:szCs w:val="21"/>
              </w:rPr>
              <w:t>(85.2)</w:t>
            </w:r>
          </w:p>
        </w:tc>
        <w:tc>
          <w:tcPr>
            <w:tcW w:w="908" w:type="pct"/>
          </w:tcPr>
          <w:p>
            <w:pPr>
              <w:adjustRightInd w:val="0"/>
              <w:snapToGrid w:val="0"/>
              <w:spacing w:line="245" w:lineRule="auto"/>
              <w:ind w:firstLine="0" w:firstLineChars="0"/>
              <w:rPr>
                <w:sz w:val="21"/>
                <w:szCs w:val="21"/>
              </w:rPr>
            </w:pPr>
            <w:r>
              <w:rPr>
                <w:rFonts w:hint="eastAsia"/>
                <w:sz w:val="21"/>
                <w:szCs w:val="21"/>
              </w:rPr>
              <w:t>10,229</w:t>
            </w:r>
            <w:r>
              <w:rPr>
                <w:rFonts w:hint="eastAsia"/>
                <w:sz w:val="21"/>
                <w:szCs w:val="21"/>
                <w:lang w:val="en-US" w:eastAsia="zh-CN"/>
              </w:rPr>
              <w:t xml:space="preserve"> </w:t>
            </w:r>
            <w:r>
              <w:rPr>
                <w:rFonts w:hint="eastAsia"/>
                <w:sz w:val="21"/>
                <w:szCs w:val="21"/>
              </w:rPr>
              <w:t>(99.8)</w:t>
            </w:r>
          </w:p>
        </w:tc>
        <w:tc>
          <w:tcPr>
            <w:tcW w:w="543" w:type="pct"/>
          </w:tcPr>
          <w:p>
            <w:pPr>
              <w:adjustRightInd w:val="0"/>
              <w:snapToGrid w:val="0"/>
              <w:spacing w:line="245" w:lineRule="auto"/>
              <w:ind w:firstLine="0" w:firstLineChars="0"/>
              <w:rPr>
                <w:rFonts w:hint="eastAsia" w:eastAsia="宋体"/>
                <w:sz w:val="21"/>
                <w:szCs w:val="21"/>
                <w:lang w:val="en-US" w:eastAsia="zh-CN"/>
              </w:rPr>
            </w:pPr>
            <w:r>
              <w:rPr>
                <w:sz w:val="21"/>
                <w:szCs w:val="21"/>
              </w:rPr>
              <w:t>&lt;0.001</w:t>
            </w:r>
            <w:r>
              <w:rPr>
                <w:rFonts w:hint="eastAsia"/>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 w:type="pct"/>
          </w:tcPr>
          <w:p>
            <w:pPr>
              <w:adjustRightInd w:val="0"/>
              <w:snapToGrid w:val="0"/>
              <w:spacing w:line="245" w:lineRule="auto"/>
              <w:ind w:firstLine="0" w:firstLineChars="0"/>
              <w:jc w:val="left"/>
              <w:rPr>
                <w:sz w:val="21"/>
                <w:szCs w:val="21"/>
              </w:rPr>
            </w:pPr>
          </w:p>
        </w:tc>
        <w:tc>
          <w:tcPr>
            <w:tcW w:w="2364" w:type="pct"/>
          </w:tcPr>
          <w:p>
            <w:pPr>
              <w:adjustRightInd w:val="0"/>
              <w:snapToGrid w:val="0"/>
              <w:spacing w:line="245" w:lineRule="auto"/>
              <w:ind w:firstLine="0" w:firstLineChars="0"/>
              <w:jc w:val="left"/>
              <w:rPr>
                <w:sz w:val="21"/>
                <w:szCs w:val="21"/>
              </w:rPr>
            </w:pPr>
            <w:r>
              <w:rPr>
                <w:sz w:val="21"/>
                <w:szCs w:val="21"/>
              </w:rPr>
              <w:t>Glycoprotein IIb/IIIa inhibitors</w:t>
            </w:r>
          </w:p>
        </w:tc>
        <w:tc>
          <w:tcPr>
            <w:tcW w:w="923" w:type="pct"/>
          </w:tcPr>
          <w:p>
            <w:pPr>
              <w:adjustRightInd w:val="0"/>
              <w:snapToGrid w:val="0"/>
              <w:spacing w:line="245" w:lineRule="auto"/>
              <w:ind w:firstLine="0" w:firstLineChars="0"/>
              <w:rPr>
                <w:sz w:val="21"/>
                <w:szCs w:val="21"/>
              </w:rPr>
            </w:pPr>
            <w:r>
              <w:rPr>
                <w:sz w:val="21"/>
                <w:szCs w:val="21"/>
              </w:rPr>
              <w:t>-</w:t>
            </w:r>
          </w:p>
        </w:tc>
        <w:tc>
          <w:tcPr>
            <w:tcW w:w="908" w:type="pct"/>
          </w:tcPr>
          <w:p>
            <w:pPr>
              <w:adjustRightInd w:val="0"/>
              <w:snapToGrid w:val="0"/>
              <w:spacing w:line="245" w:lineRule="auto"/>
              <w:ind w:firstLine="0" w:firstLineChars="0"/>
              <w:rPr>
                <w:sz w:val="21"/>
                <w:szCs w:val="21"/>
              </w:rPr>
            </w:pPr>
            <w:r>
              <w:rPr>
                <w:rFonts w:hint="eastAsia"/>
                <w:sz w:val="21"/>
                <w:szCs w:val="21"/>
              </w:rPr>
              <w:t>1636 (16.0)</w:t>
            </w:r>
          </w:p>
        </w:tc>
        <w:tc>
          <w:tcPr>
            <w:tcW w:w="543" w:type="pct"/>
          </w:tcPr>
          <w:p>
            <w:pPr>
              <w:adjustRightInd w:val="0"/>
              <w:snapToGrid w:val="0"/>
              <w:spacing w:line="245" w:lineRule="auto"/>
              <w:ind w:firstLine="0" w:firstLineChars="0"/>
              <w:rPr>
                <w:sz w:val="21"/>
                <w:szCs w:val="21"/>
              </w:rPr>
            </w:pPr>
            <w:r>
              <w:rPr>
                <w:sz w:val="21"/>
                <w:szCs w:val="21"/>
              </w:rPr>
              <w:t>-</w:t>
            </w:r>
          </w:p>
        </w:tc>
      </w:tr>
    </w:tbl>
    <w:p>
      <w:pPr>
        <w:adjustRightInd w:val="0"/>
        <w:snapToGrid w:val="0"/>
        <w:spacing w:line="245" w:lineRule="auto"/>
        <w:ind w:firstLine="0" w:firstLineChars="0"/>
        <w:rPr>
          <w:rFonts w:hint="eastAsia"/>
          <w:lang w:val="en-US" w:eastAsia="zh-CN"/>
        </w:rPr>
      </w:pPr>
      <w:r>
        <w:t>Values are mean ± standard deviation or n (%).</w:t>
      </w:r>
      <w:r>
        <w:rPr>
          <w:rFonts w:hint="eastAsia"/>
          <w:lang w:val="en-US" w:eastAsia="zh-CN"/>
        </w:rPr>
        <w:t xml:space="preserve"> UFH: unfractionated heparin.</w:t>
      </w:r>
    </w:p>
    <w:p>
      <w:pPr>
        <w:adjustRightInd w:val="0"/>
        <w:snapToGrid w:val="0"/>
        <w:spacing w:line="245" w:lineRule="auto"/>
        <w:ind w:firstLine="0" w:firstLineChars="0"/>
      </w:pPr>
      <w:r>
        <w:t>*P values indicating statistical significance.</w:t>
      </w:r>
      <w:r>
        <w:br w:type="page"/>
      </w:r>
    </w:p>
    <w:p>
      <w:pPr>
        <w:spacing w:line="480" w:lineRule="auto"/>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spacing w:line="480" w:lineRule="auto"/>
        <w:jc w:val="left"/>
        <w:rPr>
          <w:b/>
          <w:bCs/>
          <w:sz w:val="24"/>
          <w:szCs w:val="24"/>
        </w:rPr>
      </w:pPr>
      <w:r>
        <w:rPr>
          <w:b/>
          <w:bCs/>
          <w:sz w:val="24"/>
          <w:szCs w:val="24"/>
        </w:rPr>
        <w:t xml:space="preserve">Table S2. </w:t>
      </w:r>
      <w:r>
        <w:rPr>
          <w:kern w:val="0"/>
          <w:sz w:val="24"/>
          <w:szCs w:val="24"/>
        </w:rPr>
        <w:t>Univariate Cox regression of variables with clinical outcomes</w:t>
      </w:r>
    </w:p>
    <w:tbl>
      <w:tblPr>
        <w:tblStyle w:val="6"/>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3978"/>
        <w:gridCol w:w="1622"/>
        <w:gridCol w:w="912"/>
        <w:gridCol w:w="1714"/>
        <w:gridCol w:w="912"/>
        <w:gridCol w:w="1616"/>
        <w:gridCol w:w="9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0" w:type="auto"/>
            <w:vMerge w:val="restart"/>
          </w:tcPr>
          <w:p>
            <w:pPr>
              <w:adjustRightInd w:val="0"/>
              <w:snapToGrid w:val="0"/>
              <w:spacing w:line="245" w:lineRule="auto"/>
              <w:ind w:firstLine="0" w:firstLineChars="0"/>
            </w:pPr>
            <w:r>
              <w:t>Parameters</w:t>
            </w:r>
          </w:p>
        </w:tc>
        <w:tc>
          <w:tcPr>
            <w:tcW w:w="0" w:type="auto"/>
            <w:gridSpan w:val="2"/>
            <w:vAlign w:val="center"/>
          </w:tcPr>
          <w:p>
            <w:pPr>
              <w:adjustRightInd w:val="0"/>
              <w:snapToGrid w:val="0"/>
              <w:spacing w:line="245" w:lineRule="auto"/>
              <w:ind w:firstLine="0" w:firstLineChars="0"/>
            </w:pPr>
            <w:r>
              <w:rPr>
                <w:rFonts w:hint="eastAsia"/>
              </w:rPr>
              <w:t>N</w:t>
            </w:r>
            <w:r>
              <w:t>ACE</w:t>
            </w:r>
          </w:p>
        </w:tc>
        <w:tc>
          <w:tcPr>
            <w:tcW w:w="0" w:type="auto"/>
            <w:gridSpan w:val="2"/>
            <w:vAlign w:val="center"/>
          </w:tcPr>
          <w:p>
            <w:pPr>
              <w:adjustRightInd w:val="0"/>
              <w:snapToGrid w:val="0"/>
              <w:spacing w:line="245" w:lineRule="auto"/>
              <w:ind w:firstLine="0" w:firstLineChars="0"/>
            </w:pPr>
            <w:r>
              <w:rPr>
                <w:rFonts w:hint="eastAsia"/>
              </w:rPr>
              <w:t>B</w:t>
            </w:r>
            <w:r>
              <w:t>leeding</w:t>
            </w:r>
            <w:r>
              <w:rPr>
                <w:rFonts w:hint="eastAsia"/>
              </w:rPr>
              <w:t xml:space="preserve"> </w:t>
            </w:r>
          </w:p>
        </w:tc>
        <w:tc>
          <w:tcPr>
            <w:tcW w:w="0" w:type="auto"/>
            <w:gridSpan w:val="2"/>
            <w:vAlign w:val="center"/>
          </w:tcPr>
          <w:p>
            <w:pPr>
              <w:adjustRightInd w:val="0"/>
              <w:snapToGrid w:val="0"/>
              <w:spacing w:line="245" w:lineRule="auto"/>
              <w:ind w:firstLine="0" w:firstLineChars="0"/>
            </w:pPr>
            <w:r>
              <w:rPr>
                <w:rFonts w:hint="eastAsia"/>
              </w:rPr>
              <w:t>M</w:t>
            </w:r>
            <w:r>
              <w:t>ACCE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0" w:type="auto"/>
            <w:vMerge w:val="continue"/>
            <w:vAlign w:val="center"/>
          </w:tcPr>
          <w:p>
            <w:pPr>
              <w:adjustRightInd w:val="0"/>
              <w:snapToGrid w:val="0"/>
              <w:spacing w:line="245" w:lineRule="auto"/>
              <w:ind w:firstLine="0" w:firstLineChars="0"/>
            </w:pPr>
          </w:p>
        </w:tc>
        <w:tc>
          <w:tcPr>
            <w:tcW w:w="0" w:type="auto"/>
            <w:vAlign w:val="center"/>
          </w:tcPr>
          <w:p>
            <w:pPr>
              <w:adjustRightInd w:val="0"/>
              <w:snapToGrid w:val="0"/>
              <w:spacing w:line="245" w:lineRule="auto"/>
              <w:ind w:firstLine="0" w:firstLineChars="0"/>
            </w:pPr>
            <w:r>
              <w:rPr>
                <w:rFonts w:hint="eastAsia"/>
              </w:rPr>
              <w:t>H</w:t>
            </w:r>
            <w:r>
              <w:t>R (95% CI)</w:t>
            </w:r>
          </w:p>
        </w:tc>
        <w:tc>
          <w:tcPr>
            <w:tcW w:w="0" w:type="auto"/>
            <w:vAlign w:val="center"/>
          </w:tcPr>
          <w:p>
            <w:pPr>
              <w:adjustRightInd w:val="0"/>
              <w:snapToGrid w:val="0"/>
              <w:spacing w:line="245" w:lineRule="auto"/>
              <w:ind w:firstLine="0" w:firstLineChars="0"/>
            </w:pPr>
            <w:r>
              <w:rPr>
                <w:bCs/>
                <w:i/>
                <w:iCs/>
              </w:rPr>
              <w:t>p</w:t>
            </w:r>
            <w:r>
              <w:rPr>
                <w:bCs/>
              </w:rPr>
              <w:t xml:space="preserve"> </w:t>
            </w:r>
            <w:r>
              <w:t>value</w:t>
            </w:r>
          </w:p>
        </w:tc>
        <w:tc>
          <w:tcPr>
            <w:tcW w:w="0" w:type="auto"/>
            <w:vAlign w:val="center"/>
          </w:tcPr>
          <w:p>
            <w:pPr>
              <w:adjustRightInd w:val="0"/>
              <w:snapToGrid w:val="0"/>
              <w:spacing w:line="245" w:lineRule="auto"/>
              <w:ind w:firstLine="0" w:firstLineChars="0"/>
            </w:pPr>
            <w:r>
              <w:rPr>
                <w:rFonts w:hint="eastAsia"/>
              </w:rPr>
              <w:t>H</w:t>
            </w:r>
            <w:r>
              <w:t>R (95% CI)</w:t>
            </w:r>
          </w:p>
        </w:tc>
        <w:tc>
          <w:tcPr>
            <w:tcW w:w="0" w:type="auto"/>
            <w:vAlign w:val="center"/>
          </w:tcPr>
          <w:p>
            <w:pPr>
              <w:adjustRightInd w:val="0"/>
              <w:snapToGrid w:val="0"/>
              <w:spacing w:line="245" w:lineRule="auto"/>
              <w:ind w:firstLine="0" w:firstLineChars="0"/>
            </w:pPr>
            <w:r>
              <w:rPr>
                <w:bCs/>
                <w:i/>
                <w:iCs/>
              </w:rPr>
              <w:t>p</w:t>
            </w:r>
            <w:r>
              <w:rPr>
                <w:bCs/>
              </w:rPr>
              <w:t xml:space="preserve"> </w:t>
            </w:r>
            <w:r>
              <w:t>value</w:t>
            </w:r>
          </w:p>
        </w:tc>
        <w:tc>
          <w:tcPr>
            <w:tcW w:w="0" w:type="auto"/>
            <w:vAlign w:val="center"/>
          </w:tcPr>
          <w:p>
            <w:pPr>
              <w:adjustRightInd w:val="0"/>
              <w:snapToGrid w:val="0"/>
              <w:spacing w:line="245" w:lineRule="auto"/>
              <w:ind w:firstLine="0" w:firstLineChars="0"/>
            </w:pPr>
            <w:r>
              <w:rPr>
                <w:rFonts w:hint="eastAsia"/>
              </w:rPr>
              <w:t>H</w:t>
            </w:r>
            <w:r>
              <w:t>R (95% CI)</w:t>
            </w:r>
          </w:p>
        </w:tc>
        <w:tc>
          <w:tcPr>
            <w:tcW w:w="0" w:type="auto"/>
            <w:vAlign w:val="center"/>
          </w:tcPr>
          <w:p>
            <w:pPr>
              <w:adjustRightInd w:val="0"/>
              <w:snapToGrid w:val="0"/>
              <w:spacing w:line="245" w:lineRule="auto"/>
              <w:ind w:firstLine="0" w:firstLineChars="0"/>
            </w:pPr>
            <w:r>
              <w:rPr>
                <w:bCs/>
                <w:i/>
                <w:iCs/>
              </w:rPr>
              <w:t>p</w:t>
            </w:r>
            <w:r>
              <w:rPr>
                <w:bCs/>
              </w:rPr>
              <w:t xml:space="preserve"> </w:t>
            </w:r>
            <w:r>
              <w:t>value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0" w:type="auto"/>
            <w:tcBorders>
              <w:tl2br w:val="nil"/>
              <w:tr2bl w:val="nil"/>
            </w:tcBorders>
            <w:vAlign w:val="center"/>
          </w:tcPr>
          <w:p>
            <w:pPr>
              <w:adjustRightInd w:val="0"/>
              <w:snapToGrid w:val="0"/>
              <w:spacing w:line="245" w:lineRule="auto"/>
              <w:ind w:firstLine="0" w:firstLineChars="0"/>
            </w:pPr>
            <w:r>
              <w:t>Age</w:t>
            </w:r>
          </w:p>
        </w:tc>
        <w:tc>
          <w:tcPr>
            <w:tcW w:w="0" w:type="auto"/>
            <w:tcBorders>
              <w:tl2br w:val="nil"/>
              <w:tr2bl w:val="nil"/>
            </w:tcBorders>
            <w:vAlign w:val="center"/>
          </w:tcPr>
          <w:p>
            <w:pPr>
              <w:adjustRightInd w:val="0"/>
              <w:snapToGrid w:val="0"/>
              <w:spacing w:line="245" w:lineRule="auto"/>
              <w:ind w:firstLine="0" w:firstLineChars="0"/>
            </w:pPr>
            <w:r>
              <w:rPr>
                <w:rFonts w:hint="eastAsia"/>
              </w:rPr>
              <w:t>1</w:t>
            </w:r>
            <w:r>
              <w:t>.00 (0.99–1.01)</w:t>
            </w:r>
          </w:p>
        </w:tc>
        <w:tc>
          <w:tcPr>
            <w:tcW w:w="0" w:type="auto"/>
            <w:tcBorders>
              <w:tl2br w:val="nil"/>
              <w:tr2bl w:val="nil"/>
            </w:tcBorders>
            <w:vAlign w:val="center"/>
          </w:tcPr>
          <w:p>
            <w:pPr>
              <w:adjustRightInd w:val="0"/>
              <w:snapToGrid w:val="0"/>
              <w:spacing w:line="245" w:lineRule="auto"/>
              <w:ind w:firstLine="0" w:firstLineChars="0"/>
            </w:pPr>
            <w:r>
              <w:t>0.929</w:t>
            </w:r>
          </w:p>
        </w:tc>
        <w:tc>
          <w:tcPr>
            <w:tcW w:w="0" w:type="auto"/>
            <w:tcBorders>
              <w:tl2br w:val="nil"/>
              <w:tr2bl w:val="nil"/>
            </w:tcBorders>
            <w:vAlign w:val="center"/>
          </w:tcPr>
          <w:p>
            <w:pPr>
              <w:adjustRightInd w:val="0"/>
              <w:snapToGrid w:val="0"/>
              <w:spacing w:line="245" w:lineRule="auto"/>
              <w:ind w:firstLine="0" w:firstLineChars="0"/>
            </w:pPr>
            <w:r>
              <w:rPr>
                <w:rFonts w:hint="eastAsia"/>
              </w:rPr>
              <w:t>1</w:t>
            </w:r>
            <w:r>
              <w:t>.03 (1.01–1.06)</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.022*</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.99 (0.98–1.01)</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.403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0" w:type="auto"/>
            <w:tcBorders>
              <w:tl2br w:val="nil"/>
              <w:tr2bl w:val="nil"/>
            </w:tcBorders>
            <w:vAlign w:val="center"/>
          </w:tcPr>
          <w:p>
            <w:pPr>
              <w:adjustRightInd w:val="0"/>
              <w:snapToGrid w:val="0"/>
              <w:spacing w:line="245" w:lineRule="auto"/>
              <w:ind w:firstLine="0" w:firstLineChars="0"/>
            </w:pPr>
            <w:r>
              <w:t>Male</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.99 (0.78–1.26)</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.962</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.69 (0.43–1.11)</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.128</w:t>
            </w:r>
          </w:p>
        </w:tc>
        <w:tc>
          <w:tcPr>
            <w:tcW w:w="0" w:type="auto"/>
            <w:tcBorders>
              <w:tl2br w:val="nil"/>
              <w:tr2bl w:val="nil"/>
            </w:tcBorders>
            <w:vAlign w:val="center"/>
          </w:tcPr>
          <w:p>
            <w:pPr>
              <w:adjustRightInd w:val="0"/>
              <w:snapToGrid w:val="0"/>
              <w:spacing w:line="245" w:lineRule="auto"/>
              <w:ind w:firstLine="0" w:firstLineChars="0"/>
            </w:pPr>
            <w:r>
              <w:rPr>
                <w:rFonts w:hint="eastAsia"/>
              </w:rPr>
              <w:t>1</w:t>
            </w:r>
            <w:r>
              <w:t>.09 (0.83–1.43)</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.535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0" w:type="auto"/>
            <w:tcBorders>
              <w:tl2br w:val="nil"/>
              <w:tr2bl w:val="nil"/>
            </w:tcBorders>
            <w:vAlign w:val="center"/>
          </w:tcPr>
          <w:p>
            <w:pPr>
              <w:adjustRightInd w:val="0"/>
              <w:snapToGrid w:val="0"/>
              <w:spacing w:line="245" w:lineRule="auto"/>
              <w:ind w:firstLine="0" w:firstLineChars="0"/>
            </w:pPr>
            <w:r>
              <w:t>Body mass index</w:t>
            </w:r>
          </w:p>
        </w:tc>
        <w:tc>
          <w:tcPr>
            <w:tcW w:w="0" w:type="auto"/>
            <w:tcBorders>
              <w:tl2br w:val="nil"/>
              <w:tr2bl w:val="nil"/>
            </w:tcBorders>
            <w:vAlign w:val="center"/>
          </w:tcPr>
          <w:p>
            <w:pPr>
              <w:adjustRightInd w:val="0"/>
              <w:snapToGrid w:val="0"/>
              <w:spacing w:line="245" w:lineRule="auto"/>
              <w:ind w:firstLine="0" w:firstLineChars="0"/>
            </w:pPr>
            <w:r>
              <w:rPr>
                <w:rFonts w:hint="eastAsia"/>
              </w:rPr>
              <w:t>1</w:t>
            </w:r>
            <w:r>
              <w:t>.00 (0.99–1.02)</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.917</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.97 (0.91–1.04)</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.395</w:t>
            </w:r>
          </w:p>
        </w:tc>
        <w:tc>
          <w:tcPr>
            <w:tcW w:w="0" w:type="auto"/>
            <w:tcBorders>
              <w:tl2br w:val="nil"/>
              <w:tr2bl w:val="nil"/>
            </w:tcBorders>
            <w:vAlign w:val="center"/>
          </w:tcPr>
          <w:p>
            <w:pPr>
              <w:adjustRightInd w:val="0"/>
              <w:snapToGrid w:val="0"/>
              <w:spacing w:line="245" w:lineRule="auto"/>
              <w:ind w:firstLine="0" w:firstLineChars="0"/>
            </w:pPr>
            <w:r>
              <w:rPr>
                <w:rFonts w:hint="eastAsia"/>
              </w:rPr>
              <w:t>1</w:t>
            </w:r>
            <w:r>
              <w:t>.00 (0.99–1.02)</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.777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0" w:type="auto"/>
            <w:tcBorders>
              <w:tl2br w:val="nil"/>
              <w:tr2bl w:val="nil"/>
            </w:tcBorders>
            <w:vAlign w:val="center"/>
          </w:tcPr>
          <w:p>
            <w:pPr>
              <w:adjustRightInd w:val="0"/>
              <w:snapToGrid w:val="0"/>
              <w:spacing w:line="245" w:lineRule="auto"/>
              <w:ind w:firstLine="0" w:firstLineChars="0"/>
            </w:pPr>
            <w:r>
              <w:t>Diabetes</w:t>
            </w:r>
          </w:p>
        </w:tc>
        <w:tc>
          <w:tcPr>
            <w:tcW w:w="0" w:type="auto"/>
            <w:tcBorders>
              <w:tl2br w:val="nil"/>
              <w:tr2bl w:val="nil"/>
            </w:tcBorders>
            <w:vAlign w:val="center"/>
          </w:tcPr>
          <w:p>
            <w:pPr>
              <w:adjustRightInd w:val="0"/>
              <w:snapToGrid w:val="0"/>
              <w:spacing w:line="245" w:lineRule="auto"/>
              <w:ind w:firstLine="0" w:firstLineChars="0"/>
            </w:pPr>
            <w:r>
              <w:rPr>
                <w:rFonts w:hint="eastAsia"/>
              </w:rPr>
              <w:t>1</w:t>
            </w:r>
            <w:r>
              <w:t>.13 (0.91–1.42)</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.282</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.76 (0.47–1.24)</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.276</w:t>
            </w:r>
          </w:p>
        </w:tc>
        <w:tc>
          <w:tcPr>
            <w:tcW w:w="0" w:type="auto"/>
            <w:tcBorders>
              <w:tl2br w:val="nil"/>
              <w:tr2bl w:val="nil"/>
            </w:tcBorders>
            <w:vAlign w:val="center"/>
          </w:tcPr>
          <w:p>
            <w:pPr>
              <w:adjustRightInd w:val="0"/>
              <w:snapToGrid w:val="0"/>
              <w:spacing w:line="245" w:lineRule="auto"/>
              <w:ind w:firstLine="0" w:firstLineChars="0"/>
            </w:pPr>
            <w:r>
              <w:rPr>
                <w:rFonts w:hint="eastAsia"/>
              </w:rPr>
              <w:t>1</w:t>
            </w:r>
            <w:r>
              <w:t>.22 (0.95–1.57)</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.118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0" w:type="auto"/>
            <w:tcBorders>
              <w:tl2br w:val="nil"/>
              <w:tr2bl w:val="nil"/>
            </w:tcBorders>
            <w:vAlign w:val="center"/>
          </w:tcPr>
          <w:p>
            <w:pPr>
              <w:adjustRightInd w:val="0"/>
              <w:snapToGrid w:val="0"/>
              <w:spacing w:line="245" w:lineRule="auto"/>
              <w:ind w:firstLine="0" w:firstLineChars="0"/>
            </w:pPr>
            <w:r>
              <w:t>Hypertension</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.97 (0.76–1.25)</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.835</w:t>
            </w:r>
          </w:p>
        </w:tc>
        <w:tc>
          <w:tcPr>
            <w:tcW w:w="0" w:type="auto"/>
            <w:tcBorders>
              <w:tl2br w:val="nil"/>
              <w:tr2bl w:val="nil"/>
            </w:tcBorders>
            <w:vAlign w:val="center"/>
          </w:tcPr>
          <w:p>
            <w:pPr>
              <w:adjustRightInd w:val="0"/>
              <w:snapToGrid w:val="0"/>
              <w:spacing w:line="245" w:lineRule="auto"/>
              <w:ind w:firstLine="0" w:firstLineChars="0"/>
            </w:pPr>
            <w:r>
              <w:rPr>
                <w:rFonts w:hint="eastAsia"/>
              </w:rPr>
              <w:t>1</w:t>
            </w:r>
            <w:r>
              <w:t>.10 (0.65–1.88)</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.722</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.93 (0.71–1.23)</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.628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0" w:type="auto"/>
            <w:tcBorders>
              <w:tl2br w:val="nil"/>
              <w:tr2bl w:val="nil"/>
            </w:tcBorders>
            <w:vAlign w:val="center"/>
          </w:tcPr>
          <w:p>
            <w:pPr>
              <w:adjustRightInd w:val="0"/>
              <w:snapToGrid w:val="0"/>
              <w:spacing w:line="245" w:lineRule="auto"/>
              <w:ind w:firstLine="0" w:firstLineChars="0"/>
            </w:pPr>
            <w:r>
              <w:t>Hyperlipidemia</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.99 (0;77–1.27)</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.910</w:t>
            </w:r>
          </w:p>
        </w:tc>
        <w:tc>
          <w:tcPr>
            <w:tcW w:w="0" w:type="auto"/>
            <w:tcBorders>
              <w:tl2br w:val="nil"/>
              <w:tr2bl w:val="nil"/>
            </w:tcBorders>
            <w:vAlign w:val="center"/>
          </w:tcPr>
          <w:p>
            <w:pPr>
              <w:adjustRightInd w:val="0"/>
              <w:snapToGrid w:val="0"/>
              <w:spacing w:line="245" w:lineRule="auto"/>
              <w:ind w:firstLine="0" w:firstLineChars="0"/>
            </w:pPr>
            <w:r>
              <w:rPr>
                <w:rFonts w:hint="eastAsia"/>
              </w:rPr>
              <w:t>1</w:t>
            </w:r>
            <w:r>
              <w:t>.21 (0.70–2.09)</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.490</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.93 (0.70–1.22)</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.591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0" w:type="auto"/>
            <w:tcBorders>
              <w:tl2br w:val="nil"/>
              <w:tr2bl w:val="nil"/>
            </w:tcBorders>
            <w:vAlign w:val="center"/>
          </w:tcPr>
          <w:p>
            <w:pPr>
              <w:adjustRightInd w:val="0"/>
              <w:snapToGrid w:val="0"/>
              <w:spacing w:line="245" w:lineRule="auto"/>
              <w:ind w:firstLine="0" w:firstLineChars="0"/>
            </w:pPr>
            <w:r>
              <w:t>Chronic obstructive pulmonary disease</w:t>
            </w:r>
          </w:p>
        </w:tc>
        <w:tc>
          <w:tcPr>
            <w:tcW w:w="0" w:type="auto"/>
            <w:tcBorders>
              <w:tl2br w:val="nil"/>
              <w:tr2bl w:val="nil"/>
            </w:tcBorders>
            <w:vAlign w:val="center"/>
          </w:tcPr>
          <w:p>
            <w:pPr>
              <w:adjustRightInd w:val="0"/>
              <w:snapToGrid w:val="0"/>
              <w:spacing w:line="245" w:lineRule="auto"/>
              <w:ind w:firstLine="0" w:firstLineChars="0"/>
            </w:pPr>
            <w:r>
              <w:rPr>
                <w:rFonts w:hint="eastAsia"/>
              </w:rPr>
              <w:t>1</w:t>
            </w:r>
            <w:r>
              <w:t>.24 (0.70–2.20)</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.470</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.86 (0.21–3.50)</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.832</w:t>
            </w:r>
          </w:p>
        </w:tc>
        <w:tc>
          <w:tcPr>
            <w:tcW w:w="0" w:type="auto"/>
            <w:tcBorders>
              <w:tl2br w:val="nil"/>
              <w:tr2bl w:val="nil"/>
            </w:tcBorders>
            <w:vAlign w:val="center"/>
          </w:tcPr>
          <w:p>
            <w:pPr>
              <w:adjustRightInd w:val="0"/>
              <w:snapToGrid w:val="0"/>
              <w:spacing w:line="245" w:lineRule="auto"/>
              <w:ind w:firstLine="0" w:firstLineChars="0"/>
            </w:pPr>
            <w:r>
              <w:rPr>
                <w:rFonts w:hint="eastAsia"/>
              </w:rPr>
              <w:t>1</w:t>
            </w:r>
            <w:r>
              <w:t>.27 (0.67–2.39)</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.461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0" w:type="auto"/>
            <w:tcBorders>
              <w:tl2br w:val="nil"/>
              <w:tr2bl w:val="nil"/>
            </w:tcBorders>
            <w:vAlign w:val="center"/>
          </w:tcPr>
          <w:p>
            <w:pPr>
              <w:adjustRightInd w:val="0"/>
              <w:snapToGrid w:val="0"/>
              <w:spacing w:line="245" w:lineRule="auto"/>
              <w:ind w:firstLine="0" w:firstLineChars="0"/>
            </w:pPr>
            <w:r>
              <w:t>Peripheral vascular disease</w:t>
            </w:r>
          </w:p>
        </w:tc>
        <w:tc>
          <w:tcPr>
            <w:tcW w:w="0" w:type="auto"/>
            <w:tcBorders>
              <w:tl2br w:val="nil"/>
              <w:tr2bl w:val="nil"/>
            </w:tcBorders>
            <w:vAlign w:val="center"/>
          </w:tcPr>
          <w:p>
            <w:pPr>
              <w:adjustRightInd w:val="0"/>
              <w:snapToGrid w:val="0"/>
              <w:spacing w:line="245" w:lineRule="auto"/>
              <w:ind w:firstLine="0" w:firstLineChars="0"/>
            </w:pPr>
            <w:r>
              <w:rPr>
                <w:rFonts w:hint="eastAsia"/>
              </w:rPr>
              <w:t>1</w:t>
            </w:r>
            <w:r>
              <w:t>.81 (1.30–2.53)</w:t>
            </w:r>
          </w:p>
        </w:tc>
        <w:tc>
          <w:tcPr>
            <w:tcW w:w="0" w:type="auto"/>
            <w:tcBorders>
              <w:tl2br w:val="nil"/>
              <w:tr2bl w:val="nil"/>
            </w:tcBorders>
            <w:vAlign w:val="center"/>
          </w:tcPr>
          <w:p>
            <w:pPr>
              <w:adjustRightInd w:val="0"/>
              <w:snapToGrid w:val="0"/>
              <w:spacing w:line="245" w:lineRule="auto"/>
              <w:ind w:firstLine="0" w:firstLineChars="0"/>
            </w:pPr>
            <w:r>
              <w:rPr>
                <w:rFonts w:hint="eastAsia"/>
              </w:rPr>
              <w:t>&lt;</w:t>
            </w:r>
            <w:r>
              <w:t>0.001*</w:t>
            </w:r>
          </w:p>
        </w:tc>
        <w:tc>
          <w:tcPr>
            <w:tcW w:w="0" w:type="auto"/>
            <w:tcBorders>
              <w:tl2br w:val="nil"/>
              <w:tr2bl w:val="nil"/>
            </w:tcBorders>
            <w:vAlign w:val="center"/>
          </w:tcPr>
          <w:p>
            <w:pPr>
              <w:adjustRightInd w:val="0"/>
              <w:snapToGrid w:val="0"/>
              <w:spacing w:line="245" w:lineRule="auto"/>
              <w:ind w:firstLine="0" w:firstLineChars="0"/>
            </w:pPr>
            <w:r>
              <w:rPr>
                <w:rFonts w:hint="eastAsia"/>
              </w:rPr>
              <w:t>1</w:t>
            </w:r>
            <w:r>
              <w:t>.92 (0.98–3.73)</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.057</w:t>
            </w:r>
          </w:p>
        </w:tc>
        <w:tc>
          <w:tcPr>
            <w:tcW w:w="0" w:type="auto"/>
            <w:tcBorders>
              <w:tl2br w:val="nil"/>
              <w:tr2bl w:val="nil"/>
            </w:tcBorders>
            <w:vAlign w:val="center"/>
          </w:tcPr>
          <w:p>
            <w:pPr>
              <w:adjustRightInd w:val="0"/>
              <w:snapToGrid w:val="0"/>
              <w:spacing w:line="245" w:lineRule="auto"/>
              <w:ind w:firstLine="0" w:firstLineChars="0"/>
            </w:pPr>
            <w:r>
              <w:rPr>
                <w:rFonts w:hint="eastAsia"/>
              </w:rPr>
              <w:t>1</w:t>
            </w:r>
            <w:r>
              <w:t>.78 (1.23–2.57)</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.002*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0" w:type="auto"/>
            <w:tcBorders>
              <w:tl2br w:val="nil"/>
              <w:tr2bl w:val="nil"/>
            </w:tcBorders>
            <w:vAlign w:val="center"/>
          </w:tcPr>
          <w:p>
            <w:pPr>
              <w:adjustRightInd w:val="0"/>
              <w:snapToGrid w:val="0"/>
              <w:spacing w:line="245" w:lineRule="auto"/>
              <w:ind w:firstLine="0" w:firstLineChars="0"/>
            </w:pPr>
            <w:r>
              <w:t>Current/former smoker</w:t>
            </w:r>
          </w:p>
        </w:tc>
        <w:tc>
          <w:tcPr>
            <w:tcW w:w="0" w:type="auto"/>
            <w:tcBorders>
              <w:tl2br w:val="nil"/>
              <w:tr2bl w:val="nil"/>
            </w:tcBorders>
            <w:vAlign w:val="center"/>
          </w:tcPr>
          <w:p>
            <w:pPr>
              <w:adjustRightInd w:val="0"/>
              <w:snapToGrid w:val="0"/>
              <w:spacing w:line="245" w:lineRule="auto"/>
              <w:ind w:firstLine="0" w:firstLineChars="0"/>
            </w:pPr>
            <w:r>
              <w:rPr>
                <w:rFonts w:hint="eastAsia"/>
              </w:rPr>
              <w:t>1</w:t>
            </w:r>
            <w:r>
              <w:t>.15 (0.92–1.44)</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.215</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.95 (0.60–1.51)</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.828</w:t>
            </w:r>
          </w:p>
        </w:tc>
        <w:tc>
          <w:tcPr>
            <w:tcW w:w="0" w:type="auto"/>
            <w:tcBorders>
              <w:tl2br w:val="nil"/>
              <w:tr2bl w:val="nil"/>
            </w:tcBorders>
            <w:vAlign w:val="center"/>
          </w:tcPr>
          <w:p>
            <w:pPr>
              <w:adjustRightInd w:val="0"/>
              <w:snapToGrid w:val="0"/>
              <w:spacing w:line="245" w:lineRule="auto"/>
              <w:ind w:firstLine="0" w:firstLineChars="0"/>
            </w:pPr>
            <w:r>
              <w:rPr>
                <w:rFonts w:hint="eastAsia"/>
              </w:rPr>
              <w:t>1</w:t>
            </w:r>
            <w:r>
              <w:t>.19 (0.92–1.52)</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.182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0" w:type="auto"/>
            <w:tcBorders>
              <w:tl2br w:val="nil"/>
              <w:tr2bl w:val="nil"/>
            </w:tcBorders>
            <w:vAlign w:val="center"/>
          </w:tcPr>
          <w:p>
            <w:pPr>
              <w:adjustRightInd w:val="0"/>
              <w:snapToGrid w:val="0"/>
              <w:spacing w:line="245" w:lineRule="auto"/>
              <w:ind w:firstLine="0" w:firstLineChars="0"/>
            </w:pPr>
            <w:r>
              <w:t>Previous myocardial infarction</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.99 (1.01–0.76)</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.942</w:t>
            </w:r>
          </w:p>
        </w:tc>
        <w:tc>
          <w:tcPr>
            <w:tcW w:w="0" w:type="auto"/>
            <w:tcBorders>
              <w:tl2br w:val="nil"/>
              <w:tr2bl w:val="nil"/>
            </w:tcBorders>
            <w:vAlign w:val="center"/>
          </w:tcPr>
          <w:p>
            <w:pPr>
              <w:adjustRightInd w:val="0"/>
              <w:snapToGrid w:val="0"/>
              <w:spacing w:line="245" w:lineRule="auto"/>
              <w:ind w:firstLine="0" w:firstLineChars="0"/>
            </w:pPr>
            <w:r>
              <w:rPr>
                <w:rFonts w:hint="eastAsia"/>
              </w:rPr>
              <w:t>1</w:t>
            </w:r>
            <w:r>
              <w:t>.27 (0.75–2.15)</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.367</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.96 (0.71–1.29)</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.768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0" w:type="auto"/>
            <w:tcBorders>
              <w:tl2br w:val="nil"/>
              <w:tr2bl w:val="nil"/>
            </w:tcBorders>
            <w:vAlign w:val="center"/>
          </w:tcPr>
          <w:p>
            <w:pPr>
              <w:adjustRightInd w:val="0"/>
              <w:snapToGrid w:val="0"/>
              <w:spacing w:line="245" w:lineRule="auto"/>
              <w:ind w:firstLine="0" w:firstLineChars="0"/>
            </w:pPr>
            <w:r>
              <w:t>Previous percutaneous coronary intervention</w:t>
            </w:r>
          </w:p>
        </w:tc>
        <w:tc>
          <w:tcPr>
            <w:tcW w:w="0" w:type="auto"/>
            <w:tcBorders>
              <w:tl2br w:val="nil"/>
              <w:tr2bl w:val="nil"/>
            </w:tcBorders>
            <w:vAlign w:val="center"/>
          </w:tcPr>
          <w:p>
            <w:pPr>
              <w:adjustRightInd w:val="0"/>
              <w:snapToGrid w:val="0"/>
              <w:spacing w:line="245" w:lineRule="auto"/>
              <w:ind w:firstLine="0" w:firstLineChars="0"/>
            </w:pPr>
            <w:r>
              <w:rPr>
                <w:rFonts w:hint="eastAsia"/>
              </w:rPr>
              <w:t>1</w:t>
            </w:r>
            <w:r>
              <w:t>.03 (0.80–1.33)</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.794</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.97 (0.57–1.65)</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.897</w:t>
            </w:r>
          </w:p>
        </w:tc>
        <w:tc>
          <w:tcPr>
            <w:tcW w:w="0" w:type="auto"/>
            <w:tcBorders>
              <w:tl2br w:val="nil"/>
              <w:tr2bl w:val="nil"/>
            </w:tcBorders>
            <w:vAlign w:val="center"/>
          </w:tcPr>
          <w:p>
            <w:pPr>
              <w:adjustRightInd w:val="0"/>
              <w:snapToGrid w:val="0"/>
              <w:spacing w:line="245" w:lineRule="auto"/>
              <w:ind w:firstLine="0" w:firstLineChars="0"/>
            </w:pPr>
            <w:r>
              <w:rPr>
                <w:rFonts w:hint="eastAsia"/>
              </w:rPr>
              <w:t>1</w:t>
            </w:r>
            <w:r>
              <w:t>.08 (0.82–1.43)</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.570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0" w:type="auto"/>
            <w:tcBorders>
              <w:tl2br w:val="nil"/>
              <w:tr2bl w:val="nil"/>
            </w:tcBorders>
            <w:vAlign w:val="center"/>
          </w:tcPr>
          <w:p>
            <w:pPr>
              <w:adjustRightInd w:val="0"/>
              <w:snapToGrid w:val="0"/>
              <w:spacing w:line="245" w:lineRule="auto"/>
              <w:ind w:firstLine="0" w:firstLineChars="0"/>
            </w:pPr>
            <w:r>
              <w:t>Previous coronary artery bypass grafting</w:t>
            </w:r>
          </w:p>
        </w:tc>
        <w:tc>
          <w:tcPr>
            <w:tcW w:w="0" w:type="auto"/>
            <w:tcBorders>
              <w:tl2br w:val="nil"/>
              <w:tr2bl w:val="nil"/>
            </w:tcBorders>
            <w:vAlign w:val="center"/>
          </w:tcPr>
          <w:p>
            <w:pPr>
              <w:adjustRightInd w:val="0"/>
              <w:snapToGrid w:val="0"/>
              <w:spacing w:line="245" w:lineRule="auto"/>
              <w:ind w:firstLine="0" w:firstLineChars="0"/>
            </w:pPr>
            <w:r>
              <w:rPr>
                <w:rFonts w:hint="eastAsia"/>
              </w:rPr>
              <w:t>1</w:t>
            </w:r>
            <w:r>
              <w:t>.14 (0.69–1.89)</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.602</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.59 (0.15–2.42)</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.466</w:t>
            </w:r>
          </w:p>
        </w:tc>
        <w:tc>
          <w:tcPr>
            <w:tcW w:w="0" w:type="auto"/>
            <w:tcBorders>
              <w:tl2br w:val="nil"/>
              <w:tr2bl w:val="nil"/>
            </w:tcBorders>
            <w:vAlign w:val="center"/>
          </w:tcPr>
          <w:p>
            <w:pPr>
              <w:adjustRightInd w:val="0"/>
              <w:snapToGrid w:val="0"/>
              <w:spacing w:line="245" w:lineRule="auto"/>
              <w:ind w:firstLine="0" w:firstLineChars="0"/>
            </w:pPr>
            <w:r>
              <w:rPr>
                <w:rFonts w:hint="eastAsia"/>
              </w:rPr>
              <w:t>1</w:t>
            </w:r>
            <w:r>
              <w:t>.44 (0.87–2.38)</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.162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0" w:type="auto"/>
            <w:tcBorders>
              <w:tl2br w:val="nil"/>
              <w:tr2bl w:val="nil"/>
            </w:tcBorders>
            <w:vAlign w:val="center"/>
          </w:tcPr>
          <w:p>
            <w:pPr>
              <w:adjustRightInd w:val="0"/>
              <w:snapToGrid w:val="0"/>
              <w:spacing w:line="245" w:lineRule="auto"/>
              <w:ind w:firstLine="0" w:firstLineChars="0"/>
            </w:pPr>
            <w:r>
              <w:t>Previous cerebrovascular disease</w:t>
            </w:r>
          </w:p>
        </w:tc>
        <w:tc>
          <w:tcPr>
            <w:tcW w:w="0" w:type="auto"/>
            <w:tcBorders>
              <w:tl2br w:val="nil"/>
              <w:tr2bl w:val="nil"/>
            </w:tcBorders>
            <w:vAlign w:val="center"/>
          </w:tcPr>
          <w:p>
            <w:pPr>
              <w:adjustRightInd w:val="0"/>
              <w:snapToGrid w:val="0"/>
              <w:spacing w:line="245" w:lineRule="auto"/>
              <w:ind w:firstLine="0" w:firstLineChars="0"/>
            </w:pPr>
            <w:r>
              <w:rPr>
                <w:rFonts w:hint="eastAsia"/>
              </w:rPr>
              <w:t>1</w:t>
            </w:r>
            <w:r>
              <w:t>.13 (0.88–1.45)</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.340</w:t>
            </w:r>
          </w:p>
        </w:tc>
        <w:tc>
          <w:tcPr>
            <w:tcW w:w="0" w:type="auto"/>
            <w:tcBorders>
              <w:tl2br w:val="nil"/>
              <w:tr2bl w:val="nil"/>
            </w:tcBorders>
            <w:vAlign w:val="center"/>
          </w:tcPr>
          <w:p>
            <w:pPr>
              <w:adjustRightInd w:val="0"/>
              <w:snapToGrid w:val="0"/>
              <w:spacing w:line="245" w:lineRule="auto"/>
              <w:ind w:firstLine="0" w:firstLineChars="0"/>
            </w:pPr>
            <w:r>
              <w:rPr>
                <w:rFonts w:hint="eastAsia"/>
              </w:rPr>
              <w:t>1</w:t>
            </w:r>
            <w:r>
              <w:t>.62 (1.00–2.61)</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.051</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.98 (0.74–1.30)</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.887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0" w:type="auto"/>
            <w:tcBorders>
              <w:tl2br w:val="nil"/>
              <w:tr2bl w:val="nil"/>
            </w:tcBorders>
            <w:vAlign w:val="center"/>
          </w:tcPr>
          <w:p>
            <w:pPr>
              <w:adjustRightInd w:val="0"/>
              <w:snapToGrid w:val="0"/>
              <w:spacing w:line="245" w:lineRule="auto"/>
              <w:ind w:firstLine="0" w:firstLineChars="0"/>
            </w:pPr>
            <w:r>
              <w:t>Family history of coronary heart disease</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.83 (0.58–1.19)</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.308</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.72 (0.33–1.57)</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.408</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.92 (0.63–1.34)</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.657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0" w:type="auto"/>
            <w:tcBorders>
              <w:tl2br w:val="nil"/>
              <w:tr2bl w:val="nil"/>
            </w:tcBorders>
            <w:vAlign w:val="center"/>
          </w:tcPr>
          <w:p>
            <w:pPr>
              <w:adjustRightInd w:val="0"/>
              <w:snapToGrid w:val="0"/>
              <w:spacing w:line="245" w:lineRule="auto"/>
              <w:ind w:firstLine="0" w:firstLineChars="0"/>
            </w:pPr>
            <w:r>
              <w:t>Hemoglobin</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.99 (0.99–1.00)</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.093</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.98 (0.96–0.99)</w:t>
            </w:r>
          </w:p>
        </w:tc>
        <w:tc>
          <w:tcPr>
            <w:tcW w:w="0" w:type="auto"/>
            <w:tcBorders>
              <w:tl2br w:val="nil"/>
              <w:tr2bl w:val="nil"/>
            </w:tcBorders>
            <w:vAlign w:val="center"/>
          </w:tcPr>
          <w:p>
            <w:pPr>
              <w:adjustRightInd w:val="0"/>
              <w:snapToGrid w:val="0"/>
              <w:spacing w:line="245" w:lineRule="auto"/>
              <w:ind w:firstLine="0" w:firstLineChars="0"/>
            </w:pPr>
            <w:r>
              <w:rPr>
                <w:rFonts w:hint="eastAsia"/>
              </w:rPr>
              <w:t>&lt;</w:t>
            </w:r>
            <w:r>
              <w:t>0.001*</w:t>
            </w:r>
          </w:p>
        </w:tc>
        <w:tc>
          <w:tcPr>
            <w:tcW w:w="0" w:type="auto"/>
            <w:tcBorders>
              <w:tl2br w:val="nil"/>
              <w:tr2bl w:val="nil"/>
            </w:tcBorders>
            <w:vAlign w:val="center"/>
          </w:tcPr>
          <w:p>
            <w:pPr>
              <w:adjustRightInd w:val="0"/>
              <w:snapToGrid w:val="0"/>
              <w:spacing w:line="245" w:lineRule="auto"/>
              <w:ind w:firstLine="0" w:firstLineChars="0"/>
            </w:pPr>
            <w:r>
              <w:rPr>
                <w:rFonts w:hint="eastAsia"/>
              </w:rPr>
              <w:t>1</w:t>
            </w:r>
            <w:r>
              <w:t>.00 (0.99–1.01)</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.883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0" w:type="auto"/>
            <w:tcBorders>
              <w:tl2br w:val="nil"/>
              <w:tr2bl w:val="nil"/>
            </w:tcBorders>
            <w:vAlign w:val="center"/>
          </w:tcPr>
          <w:p>
            <w:pPr>
              <w:adjustRightInd w:val="0"/>
              <w:snapToGrid w:val="0"/>
              <w:spacing w:line="245" w:lineRule="auto"/>
              <w:ind w:firstLine="0" w:firstLineChars="0"/>
            </w:pPr>
            <w:r>
              <w:t>White blood cell count</w:t>
            </w:r>
          </w:p>
        </w:tc>
        <w:tc>
          <w:tcPr>
            <w:tcW w:w="0" w:type="auto"/>
            <w:tcBorders>
              <w:tl2br w:val="nil"/>
              <w:tr2bl w:val="nil"/>
            </w:tcBorders>
            <w:vAlign w:val="center"/>
          </w:tcPr>
          <w:p>
            <w:pPr>
              <w:adjustRightInd w:val="0"/>
              <w:snapToGrid w:val="0"/>
              <w:spacing w:line="245" w:lineRule="auto"/>
              <w:ind w:firstLine="0" w:firstLineChars="0"/>
            </w:pPr>
            <w:r>
              <w:rPr>
                <w:rFonts w:hint="eastAsia"/>
              </w:rPr>
              <w:t>1</w:t>
            </w:r>
            <w:r>
              <w:t>.10 (1.04–1.16)</w:t>
            </w:r>
          </w:p>
        </w:tc>
        <w:tc>
          <w:tcPr>
            <w:tcW w:w="0" w:type="auto"/>
            <w:tcBorders>
              <w:tl2br w:val="nil"/>
              <w:tr2bl w:val="nil"/>
            </w:tcBorders>
            <w:vAlign w:val="center"/>
          </w:tcPr>
          <w:p>
            <w:pPr>
              <w:adjustRightInd w:val="0"/>
              <w:snapToGrid w:val="0"/>
              <w:spacing w:line="245" w:lineRule="auto"/>
              <w:ind w:firstLine="0" w:firstLineChars="0"/>
            </w:pPr>
            <w:r>
              <w:rPr>
                <w:rFonts w:hint="eastAsia"/>
              </w:rPr>
              <w:t>&lt;</w:t>
            </w:r>
            <w:r>
              <w:t>0.001*</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.96 (0.84–1.09)</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.503</w:t>
            </w:r>
          </w:p>
        </w:tc>
        <w:tc>
          <w:tcPr>
            <w:tcW w:w="0" w:type="auto"/>
            <w:tcBorders>
              <w:tl2br w:val="nil"/>
              <w:tr2bl w:val="nil"/>
            </w:tcBorders>
            <w:vAlign w:val="center"/>
          </w:tcPr>
          <w:p>
            <w:pPr>
              <w:adjustRightInd w:val="0"/>
              <w:snapToGrid w:val="0"/>
              <w:spacing w:line="245" w:lineRule="auto"/>
              <w:ind w:firstLine="0" w:firstLineChars="0"/>
            </w:pPr>
            <w:r>
              <w:rPr>
                <w:rFonts w:hint="eastAsia"/>
              </w:rPr>
              <w:t>1</w:t>
            </w:r>
            <w:r>
              <w:t>.13 (1.07–1.20)</w:t>
            </w:r>
          </w:p>
        </w:tc>
        <w:tc>
          <w:tcPr>
            <w:tcW w:w="0" w:type="auto"/>
            <w:tcBorders>
              <w:tl2br w:val="nil"/>
              <w:tr2bl w:val="nil"/>
            </w:tcBorders>
            <w:vAlign w:val="center"/>
          </w:tcPr>
          <w:p>
            <w:pPr>
              <w:adjustRightInd w:val="0"/>
              <w:snapToGrid w:val="0"/>
              <w:spacing w:line="245" w:lineRule="auto"/>
              <w:ind w:firstLine="0" w:firstLineChars="0"/>
            </w:pPr>
            <w:r>
              <w:rPr>
                <w:rFonts w:hint="eastAsia"/>
              </w:rPr>
              <w:t>&lt;</w:t>
            </w:r>
            <w:r>
              <w:t>0.001*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0" w:type="auto"/>
            <w:tcBorders>
              <w:tl2br w:val="nil"/>
              <w:tr2bl w:val="nil"/>
            </w:tcBorders>
            <w:vAlign w:val="center"/>
          </w:tcPr>
          <w:p>
            <w:pPr>
              <w:adjustRightInd w:val="0"/>
              <w:snapToGrid w:val="0"/>
              <w:spacing w:line="245" w:lineRule="auto"/>
              <w:ind w:firstLine="0" w:firstLineChars="0"/>
            </w:pPr>
            <w:r>
              <w:t>Platelet count</w:t>
            </w:r>
          </w:p>
        </w:tc>
        <w:tc>
          <w:tcPr>
            <w:tcW w:w="0" w:type="auto"/>
            <w:tcBorders>
              <w:tl2br w:val="nil"/>
              <w:tr2bl w:val="nil"/>
            </w:tcBorders>
            <w:vAlign w:val="center"/>
          </w:tcPr>
          <w:p>
            <w:pPr>
              <w:adjustRightInd w:val="0"/>
              <w:snapToGrid w:val="0"/>
              <w:spacing w:line="245" w:lineRule="auto"/>
              <w:ind w:firstLine="0" w:firstLineChars="0"/>
            </w:pPr>
            <w:r>
              <w:rPr>
                <w:rFonts w:hint="eastAsia"/>
              </w:rPr>
              <w:t>1</w:t>
            </w:r>
            <w:r>
              <w:t>.00 (1.00–1.00)</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.093</w:t>
            </w:r>
          </w:p>
        </w:tc>
        <w:tc>
          <w:tcPr>
            <w:tcW w:w="0" w:type="auto"/>
            <w:tcBorders>
              <w:tl2br w:val="nil"/>
              <w:tr2bl w:val="nil"/>
            </w:tcBorders>
            <w:vAlign w:val="center"/>
          </w:tcPr>
          <w:p>
            <w:pPr>
              <w:adjustRightInd w:val="0"/>
              <w:snapToGrid w:val="0"/>
              <w:spacing w:line="245" w:lineRule="auto"/>
              <w:ind w:firstLine="0" w:firstLineChars="0"/>
            </w:pPr>
            <w:r>
              <w:rPr>
                <w:rFonts w:hint="eastAsia"/>
              </w:rPr>
              <w:t>1</w:t>
            </w:r>
            <w:r>
              <w:t>.00 (1.00–1.00)</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.651</w:t>
            </w:r>
          </w:p>
        </w:tc>
        <w:tc>
          <w:tcPr>
            <w:tcW w:w="0" w:type="auto"/>
            <w:tcBorders>
              <w:tl2br w:val="nil"/>
              <w:tr2bl w:val="nil"/>
            </w:tcBorders>
            <w:vAlign w:val="center"/>
          </w:tcPr>
          <w:p>
            <w:pPr>
              <w:adjustRightInd w:val="0"/>
              <w:snapToGrid w:val="0"/>
              <w:spacing w:line="245" w:lineRule="auto"/>
              <w:ind w:firstLine="0" w:firstLineChars="0"/>
            </w:pPr>
            <w:r>
              <w:rPr>
                <w:rFonts w:hint="eastAsia"/>
              </w:rPr>
              <w:t>1</w:t>
            </w:r>
            <w:r>
              <w:t>.00 (1.00–1.00)</w:t>
            </w:r>
          </w:p>
        </w:tc>
        <w:tc>
          <w:tcPr>
            <w:tcW w:w="0" w:type="auto"/>
            <w:tcBorders>
              <w:tl2br w:val="nil"/>
              <w:tr2bl w:val="nil"/>
            </w:tcBorders>
            <w:vAlign w:val="center"/>
          </w:tcPr>
          <w:p>
            <w:pPr>
              <w:adjustRightInd w:val="0"/>
              <w:snapToGrid w:val="0"/>
              <w:spacing w:line="245" w:lineRule="auto"/>
              <w:ind w:firstLine="0" w:firstLineChars="0"/>
            </w:pPr>
            <w:r>
              <w:t>0.036*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0" w:type="auto"/>
            <w:tcBorders>
              <w:tl2br w:val="nil"/>
              <w:tr2bl w:val="nil"/>
            </w:tcBorders>
            <w:vAlign w:val="center"/>
          </w:tcPr>
          <w:p>
            <w:pPr>
              <w:adjustRightInd w:val="0"/>
              <w:snapToGrid w:val="0"/>
              <w:spacing w:line="245" w:lineRule="auto"/>
              <w:ind w:firstLine="0" w:firstLineChars="0"/>
            </w:pPr>
            <w:r>
              <w:t>Low-density lipoprotein cholesterol</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.86 (0.76–0.98)</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.023*</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.83 (0.64–1.09)</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.184</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.86 (0.74–0.99)</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.039*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0" w:type="auto"/>
            <w:tcBorders>
              <w:tl2br w:val="nil"/>
              <w:tr2bl w:val="nil"/>
            </w:tcBorders>
            <w:vAlign w:val="center"/>
          </w:tcPr>
          <w:p>
            <w:pPr>
              <w:adjustRightInd w:val="0"/>
              <w:snapToGrid w:val="0"/>
              <w:spacing w:line="245" w:lineRule="auto"/>
              <w:ind w:firstLine="0" w:firstLineChars="0"/>
            </w:pPr>
            <w:r>
              <w:t>High-sensitiv</w:t>
            </w:r>
            <w:r>
              <w:rPr>
                <w:rFonts w:hint="eastAsia"/>
              </w:rPr>
              <w:t>i</w:t>
            </w:r>
            <w:r>
              <w:t>ty C reactive protein</w:t>
            </w:r>
          </w:p>
        </w:tc>
        <w:tc>
          <w:tcPr>
            <w:tcW w:w="0" w:type="auto"/>
            <w:tcBorders>
              <w:tl2br w:val="nil"/>
              <w:tr2bl w:val="nil"/>
            </w:tcBorders>
            <w:vAlign w:val="center"/>
          </w:tcPr>
          <w:p>
            <w:pPr>
              <w:adjustRightInd w:val="0"/>
              <w:snapToGrid w:val="0"/>
              <w:spacing w:line="245" w:lineRule="auto"/>
              <w:ind w:firstLine="0" w:firstLineChars="0"/>
            </w:pPr>
            <w:r>
              <w:rPr>
                <w:rFonts w:hint="eastAsia"/>
              </w:rPr>
              <w:t>1</w:t>
            </w:r>
            <w:r>
              <w:t>.01 (0.98–1.05)</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.397</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.99 (0.92–1.06)</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.759</w:t>
            </w:r>
          </w:p>
        </w:tc>
        <w:tc>
          <w:tcPr>
            <w:tcW w:w="0" w:type="auto"/>
            <w:tcBorders>
              <w:tl2br w:val="nil"/>
              <w:tr2bl w:val="nil"/>
            </w:tcBorders>
            <w:vAlign w:val="center"/>
          </w:tcPr>
          <w:p>
            <w:pPr>
              <w:adjustRightInd w:val="0"/>
              <w:snapToGrid w:val="0"/>
              <w:spacing w:line="245" w:lineRule="auto"/>
              <w:ind w:firstLine="0" w:firstLineChars="0"/>
            </w:pPr>
            <w:r>
              <w:rPr>
                <w:rFonts w:hint="eastAsia"/>
              </w:rPr>
              <w:t>1</w:t>
            </w:r>
            <w:r>
              <w:t>.02 (0.99–1.06)</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.157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0" w:type="auto"/>
            <w:tcBorders>
              <w:tl2br w:val="nil"/>
              <w:tr2bl w:val="nil"/>
            </w:tcBorders>
            <w:vAlign w:val="center"/>
          </w:tcPr>
          <w:p>
            <w:pPr>
              <w:adjustRightInd w:val="0"/>
              <w:snapToGrid w:val="0"/>
              <w:spacing w:line="245" w:lineRule="auto"/>
              <w:ind w:firstLine="0" w:firstLineChars="0"/>
            </w:pPr>
            <w:r>
              <w:t>Left ventricular ejection fraction</w:t>
            </w:r>
          </w:p>
        </w:tc>
        <w:tc>
          <w:tcPr>
            <w:tcW w:w="0" w:type="auto"/>
            <w:tcBorders>
              <w:tl2br w:val="nil"/>
              <w:tr2bl w:val="nil"/>
            </w:tcBorders>
            <w:vAlign w:val="center"/>
          </w:tcPr>
          <w:p>
            <w:pPr>
              <w:adjustRightInd w:val="0"/>
              <w:snapToGrid w:val="0"/>
              <w:spacing w:line="245" w:lineRule="auto"/>
              <w:ind w:firstLine="0" w:firstLineChars="0"/>
            </w:pPr>
            <w:r>
              <w:rPr>
                <w:rFonts w:hint="eastAsia"/>
              </w:rPr>
              <w:t>1</w:t>
            </w:r>
            <w:r>
              <w:t>.00 (0.99–1.01)</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.817</w:t>
            </w:r>
          </w:p>
        </w:tc>
        <w:tc>
          <w:tcPr>
            <w:tcW w:w="0" w:type="auto"/>
            <w:tcBorders>
              <w:tl2br w:val="nil"/>
              <w:tr2bl w:val="nil"/>
            </w:tcBorders>
            <w:vAlign w:val="center"/>
          </w:tcPr>
          <w:p>
            <w:pPr>
              <w:adjustRightInd w:val="0"/>
              <w:snapToGrid w:val="0"/>
              <w:spacing w:line="245" w:lineRule="auto"/>
              <w:ind w:firstLine="0" w:firstLineChars="0"/>
            </w:pPr>
            <w:r>
              <w:rPr>
                <w:rFonts w:hint="eastAsia"/>
              </w:rPr>
              <w:t>1</w:t>
            </w:r>
            <w:r>
              <w:t>.02 (0.99–1.04)</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.237</w:t>
            </w:r>
          </w:p>
        </w:tc>
        <w:tc>
          <w:tcPr>
            <w:tcW w:w="0" w:type="auto"/>
            <w:tcBorders>
              <w:tl2br w:val="nil"/>
              <w:tr2bl w:val="nil"/>
            </w:tcBorders>
            <w:vAlign w:val="center"/>
          </w:tcPr>
          <w:p>
            <w:pPr>
              <w:adjustRightInd w:val="0"/>
              <w:snapToGrid w:val="0"/>
              <w:spacing w:line="245" w:lineRule="auto"/>
              <w:ind w:firstLine="0" w:firstLineChars="0"/>
            </w:pPr>
            <w:r>
              <w:rPr>
                <w:rFonts w:hint="eastAsia"/>
              </w:rPr>
              <w:t>1</w:t>
            </w:r>
            <w:r>
              <w:t>.00 (0.99–1.01)</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.607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0" w:type="auto"/>
            <w:tcBorders>
              <w:tl2br w:val="nil"/>
              <w:tr2bl w:val="nil"/>
            </w:tcBorders>
            <w:vAlign w:val="center"/>
          </w:tcPr>
          <w:p>
            <w:pPr>
              <w:adjustRightInd w:val="0"/>
              <w:snapToGrid w:val="0"/>
              <w:spacing w:line="245" w:lineRule="auto"/>
              <w:ind w:firstLine="0" w:firstLineChars="0"/>
            </w:pPr>
            <w:r>
              <w:t>Clopidogrel</w:t>
            </w:r>
          </w:p>
        </w:tc>
        <w:tc>
          <w:tcPr>
            <w:tcW w:w="0" w:type="auto"/>
            <w:tcBorders>
              <w:tl2br w:val="nil"/>
              <w:tr2bl w:val="nil"/>
            </w:tcBorders>
            <w:vAlign w:val="center"/>
          </w:tcPr>
          <w:p>
            <w:pPr>
              <w:adjustRightInd w:val="0"/>
              <w:snapToGrid w:val="0"/>
              <w:spacing w:line="245" w:lineRule="auto"/>
              <w:ind w:firstLine="0" w:firstLineChars="0"/>
            </w:pPr>
            <w:r>
              <w:rPr>
                <w:rFonts w:hint="eastAsia"/>
              </w:rPr>
              <w:t>1</w:t>
            </w:r>
            <w:r>
              <w:t>.08 (0.48–2.43)</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.845</w:t>
            </w:r>
          </w:p>
        </w:tc>
        <w:tc>
          <w:tcPr>
            <w:tcW w:w="0" w:type="auto"/>
            <w:tcBorders>
              <w:tl2br w:val="nil"/>
              <w:tr2bl w:val="nil"/>
            </w:tcBorders>
            <w:vAlign w:val="center"/>
          </w:tcPr>
          <w:p>
            <w:pPr>
              <w:adjustRightInd w:val="0"/>
              <w:snapToGrid w:val="0"/>
              <w:spacing w:line="245" w:lineRule="auto"/>
              <w:ind w:firstLine="0" w:firstLineChars="0"/>
            </w:pPr>
            <w:r>
              <w:rPr>
                <w:rFonts w:hint="eastAsia"/>
              </w:rPr>
              <w:t>1</w:t>
            </w:r>
            <w:r>
              <w:t>.54 (0.21–11.06)</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.670</w:t>
            </w:r>
          </w:p>
        </w:tc>
        <w:tc>
          <w:tcPr>
            <w:tcW w:w="0" w:type="auto"/>
            <w:tcBorders>
              <w:tl2br w:val="nil"/>
              <w:tr2bl w:val="nil"/>
            </w:tcBorders>
            <w:vAlign w:val="center"/>
          </w:tcPr>
          <w:p>
            <w:pPr>
              <w:adjustRightInd w:val="0"/>
              <w:snapToGrid w:val="0"/>
              <w:spacing w:line="245" w:lineRule="auto"/>
              <w:ind w:firstLine="0" w:firstLineChars="0"/>
            </w:pPr>
            <w:r>
              <w:rPr>
                <w:rFonts w:hint="eastAsia"/>
              </w:rPr>
              <w:t>1</w:t>
            </w:r>
            <w:r>
              <w:t>.05 (0.43–2.54)</w:t>
            </w:r>
          </w:p>
        </w:tc>
        <w:tc>
          <w:tcPr>
            <w:tcW w:w="0" w:type="auto"/>
            <w:tcBorders>
              <w:tl2br w:val="nil"/>
              <w:tr2bl w:val="nil"/>
            </w:tcBorders>
            <w:vAlign w:val="center"/>
          </w:tcPr>
          <w:p>
            <w:pPr>
              <w:adjustRightInd w:val="0"/>
              <w:snapToGrid w:val="0"/>
              <w:spacing w:line="245" w:lineRule="auto"/>
              <w:ind w:firstLine="0" w:firstLineChars="0"/>
            </w:pPr>
            <w:r>
              <w:rPr>
                <w:rFonts w:hint="eastAsia"/>
              </w:rPr>
              <w:t>0</w:t>
            </w:r>
            <w:r>
              <w:t>.919</w:t>
            </w:r>
          </w:p>
        </w:tc>
      </w:tr>
    </w:tbl>
    <w:p>
      <w:pPr>
        <w:adjustRightInd w:val="0"/>
        <w:snapToGrid w:val="0"/>
        <w:spacing w:line="245" w:lineRule="auto"/>
        <w:ind w:firstLine="0" w:firstLineChars="0"/>
      </w:pPr>
      <w:bookmarkStart w:id="4" w:name="_Hlk80197293"/>
      <w:r>
        <w:t>* P values indicating statistical significance.</w:t>
      </w:r>
      <w:bookmarkEnd w:id="4"/>
    </w:p>
    <w:p>
      <w:pPr>
        <w:adjustRightInd w:val="0"/>
        <w:snapToGrid w:val="0"/>
        <w:spacing w:line="245" w:lineRule="auto"/>
        <w:ind w:firstLine="0" w:firstLineChars="0"/>
        <w:rPr>
          <w:rFonts w:hint="eastAsia"/>
          <w:lang w:val="en-US" w:eastAsia="zh-CN"/>
        </w:rPr>
      </w:pPr>
      <w:r>
        <w:t>NACE: net adverse clinical events; MACCE: major adverse cardiac and cerebrovascular events; HR: hazard ratio; CI: confidence interval</w:t>
      </w:r>
      <w:r>
        <w:rPr>
          <w:rFonts w:hint="eastAsia"/>
          <w:lang w:val="en-US" w:eastAsia="zh-CN"/>
        </w:rPr>
        <w:t>.</w:t>
      </w:r>
    </w:p>
    <w:p>
      <w:pPr>
        <w:spacing w:line="480" w:lineRule="auto"/>
        <w:rPr>
          <w:sz w:val="24"/>
          <w:szCs w:val="24"/>
        </w:rPr>
      </w:pPr>
    </w:p>
    <w:p>
      <w:pPr>
        <w:spacing w:line="480" w:lineRule="auto"/>
        <w:rPr>
          <w:sz w:val="24"/>
          <w:szCs w:val="24"/>
        </w:rPr>
      </w:pPr>
      <w:r>
        <w:rPr>
          <w:sz w:val="24"/>
          <w:szCs w:val="24"/>
        </w:rPr>
        <w:br w:type="page"/>
      </w:r>
    </w:p>
    <w:p>
      <w:pPr>
        <w:spacing w:line="480" w:lineRule="auto"/>
        <w:rPr>
          <w:rFonts w:hint="eastAsia" w:ascii="Open Sans" w:hAnsi="Open Sans" w:cs="Open Sans"/>
          <w:b/>
          <w:bCs/>
          <w:color w:val="auto"/>
          <w:sz w:val="24"/>
          <w:szCs w:val="24"/>
          <w:shd w:val="clear" w:color="auto" w:fill="FFFFFF"/>
          <w:lang w:val="en-US" w:eastAsia="zh-CN"/>
        </w:rPr>
      </w:pPr>
      <w:r>
        <w:rPr>
          <w:rFonts w:hint="default" w:ascii="Open Sans" w:hAnsi="Open Sans" w:cs="Open Sans"/>
          <w:b/>
          <w:bCs/>
          <w:color w:val="auto"/>
          <w:sz w:val="24"/>
          <w:szCs w:val="24"/>
          <w:shd w:val="clear" w:color="auto" w:fill="FFFFFF"/>
          <w:lang w:val="en-US" w:eastAsia="zh-CN"/>
        </w:rPr>
        <w:t xml:space="preserve">Table </w:t>
      </w:r>
      <w:r>
        <w:rPr>
          <w:rFonts w:hint="eastAsia" w:ascii="Open Sans" w:hAnsi="Open Sans" w:cs="Open Sans"/>
          <w:b/>
          <w:bCs/>
          <w:color w:val="auto"/>
          <w:sz w:val="24"/>
          <w:szCs w:val="24"/>
          <w:shd w:val="clear" w:color="auto" w:fill="FFFFFF"/>
          <w:lang w:val="en-US" w:eastAsia="zh-CN"/>
        </w:rPr>
        <w:t>S3</w:t>
      </w:r>
      <w:r>
        <w:rPr>
          <w:rFonts w:hint="default" w:ascii="Open Sans" w:hAnsi="Open Sans" w:cs="Open Sans"/>
          <w:b/>
          <w:bCs/>
          <w:color w:val="auto"/>
          <w:sz w:val="24"/>
          <w:szCs w:val="24"/>
          <w:shd w:val="clear" w:color="auto" w:fill="FFFFFF"/>
          <w:lang w:val="en-US" w:eastAsia="zh-CN"/>
        </w:rPr>
        <w:t xml:space="preserve">. </w:t>
      </w:r>
      <w:r>
        <w:rPr>
          <w:rFonts w:hint="default" w:ascii="Open Sans" w:hAnsi="Open Sans" w:cs="Open Sans"/>
          <w:b w:val="0"/>
          <w:bCs w:val="0"/>
          <w:color w:val="auto"/>
          <w:sz w:val="24"/>
          <w:szCs w:val="24"/>
          <w:shd w:val="clear" w:color="auto" w:fill="FFFFFF"/>
          <w:lang w:val="en-US" w:eastAsia="zh-CN"/>
        </w:rPr>
        <w:t>One-year BARC type 3 or 5 bleeding of bivalirudin versus UFH</w:t>
      </w:r>
    </w:p>
    <w:tbl>
      <w:tblPr>
        <w:tblStyle w:val="6"/>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2067"/>
        <w:gridCol w:w="2635"/>
        <w:gridCol w:w="1747"/>
        <w:gridCol w:w="2352"/>
        <w:gridCol w:w="1092"/>
        <w:gridCol w:w="3010"/>
        <w:gridCol w:w="12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20" w:hRule="atLeast"/>
          <w:jc w:val="center"/>
        </w:trPr>
        <w:tc>
          <w:tcPr>
            <w:tcW w:w="729" w:type="pct"/>
            <w:shd w:val="clear" w:color="auto" w:fill="auto"/>
            <w:vAlign w:val="top"/>
          </w:tcPr>
          <w:p>
            <w:pPr>
              <w:adjustRightInd w:val="0"/>
              <w:snapToGrid w:val="0"/>
              <w:spacing w:line="245" w:lineRule="auto"/>
              <w:ind w:firstLine="0" w:firstLineChars="0"/>
              <w:rPr>
                <w:rFonts w:hint="default"/>
                <w:lang w:val="en-US" w:eastAsia="zh-CN"/>
              </w:rPr>
            </w:pPr>
            <w:bookmarkStart w:id="5" w:name="_Hlk93776029"/>
            <w:r>
              <w:rPr>
                <w:rFonts w:hint="default"/>
                <w:lang w:val="en-US" w:eastAsia="zh-CN"/>
              </w:rPr>
              <w:t>Outcomes</w:t>
            </w:r>
          </w:p>
        </w:tc>
        <w:tc>
          <w:tcPr>
            <w:tcW w:w="929" w:type="pct"/>
            <w:shd w:val="clear" w:color="auto" w:fill="auto"/>
            <w:vAlign w:val="top"/>
          </w:tcPr>
          <w:p>
            <w:pPr>
              <w:adjustRightInd w:val="0"/>
              <w:snapToGrid w:val="0"/>
              <w:spacing w:line="245" w:lineRule="auto"/>
              <w:ind w:firstLine="0" w:firstLineChars="0"/>
              <w:rPr>
                <w:rFonts w:hint="default"/>
                <w:lang w:val="en-US" w:eastAsia="zh-CN"/>
              </w:rPr>
            </w:pPr>
            <w:r>
              <w:rPr>
                <w:rFonts w:hint="default"/>
                <w:lang w:val="en-US" w:eastAsia="zh-CN"/>
              </w:rPr>
              <w:t>Anticoagulant during elective PCI</w:t>
            </w:r>
          </w:p>
        </w:tc>
        <w:tc>
          <w:tcPr>
            <w:tcW w:w="616" w:type="pct"/>
            <w:shd w:val="clear" w:color="auto" w:fill="auto"/>
            <w:vAlign w:val="top"/>
          </w:tcPr>
          <w:p>
            <w:pPr>
              <w:adjustRightInd w:val="0"/>
              <w:snapToGrid w:val="0"/>
              <w:spacing w:line="245" w:lineRule="auto"/>
              <w:ind w:firstLine="0" w:firstLineChars="0"/>
              <w:rPr>
                <w:rFonts w:hint="default"/>
                <w:lang w:val="en-US" w:eastAsia="zh-CN"/>
              </w:rPr>
            </w:pPr>
            <w:r>
              <w:rPr>
                <w:rFonts w:hint="default"/>
                <w:lang w:val="en-US" w:eastAsia="zh-CN"/>
              </w:rPr>
              <w:t>Events (%)</w:t>
            </w:r>
          </w:p>
        </w:tc>
        <w:tc>
          <w:tcPr>
            <w:tcW w:w="829" w:type="pct"/>
            <w:shd w:val="clear" w:color="auto" w:fill="auto"/>
            <w:vAlign w:val="top"/>
          </w:tcPr>
          <w:p>
            <w:pPr>
              <w:adjustRightInd w:val="0"/>
              <w:snapToGrid w:val="0"/>
              <w:spacing w:line="245" w:lineRule="auto"/>
              <w:ind w:firstLine="0" w:firstLineChars="0"/>
              <w:rPr>
                <w:rFonts w:hint="default"/>
                <w:lang w:val="en-US" w:eastAsia="zh-CN"/>
              </w:rPr>
            </w:pPr>
            <w:r>
              <w:rPr>
                <w:rFonts w:hint="default"/>
                <w:lang w:val="en-US" w:eastAsia="zh-CN"/>
              </w:rPr>
              <w:t>Crude HR (95% CI)</w:t>
            </w:r>
          </w:p>
        </w:tc>
        <w:tc>
          <w:tcPr>
            <w:tcW w:w="385" w:type="pct"/>
            <w:shd w:val="clear" w:color="auto" w:fill="auto"/>
            <w:vAlign w:val="top"/>
          </w:tcPr>
          <w:p>
            <w:pPr>
              <w:adjustRightInd w:val="0"/>
              <w:snapToGrid w:val="0"/>
              <w:spacing w:line="245" w:lineRule="auto"/>
              <w:ind w:firstLine="0" w:firstLineChars="0"/>
              <w:rPr>
                <w:rFonts w:hint="default"/>
                <w:lang w:val="en-US" w:eastAsia="zh-CN"/>
              </w:rPr>
            </w:pPr>
            <w:r>
              <w:rPr>
                <w:rFonts w:hint="default"/>
                <w:lang w:val="en-US" w:eastAsia="zh-CN"/>
              </w:rPr>
              <w:t>P value</w:t>
            </w:r>
          </w:p>
        </w:tc>
        <w:tc>
          <w:tcPr>
            <w:tcW w:w="1061" w:type="pct"/>
            <w:shd w:val="clear" w:color="auto" w:fill="auto"/>
            <w:vAlign w:val="top"/>
          </w:tcPr>
          <w:p>
            <w:pPr>
              <w:adjustRightInd w:val="0"/>
              <w:snapToGrid w:val="0"/>
              <w:spacing w:line="245" w:lineRule="auto"/>
              <w:ind w:firstLine="0" w:firstLineChars="0"/>
              <w:rPr>
                <w:rFonts w:hint="default"/>
                <w:lang w:val="en-US" w:eastAsia="zh-CN"/>
              </w:rPr>
            </w:pPr>
            <w:r>
              <w:rPr>
                <w:rFonts w:hint="default"/>
                <w:lang w:val="en-US" w:eastAsia="zh-CN"/>
              </w:rPr>
              <w:t>Adjusted HR</w:t>
            </w:r>
            <w:r>
              <w:rPr>
                <w:rFonts w:hint="eastAsia"/>
                <w:lang w:val="en-US" w:eastAsia="zh-CN"/>
              </w:rPr>
              <w:t xml:space="preserve"> </w:t>
            </w:r>
            <w:r>
              <w:rPr>
                <w:rFonts w:hint="default"/>
                <w:lang w:val="en-US" w:eastAsia="zh-CN"/>
              </w:rPr>
              <w:t>(95% CI)</w:t>
            </w:r>
          </w:p>
        </w:tc>
        <w:tc>
          <w:tcPr>
            <w:tcW w:w="448" w:type="pct"/>
            <w:shd w:val="clear" w:color="auto" w:fill="auto"/>
            <w:vAlign w:val="top"/>
          </w:tcPr>
          <w:p>
            <w:pPr>
              <w:adjustRightInd w:val="0"/>
              <w:snapToGrid w:val="0"/>
              <w:spacing w:line="245" w:lineRule="auto"/>
              <w:ind w:firstLine="0" w:firstLineChars="0"/>
              <w:rPr>
                <w:rFonts w:hint="default"/>
                <w:lang w:val="en-US" w:eastAsia="zh-CN"/>
              </w:rPr>
            </w:pPr>
            <w:r>
              <w:rPr>
                <w:rFonts w:hint="default"/>
                <w:lang w:val="en-US" w:eastAsia="zh-CN"/>
              </w:rPr>
              <w:t>P value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0" w:hRule="atLeast"/>
          <w:jc w:val="center"/>
        </w:trPr>
        <w:tc>
          <w:tcPr>
            <w:tcW w:w="729" w:type="pct"/>
            <w:vMerge w:val="restart"/>
            <w:tcBorders>
              <w:tl2br w:val="nil"/>
              <w:tr2bl w:val="nil"/>
            </w:tcBorders>
            <w:shd w:val="clear" w:color="auto" w:fill="auto"/>
            <w:vAlign w:val="top"/>
          </w:tcPr>
          <w:p>
            <w:pPr>
              <w:adjustRightInd w:val="0"/>
              <w:snapToGrid w:val="0"/>
              <w:spacing w:line="245" w:lineRule="auto"/>
              <w:ind w:firstLine="0" w:firstLineChars="0"/>
              <w:rPr>
                <w:rFonts w:hint="default"/>
                <w:lang w:val="en-US" w:eastAsia="zh-CN"/>
              </w:rPr>
            </w:pPr>
            <w:r>
              <w:rPr>
                <w:rFonts w:hint="default"/>
                <w:lang w:val="en-US" w:eastAsia="zh-CN"/>
              </w:rPr>
              <w:t>BARC type 3 or 5 bleeding</w:t>
            </w:r>
          </w:p>
        </w:tc>
        <w:tc>
          <w:tcPr>
            <w:tcW w:w="929" w:type="pct"/>
            <w:tcBorders>
              <w:tl2br w:val="nil"/>
              <w:tr2bl w:val="nil"/>
            </w:tcBorders>
            <w:shd w:val="clear" w:color="auto" w:fill="auto"/>
            <w:vAlign w:val="top"/>
          </w:tcPr>
          <w:p>
            <w:pPr>
              <w:adjustRightInd w:val="0"/>
              <w:snapToGrid w:val="0"/>
              <w:spacing w:line="245" w:lineRule="auto"/>
              <w:ind w:firstLine="0" w:firstLineChars="0"/>
              <w:rPr>
                <w:rFonts w:hint="default"/>
                <w:lang w:val="en-US" w:eastAsia="zh-CN"/>
              </w:rPr>
            </w:pPr>
            <w:r>
              <w:rPr>
                <w:rFonts w:hint="default"/>
                <w:lang w:val="en-US" w:eastAsia="zh-CN"/>
              </w:rPr>
              <w:t>UFH</w:t>
            </w:r>
          </w:p>
        </w:tc>
        <w:tc>
          <w:tcPr>
            <w:tcW w:w="616" w:type="pct"/>
            <w:tcBorders>
              <w:tl2br w:val="nil"/>
              <w:tr2bl w:val="nil"/>
            </w:tcBorders>
            <w:shd w:val="clear" w:color="auto" w:fill="auto"/>
            <w:vAlign w:val="top"/>
          </w:tcPr>
          <w:p>
            <w:pPr>
              <w:adjustRightInd w:val="0"/>
              <w:snapToGrid w:val="0"/>
              <w:spacing w:line="245" w:lineRule="auto"/>
              <w:ind w:firstLine="0" w:firstLineChars="0"/>
              <w:rPr>
                <w:rFonts w:hint="default"/>
                <w:lang w:val="en-US" w:eastAsia="zh-CN"/>
              </w:rPr>
            </w:pPr>
            <w:r>
              <w:rPr>
                <w:rFonts w:hint="eastAsia"/>
                <w:lang w:val="en-US" w:eastAsia="zh-CN"/>
              </w:rPr>
              <w:t>11</w:t>
            </w:r>
            <w:r>
              <w:rPr>
                <w:rFonts w:hint="default"/>
                <w:lang w:val="en-US" w:eastAsia="zh-CN"/>
              </w:rPr>
              <w:t xml:space="preserve"> (</w:t>
            </w:r>
            <w:r>
              <w:rPr>
                <w:rFonts w:hint="eastAsia"/>
                <w:lang w:val="en-US" w:eastAsia="zh-CN"/>
              </w:rPr>
              <w:t>0.6</w:t>
            </w:r>
            <w:r>
              <w:rPr>
                <w:rFonts w:hint="default"/>
                <w:lang w:val="en-US" w:eastAsia="zh-CN"/>
              </w:rPr>
              <w:t>)</w:t>
            </w:r>
          </w:p>
        </w:tc>
        <w:tc>
          <w:tcPr>
            <w:tcW w:w="829" w:type="pct"/>
            <w:tcBorders>
              <w:tl2br w:val="nil"/>
              <w:tr2bl w:val="nil"/>
            </w:tcBorders>
            <w:shd w:val="clear" w:color="auto" w:fill="auto"/>
            <w:vAlign w:val="top"/>
          </w:tcPr>
          <w:p>
            <w:pPr>
              <w:adjustRightInd w:val="0"/>
              <w:snapToGrid w:val="0"/>
              <w:spacing w:line="245" w:lineRule="auto"/>
              <w:ind w:firstLine="0" w:firstLineChars="0"/>
              <w:jc w:val="center"/>
              <w:rPr>
                <w:rFonts w:hint="default"/>
                <w:lang w:val="en-US" w:eastAsia="zh-CN"/>
              </w:rPr>
            </w:pPr>
            <w:r>
              <w:rPr>
                <w:color w:val="FF0000"/>
              </w:rPr>
              <w:t>–</w:t>
            </w:r>
          </w:p>
        </w:tc>
        <w:tc>
          <w:tcPr>
            <w:tcW w:w="385" w:type="pct"/>
            <w:tcBorders>
              <w:tl2br w:val="nil"/>
              <w:tr2bl w:val="nil"/>
            </w:tcBorders>
            <w:shd w:val="clear" w:color="auto" w:fill="auto"/>
            <w:vAlign w:val="top"/>
          </w:tcPr>
          <w:p>
            <w:pPr>
              <w:adjustRightInd w:val="0"/>
              <w:snapToGrid w:val="0"/>
              <w:spacing w:line="245" w:lineRule="auto"/>
              <w:ind w:firstLine="0" w:firstLineChars="0"/>
              <w:jc w:val="center"/>
              <w:rPr>
                <w:rFonts w:hint="default"/>
                <w:color w:val="FF0000"/>
                <w:lang w:val="en-US" w:eastAsia="zh-CN"/>
              </w:rPr>
            </w:pPr>
            <w:r>
              <w:rPr>
                <w:color w:val="FF0000"/>
              </w:rPr>
              <w:t>–</w:t>
            </w:r>
          </w:p>
        </w:tc>
        <w:tc>
          <w:tcPr>
            <w:tcW w:w="1061" w:type="pct"/>
            <w:tcBorders>
              <w:tl2br w:val="nil"/>
              <w:tr2bl w:val="nil"/>
            </w:tcBorders>
            <w:shd w:val="clear" w:color="auto" w:fill="auto"/>
            <w:vAlign w:val="top"/>
          </w:tcPr>
          <w:p>
            <w:pPr>
              <w:adjustRightInd w:val="0"/>
              <w:snapToGrid w:val="0"/>
              <w:spacing w:line="245" w:lineRule="auto"/>
              <w:ind w:firstLine="0" w:firstLineChars="0"/>
              <w:jc w:val="center"/>
              <w:rPr>
                <w:rFonts w:hint="default"/>
                <w:color w:val="FF0000"/>
                <w:lang w:val="en-US" w:eastAsia="zh-CN"/>
              </w:rPr>
            </w:pPr>
            <w:r>
              <w:rPr>
                <w:color w:val="FF0000"/>
              </w:rPr>
              <w:t>–</w:t>
            </w:r>
          </w:p>
        </w:tc>
        <w:tc>
          <w:tcPr>
            <w:tcW w:w="448" w:type="pct"/>
            <w:tcBorders>
              <w:tl2br w:val="nil"/>
              <w:tr2bl w:val="nil"/>
            </w:tcBorders>
            <w:shd w:val="clear" w:color="auto" w:fill="auto"/>
            <w:vAlign w:val="top"/>
          </w:tcPr>
          <w:p>
            <w:pPr>
              <w:adjustRightInd w:val="0"/>
              <w:snapToGrid w:val="0"/>
              <w:spacing w:line="245" w:lineRule="auto"/>
              <w:ind w:firstLine="0" w:firstLineChars="0"/>
              <w:jc w:val="center"/>
              <w:rPr>
                <w:rFonts w:hint="default"/>
                <w:lang w:val="en-US" w:eastAsia="zh-CN"/>
              </w:rPr>
            </w:pPr>
            <w:r>
              <w:rPr>
                <w:color w:val="FF000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8" w:hRule="atLeast"/>
          <w:jc w:val="center"/>
        </w:trPr>
        <w:tc>
          <w:tcPr>
            <w:tcW w:w="729" w:type="pct"/>
            <w:vMerge w:val="continue"/>
            <w:tcBorders>
              <w:tl2br w:val="nil"/>
              <w:tr2bl w:val="nil"/>
            </w:tcBorders>
            <w:shd w:val="clear" w:color="auto" w:fill="auto"/>
            <w:vAlign w:val="top"/>
          </w:tcPr>
          <w:p>
            <w:pPr>
              <w:adjustRightInd w:val="0"/>
              <w:snapToGrid w:val="0"/>
              <w:spacing w:line="245" w:lineRule="auto"/>
              <w:ind w:firstLine="0" w:firstLineChars="0"/>
              <w:rPr>
                <w:rFonts w:hint="default"/>
                <w:lang w:val="en-US" w:eastAsia="zh-CN"/>
              </w:rPr>
            </w:pPr>
          </w:p>
        </w:tc>
        <w:tc>
          <w:tcPr>
            <w:tcW w:w="929" w:type="pct"/>
            <w:tcBorders>
              <w:tl2br w:val="nil"/>
              <w:tr2bl w:val="nil"/>
            </w:tcBorders>
            <w:shd w:val="clear" w:color="auto" w:fill="auto"/>
            <w:vAlign w:val="top"/>
          </w:tcPr>
          <w:p>
            <w:pPr>
              <w:adjustRightInd w:val="0"/>
              <w:snapToGrid w:val="0"/>
              <w:spacing w:line="245" w:lineRule="auto"/>
              <w:ind w:firstLine="0" w:firstLineChars="0"/>
              <w:rPr>
                <w:rFonts w:hint="default"/>
                <w:lang w:val="en-US" w:eastAsia="zh-CN"/>
              </w:rPr>
            </w:pPr>
            <w:r>
              <w:rPr>
                <w:rFonts w:hint="default"/>
                <w:lang w:val="en-US" w:eastAsia="zh-CN"/>
              </w:rPr>
              <w:t>Bivalirudin</w:t>
            </w:r>
          </w:p>
        </w:tc>
        <w:tc>
          <w:tcPr>
            <w:tcW w:w="616" w:type="pct"/>
            <w:tcBorders>
              <w:tl2br w:val="nil"/>
              <w:tr2bl w:val="nil"/>
            </w:tcBorders>
            <w:shd w:val="clear" w:color="auto" w:fill="auto"/>
            <w:vAlign w:val="top"/>
          </w:tcPr>
          <w:p>
            <w:pPr>
              <w:adjustRightInd w:val="0"/>
              <w:snapToGrid w:val="0"/>
              <w:spacing w:line="245" w:lineRule="auto"/>
              <w:ind w:firstLine="0" w:firstLineChars="0"/>
              <w:rPr>
                <w:rFonts w:hint="default"/>
                <w:lang w:val="en-US" w:eastAsia="zh-CN"/>
              </w:rPr>
            </w:pPr>
            <w:r>
              <w:rPr>
                <w:rFonts w:hint="eastAsia"/>
                <w:lang w:val="en-US" w:eastAsia="zh-CN"/>
              </w:rPr>
              <w:t>12</w:t>
            </w:r>
            <w:r>
              <w:rPr>
                <w:rFonts w:hint="default"/>
                <w:lang w:val="en-US" w:eastAsia="zh-CN"/>
              </w:rPr>
              <w:t xml:space="preserve"> (</w:t>
            </w:r>
            <w:r>
              <w:rPr>
                <w:rFonts w:hint="eastAsia"/>
                <w:lang w:val="en-US" w:eastAsia="zh-CN"/>
              </w:rPr>
              <w:t>1.1</w:t>
            </w:r>
            <w:r>
              <w:rPr>
                <w:rFonts w:hint="default"/>
                <w:lang w:val="en-US" w:eastAsia="zh-CN"/>
              </w:rPr>
              <w:t>)</w:t>
            </w:r>
          </w:p>
        </w:tc>
        <w:tc>
          <w:tcPr>
            <w:tcW w:w="829" w:type="pct"/>
            <w:tcBorders>
              <w:tl2br w:val="nil"/>
              <w:tr2bl w:val="nil"/>
            </w:tcBorders>
            <w:shd w:val="clear" w:color="auto" w:fill="auto"/>
            <w:vAlign w:val="top"/>
          </w:tcPr>
          <w:p>
            <w:pPr>
              <w:adjustRightInd w:val="0"/>
              <w:snapToGrid w:val="0"/>
              <w:spacing w:line="245" w:lineRule="auto"/>
              <w:ind w:firstLine="0" w:firstLineChars="0"/>
              <w:jc w:val="center"/>
              <w:rPr>
                <w:rFonts w:hint="default"/>
                <w:lang w:val="en-US" w:eastAsia="zh-CN"/>
              </w:rPr>
            </w:pPr>
            <w:r>
              <w:rPr>
                <w:rFonts w:hint="eastAsia"/>
                <w:lang w:val="en-US" w:eastAsia="zh-CN"/>
              </w:rPr>
              <w:t>1.80</w:t>
            </w:r>
            <w:r>
              <w:rPr>
                <w:rFonts w:hint="default"/>
                <w:lang w:val="en-US" w:eastAsia="zh-CN"/>
              </w:rPr>
              <w:t xml:space="preserve"> (0.78</w:t>
            </w:r>
            <w:r>
              <w:rPr>
                <w:color w:val="FF0000"/>
              </w:rPr>
              <w:t>–</w:t>
            </w:r>
            <w:r>
              <w:rPr>
                <w:rFonts w:hint="default"/>
                <w:lang w:val="en-US" w:eastAsia="zh-CN"/>
              </w:rPr>
              <w:t>4.15)</w:t>
            </w:r>
          </w:p>
        </w:tc>
        <w:tc>
          <w:tcPr>
            <w:tcW w:w="385" w:type="pct"/>
            <w:tcBorders>
              <w:tl2br w:val="nil"/>
              <w:tr2bl w:val="nil"/>
            </w:tcBorders>
            <w:shd w:val="clear" w:color="auto" w:fill="auto"/>
            <w:vAlign w:val="top"/>
          </w:tcPr>
          <w:p>
            <w:pPr>
              <w:adjustRightInd w:val="0"/>
              <w:snapToGrid w:val="0"/>
              <w:spacing w:line="245" w:lineRule="auto"/>
              <w:ind w:firstLine="0" w:firstLineChars="0"/>
              <w:jc w:val="center"/>
              <w:rPr>
                <w:rFonts w:hint="default"/>
                <w:lang w:val="en-US" w:eastAsia="zh-CN"/>
              </w:rPr>
            </w:pPr>
            <w:r>
              <w:rPr>
                <w:rFonts w:hint="default"/>
                <w:lang w:val="en-US" w:eastAsia="zh-CN"/>
              </w:rPr>
              <w:t>0.</w:t>
            </w:r>
            <w:r>
              <w:rPr>
                <w:rFonts w:hint="eastAsia"/>
                <w:lang w:val="en-US" w:eastAsia="zh-CN"/>
              </w:rPr>
              <w:t>168</w:t>
            </w:r>
          </w:p>
        </w:tc>
        <w:tc>
          <w:tcPr>
            <w:tcW w:w="1061" w:type="pct"/>
            <w:tcBorders>
              <w:tl2br w:val="nil"/>
              <w:tr2bl w:val="nil"/>
            </w:tcBorders>
            <w:shd w:val="clear" w:color="auto" w:fill="auto"/>
            <w:vAlign w:val="top"/>
          </w:tcPr>
          <w:p>
            <w:pPr>
              <w:adjustRightInd w:val="0"/>
              <w:snapToGrid w:val="0"/>
              <w:spacing w:line="245" w:lineRule="auto"/>
              <w:ind w:firstLine="0" w:firstLineChars="0"/>
              <w:jc w:val="center"/>
              <w:rPr>
                <w:rFonts w:hint="default"/>
                <w:lang w:val="en-US" w:eastAsia="zh-CN"/>
              </w:rPr>
            </w:pPr>
            <w:r>
              <w:rPr>
                <w:rFonts w:hint="eastAsia"/>
                <w:lang w:val="en-US" w:eastAsia="zh-CN"/>
              </w:rPr>
              <w:t>1.70</w:t>
            </w:r>
            <w:r>
              <w:rPr>
                <w:rFonts w:hint="default"/>
                <w:lang w:val="en-US" w:eastAsia="zh-CN"/>
              </w:rPr>
              <w:t xml:space="preserve"> (0.</w:t>
            </w:r>
            <w:r>
              <w:rPr>
                <w:rFonts w:hint="eastAsia"/>
                <w:lang w:val="en-US" w:eastAsia="zh-CN"/>
              </w:rPr>
              <w:t>74</w:t>
            </w:r>
            <w:r>
              <w:rPr>
                <w:color w:val="FF0000"/>
              </w:rPr>
              <w:t>–</w:t>
            </w:r>
            <w:r>
              <w:rPr>
                <w:rFonts w:hint="eastAsia"/>
                <w:lang w:val="en-US" w:eastAsia="zh-CN"/>
              </w:rPr>
              <w:t>3.93</w:t>
            </w:r>
            <w:r>
              <w:rPr>
                <w:rFonts w:hint="default"/>
                <w:lang w:val="en-US" w:eastAsia="zh-CN"/>
              </w:rPr>
              <w:t>)</w:t>
            </w:r>
          </w:p>
        </w:tc>
        <w:tc>
          <w:tcPr>
            <w:tcW w:w="448" w:type="pct"/>
            <w:tcBorders>
              <w:tl2br w:val="nil"/>
              <w:tr2bl w:val="nil"/>
            </w:tcBorders>
            <w:shd w:val="clear" w:color="auto" w:fill="auto"/>
            <w:vAlign w:val="top"/>
          </w:tcPr>
          <w:p>
            <w:pPr>
              <w:adjustRightInd w:val="0"/>
              <w:snapToGrid w:val="0"/>
              <w:spacing w:line="245" w:lineRule="auto"/>
              <w:ind w:firstLine="0" w:firstLineChars="0"/>
              <w:jc w:val="center"/>
              <w:rPr>
                <w:rFonts w:hint="default"/>
                <w:lang w:val="en-US" w:eastAsia="zh-CN"/>
              </w:rPr>
            </w:pPr>
            <w:r>
              <w:rPr>
                <w:rFonts w:hint="default"/>
                <w:lang w:val="en-US" w:eastAsia="zh-CN"/>
              </w:rPr>
              <w:t>0.</w:t>
            </w:r>
            <w:r>
              <w:rPr>
                <w:rFonts w:hint="eastAsia"/>
                <w:lang w:val="en-US" w:eastAsia="zh-CN"/>
              </w:rPr>
              <w:t>214</w:t>
            </w:r>
          </w:p>
        </w:tc>
      </w:tr>
      <w:bookmarkEnd w:id="5"/>
    </w:tbl>
    <w:p>
      <w:pPr>
        <w:spacing w:line="480" w:lineRule="auto"/>
        <w:rPr>
          <w:rFonts w:hint="eastAsia"/>
          <w:b/>
          <w:sz w:val="24"/>
          <w:lang w:val="en-US" w:eastAsia="zh-CN"/>
        </w:rPr>
      </w:pPr>
      <w:r>
        <w:rPr>
          <w:rFonts w:ascii="Times New Roman" w:hAnsi="Times New Roman" w:cs="Times New Roman"/>
          <w:sz w:val="24"/>
          <w:szCs w:val="24"/>
        </w:rPr>
        <w:t xml:space="preserve">BARC: Bleeding Academic Research Consortium; </w:t>
      </w:r>
      <w:r>
        <w:rPr>
          <w:rFonts w:ascii="Times New Roman" w:hAnsi="Times New Roman" w:eastAsia="宋体" w:cs="Times New Roman"/>
          <w:sz w:val="24"/>
          <w:szCs w:val="24"/>
        </w:rPr>
        <w:t>PCI: percutaneous coronary intervention</w:t>
      </w:r>
      <w:r>
        <w:rPr>
          <w:rFonts w:hint="eastAsia" w:cs="Times New Roman"/>
          <w:sz w:val="24"/>
          <w:szCs w:val="24"/>
          <w:lang w:val="en-US" w:eastAsia="zh-CN"/>
        </w:rPr>
        <w:t>;</w:t>
      </w:r>
      <w:bookmarkStart w:id="6" w:name="_GoBack"/>
      <w:bookmarkEnd w:id="6"/>
      <w:r>
        <w:rPr>
          <w:rFonts w:hint="eastAsia" w:cs="Times New Roman"/>
          <w:sz w:val="24"/>
          <w:szCs w:val="24"/>
          <w:lang w:val="en-US" w:eastAsia="zh-CN"/>
        </w:rPr>
        <w:t xml:space="preserve"> </w:t>
      </w:r>
      <w:r>
        <w:rPr>
          <w:sz w:val="24"/>
          <w:szCs w:val="24"/>
        </w:rPr>
        <w:t>HR: hazard ratio; CI: confidence interval</w:t>
      </w:r>
      <w:r>
        <w:rPr>
          <w:rFonts w:hint="eastAsia"/>
          <w:sz w:val="24"/>
          <w:szCs w:val="24"/>
          <w:lang w:val="en-US" w:eastAsia="zh-CN"/>
        </w:rPr>
        <w:t>.</w:t>
      </w:r>
    </w:p>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Open Sans">
    <w:altName w:val="Times New Roman"/>
    <w:panose1 w:val="00000000000000000000"/>
    <w:charset w:val="00"/>
    <w:family w:val="swiss"/>
    <w:pitch w:val="default"/>
    <w:sig w:usb0="00000000" w:usb1="00000000" w:usb2="00000028"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UyMDg3YmYyZDJkOWFkMDM4MGRkZmRkMDdiZGZjMWMifQ=="/>
  </w:docVars>
  <w:rsids>
    <w:rsidRoot w:val="00172A27"/>
    <w:rsid w:val="00023115"/>
    <w:rsid w:val="00142417"/>
    <w:rsid w:val="00151A10"/>
    <w:rsid w:val="002677C8"/>
    <w:rsid w:val="00300CDF"/>
    <w:rsid w:val="0030673F"/>
    <w:rsid w:val="003A767D"/>
    <w:rsid w:val="00473948"/>
    <w:rsid w:val="005133C8"/>
    <w:rsid w:val="00527897"/>
    <w:rsid w:val="0053053E"/>
    <w:rsid w:val="00541C66"/>
    <w:rsid w:val="005B2190"/>
    <w:rsid w:val="005D3FAA"/>
    <w:rsid w:val="006A28B2"/>
    <w:rsid w:val="006C0BC2"/>
    <w:rsid w:val="006D420D"/>
    <w:rsid w:val="00713E7B"/>
    <w:rsid w:val="00814BA1"/>
    <w:rsid w:val="00856274"/>
    <w:rsid w:val="009A39B4"/>
    <w:rsid w:val="00AE743C"/>
    <w:rsid w:val="00B875AD"/>
    <w:rsid w:val="00BE5795"/>
    <w:rsid w:val="00D50015"/>
    <w:rsid w:val="00E9140F"/>
    <w:rsid w:val="00EF1791"/>
    <w:rsid w:val="00F15B58"/>
    <w:rsid w:val="00FC6D11"/>
    <w:rsid w:val="00FD59BF"/>
    <w:rsid w:val="0E0B1EDA"/>
    <w:rsid w:val="12E52961"/>
    <w:rsid w:val="171D521D"/>
    <w:rsid w:val="2A514C6F"/>
    <w:rsid w:val="353A3379"/>
    <w:rsid w:val="37BE3612"/>
    <w:rsid w:val="3BF07AFD"/>
    <w:rsid w:val="4A104DE2"/>
    <w:rsid w:val="4BE57E2A"/>
    <w:rsid w:val="5B8D3DEF"/>
    <w:rsid w:val="703A4E7F"/>
    <w:rsid w:val="7A9259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920</Words>
  <Characters>5716</Characters>
  <Lines>1</Lines>
  <Paragraphs>1</Paragraphs>
  <TotalTime>1</TotalTime>
  <ScaleCrop>false</ScaleCrop>
  <LinksUpToDate>false</LinksUpToDate>
  <CharactersWithSpaces>6345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2021-08-16T06:54:00Z</dcterms:created>
  <dc:creator>黎 嘉雯</dc:creator>
  <cp:lastModifiedBy>Jiawen Li</cp:lastModifiedBy>
  <dcterms:modified xsi:type="dcterms:W3CDTF">2023-03-03T14:05:02Z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EA11CD3863FC4210891BB26757B17D05</vt:lpwstr>
  </property>
</Properties>
</file>