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A82" w:rsidRDefault="00CF2E9E" w:rsidP="001D4C07">
      <w:pPr>
        <w:pStyle w:val="af9"/>
        <w:snapToGrid w:val="0"/>
      </w:pPr>
      <w:bookmarkStart w:id="0" w:name="_Hlk107674639"/>
      <w:r>
        <w:t>Supplementary material</w:t>
      </w:r>
    </w:p>
    <w:p w:rsidR="00805A82" w:rsidRDefault="00805A82" w:rsidP="001D4C07">
      <w:pPr>
        <w:adjustRightInd w:val="0"/>
        <w:snapToGrid w:val="0"/>
        <w:ind w:firstLineChars="0" w:firstLine="0"/>
        <w:rPr>
          <w:rFonts w:eastAsiaTheme="minorEastAsia"/>
        </w:rPr>
      </w:pPr>
    </w:p>
    <w:p w:rsidR="009C31E6" w:rsidRDefault="009C31E6" w:rsidP="001D4C07">
      <w:pPr>
        <w:adjustRightInd w:val="0"/>
        <w:snapToGrid w:val="0"/>
        <w:ind w:firstLineChars="0" w:firstLine="0"/>
        <w:rPr>
          <w:rFonts w:eastAsiaTheme="minorEastAsia"/>
        </w:rPr>
      </w:pPr>
    </w:p>
    <w:p w:rsidR="009C31E6" w:rsidRDefault="009C31E6" w:rsidP="001D4C07">
      <w:pPr>
        <w:adjustRightInd w:val="0"/>
        <w:snapToGrid w:val="0"/>
        <w:ind w:firstLineChars="0" w:firstLine="0"/>
        <w:rPr>
          <w:rFonts w:eastAsiaTheme="minorEastAsia" w:hint="eastAsia"/>
        </w:rPr>
      </w:pPr>
    </w:p>
    <w:p w:rsidR="00F51A15" w:rsidRDefault="00F51A15" w:rsidP="001D4C07">
      <w:pPr>
        <w:adjustRightInd w:val="0"/>
        <w:snapToGrid w:val="0"/>
        <w:ind w:firstLineChars="0" w:firstLine="0"/>
        <w:rPr>
          <w:rFonts w:eastAsiaTheme="minorEastAsia"/>
        </w:rPr>
      </w:pPr>
    </w:p>
    <w:p w:rsidR="00F51A15" w:rsidRDefault="00F51A15" w:rsidP="001D4C07">
      <w:pPr>
        <w:adjustRightInd w:val="0"/>
        <w:snapToGrid w:val="0"/>
        <w:ind w:firstLineChars="0" w:firstLine="0"/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3D36304E" wp14:editId="62E7EA70">
            <wp:extent cx="3877945" cy="2665095"/>
            <wp:effectExtent l="0" t="0" r="825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5050" cy="2669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5A82" w:rsidRDefault="00F51A15" w:rsidP="001D4C07">
      <w:pPr>
        <w:pStyle w:val="af8"/>
        <w:adjustRightInd w:val="0"/>
        <w:snapToGrid w:val="0"/>
        <w:rPr>
          <w:b/>
        </w:rPr>
      </w:pPr>
      <w:r w:rsidRPr="00F51A15">
        <w:rPr>
          <w:b/>
        </w:rPr>
        <w:t>Supplementary</w:t>
      </w:r>
      <w:r w:rsidRPr="00F51A15">
        <w:rPr>
          <w:b/>
        </w:rPr>
        <w:t xml:space="preserve"> Fig. 1. </w:t>
      </w:r>
      <w:r w:rsidRPr="00F51A15">
        <w:rPr>
          <w:b/>
        </w:rPr>
        <w:t>Two-dimensional RVOTD measurements obtained</w:t>
      </w:r>
      <w:r w:rsidRPr="00F51A15">
        <w:rPr>
          <w:rFonts w:hint="eastAsia"/>
          <w:b/>
        </w:rPr>
        <w:t xml:space="preserve"> </w:t>
      </w:r>
      <w:r w:rsidRPr="00F51A15">
        <w:rPr>
          <w:b/>
        </w:rPr>
        <w:t>from the parasternal long-axis (PSLAX) view in end-diastole</w:t>
      </w:r>
      <w:r w:rsidRPr="00F51A15">
        <w:rPr>
          <w:rFonts w:hint="eastAsia"/>
          <w:b/>
        </w:rPr>
        <w:t xml:space="preserve"> </w:t>
      </w:r>
      <w:r w:rsidRPr="00F51A15">
        <w:rPr>
          <w:b/>
        </w:rPr>
        <w:fldChar w:fldCharType="begin">
          <w:fldData xml:space="preserve">PEVuZE5vdGU+PENpdGU+PEF1dGhvcj5BZGRldGlhPC9BdXRob3I+PFllYXI+MjAyMTwvWWVhcj48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</w:fldData>
        </w:fldChar>
      </w:r>
      <w:r w:rsidRPr="00F51A15">
        <w:rPr>
          <w:b/>
        </w:rPr>
        <w:instrText xml:space="preserve"> ADDIN EN.CITE </w:instrText>
      </w:r>
      <w:r w:rsidRPr="00F51A15">
        <w:rPr>
          <w:b/>
        </w:rPr>
        <w:fldChar w:fldCharType="begin">
          <w:fldData xml:space="preserve">PEVuZE5vdGU+PENpdGU+PEF1dGhvcj5BZGRldGlhPC9BdXRob3I+PFllYXI+MjAyMTwvWWVhcj48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</w:fldData>
        </w:fldChar>
      </w:r>
      <w:r w:rsidRPr="00F51A15">
        <w:rPr>
          <w:b/>
        </w:rPr>
        <w:instrText xml:space="preserve"> ADDIN EN.CITE.DATA </w:instrText>
      </w:r>
      <w:r w:rsidRPr="00F51A15">
        <w:rPr>
          <w:b/>
        </w:rPr>
      </w:r>
      <w:r w:rsidRPr="00F51A15">
        <w:rPr>
          <w:b/>
        </w:rPr>
        <w:fldChar w:fldCharType="end"/>
      </w:r>
      <w:r w:rsidRPr="00F51A15">
        <w:rPr>
          <w:b/>
        </w:rPr>
      </w:r>
      <w:r w:rsidRPr="00F51A15">
        <w:rPr>
          <w:b/>
        </w:rPr>
        <w:fldChar w:fldCharType="separate"/>
      </w:r>
      <w:r w:rsidRPr="00F51A15">
        <w:rPr>
          <w:b/>
        </w:rPr>
        <w:t>[1]</w:t>
      </w:r>
      <w:r w:rsidRPr="00F51A15">
        <w:rPr>
          <w:b/>
        </w:rPr>
        <w:fldChar w:fldCharType="end"/>
      </w:r>
      <w:r w:rsidRPr="00F51A15">
        <w:rPr>
          <w:b/>
        </w:rPr>
        <w:t>.</w:t>
      </w:r>
      <w:r w:rsidRPr="00F51A15">
        <w:rPr>
          <w:b/>
        </w:rPr>
        <w:t xml:space="preserve"> </w:t>
      </w:r>
    </w:p>
    <w:p w:rsidR="00AC02C1" w:rsidRDefault="00AC02C1" w:rsidP="001D4C07">
      <w:pPr>
        <w:pStyle w:val="af8"/>
        <w:adjustRightInd w:val="0"/>
        <w:snapToGrid w:val="0"/>
        <w:rPr>
          <w:b/>
        </w:rPr>
      </w:pPr>
    </w:p>
    <w:p w:rsidR="00AC02C1" w:rsidRDefault="00AC02C1" w:rsidP="001D4C07">
      <w:pPr>
        <w:pStyle w:val="af8"/>
        <w:adjustRightInd w:val="0"/>
        <w:snapToGrid w:val="0"/>
        <w:rPr>
          <w:rFonts w:eastAsiaTheme="minorEastAsia"/>
        </w:rPr>
      </w:pPr>
    </w:p>
    <w:p w:rsidR="00AC02C1" w:rsidRPr="00AC02C1" w:rsidRDefault="00AC02C1" w:rsidP="001D4C07">
      <w:pPr>
        <w:pStyle w:val="af8"/>
        <w:adjustRightInd w:val="0"/>
        <w:snapToGrid w:val="0"/>
        <w:jc w:val="center"/>
        <w:rPr>
          <w:rFonts w:eastAsiaTheme="minorEastAsia" w:hint="eastAsia"/>
        </w:rPr>
      </w:pPr>
      <w:r>
        <w:rPr>
          <w:noProof/>
        </w:rPr>
        <w:drawing>
          <wp:inline distT="0" distB="0" distL="0" distR="0" wp14:anchorId="7619BD2D" wp14:editId="547B562A">
            <wp:extent cx="3613871" cy="311627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4797" cy="313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5A82" w:rsidRDefault="00AC02C1" w:rsidP="001D4C07">
      <w:pPr>
        <w:pStyle w:val="af8"/>
        <w:adjustRightInd w:val="0"/>
        <w:snapToGrid w:val="0"/>
        <w:rPr>
          <w:b/>
        </w:rPr>
      </w:pPr>
      <w:r w:rsidRPr="00F51A15">
        <w:rPr>
          <w:b/>
        </w:rPr>
        <w:t>Sup</w:t>
      </w:r>
      <w:r w:rsidRPr="00AC02C1">
        <w:rPr>
          <w:b/>
        </w:rPr>
        <w:t>plementary Fig.</w:t>
      </w:r>
      <w:r w:rsidRPr="00AC02C1">
        <w:rPr>
          <w:b/>
        </w:rPr>
        <w:t xml:space="preserve"> </w:t>
      </w:r>
      <w:r w:rsidR="00CF2E9E" w:rsidRPr="00AC02C1">
        <w:rPr>
          <w:b/>
        </w:rPr>
        <w:t>2. D</w:t>
      </w:r>
      <w:r w:rsidR="00CF2E9E" w:rsidRPr="00AC02C1">
        <w:rPr>
          <w:b/>
        </w:rPr>
        <w:t>istribution of right ventricular diameter in the whole population.</w:t>
      </w:r>
    </w:p>
    <w:p w:rsidR="003B3820" w:rsidRDefault="003B3820" w:rsidP="001D4C07">
      <w:pPr>
        <w:pStyle w:val="af8"/>
        <w:adjustRightInd w:val="0"/>
        <w:snapToGrid w:val="0"/>
        <w:rPr>
          <w:b/>
        </w:rPr>
      </w:pPr>
    </w:p>
    <w:p w:rsidR="003B3820" w:rsidRDefault="003B3820" w:rsidP="001D4C07">
      <w:pPr>
        <w:pStyle w:val="af8"/>
        <w:adjustRightInd w:val="0"/>
        <w:snapToGrid w:val="0"/>
        <w:rPr>
          <w:rFonts w:eastAsiaTheme="minorEastAsia"/>
        </w:rPr>
      </w:pPr>
    </w:p>
    <w:p w:rsidR="003B3820" w:rsidRPr="003B3820" w:rsidRDefault="003B3820" w:rsidP="001D4C07">
      <w:pPr>
        <w:pStyle w:val="af8"/>
        <w:adjustRightInd w:val="0"/>
        <w:snapToGrid w:val="0"/>
        <w:jc w:val="center"/>
        <w:rPr>
          <w:rFonts w:eastAsiaTheme="minorEastAsia" w:hint="eastAsia"/>
        </w:rPr>
      </w:pPr>
      <w:r>
        <w:rPr>
          <w:noProof/>
        </w:rPr>
        <w:lastRenderedPageBreak/>
        <w:drawing>
          <wp:inline distT="0" distB="0" distL="0" distR="0" wp14:anchorId="1AA57BFA" wp14:editId="5991DCD1">
            <wp:extent cx="5001341" cy="8419795"/>
            <wp:effectExtent l="0" t="0" r="889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62" t="2543" r="35355" b="2342"/>
                    <a:stretch>
                      <a:fillRect/>
                    </a:stretch>
                  </pic:blipFill>
                  <pic:spPr>
                    <a:xfrm>
                      <a:off x="0" y="0"/>
                      <a:ext cx="5047808" cy="849802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A82" w:rsidRDefault="003B3820" w:rsidP="001D4C07">
      <w:pPr>
        <w:pStyle w:val="af8"/>
        <w:adjustRightInd w:val="0"/>
        <w:snapToGrid w:val="0"/>
        <w:rPr>
          <w:b/>
        </w:rPr>
      </w:pPr>
      <w:r w:rsidRPr="00F51A15">
        <w:rPr>
          <w:b/>
        </w:rPr>
        <w:t>Sup</w:t>
      </w:r>
      <w:r w:rsidRPr="00AC02C1">
        <w:rPr>
          <w:b/>
        </w:rPr>
        <w:t xml:space="preserve">plementary Fig. </w:t>
      </w:r>
      <w:r w:rsidR="00CF2E9E" w:rsidRPr="003B3820">
        <w:rPr>
          <w:b/>
        </w:rPr>
        <w:t>3. Association between RVOTD and the risk of VT/VF in subgroups.</w:t>
      </w:r>
    </w:p>
    <w:p w:rsidR="00F26255" w:rsidRDefault="00F26255" w:rsidP="001D4C07">
      <w:pPr>
        <w:pStyle w:val="af8"/>
        <w:adjustRightInd w:val="0"/>
        <w:snapToGrid w:val="0"/>
        <w:rPr>
          <w:b/>
        </w:rPr>
      </w:pPr>
    </w:p>
    <w:p w:rsidR="00F26255" w:rsidRDefault="00F26255" w:rsidP="001D4C07">
      <w:pPr>
        <w:pStyle w:val="af8"/>
        <w:adjustRightInd w:val="0"/>
        <w:snapToGrid w:val="0"/>
        <w:rPr>
          <w:rFonts w:eastAsiaTheme="minorEastAsia"/>
        </w:rPr>
      </w:pPr>
    </w:p>
    <w:p w:rsidR="00F26255" w:rsidRPr="00F26255" w:rsidRDefault="00F26255" w:rsidP="001D4C07">
      <w:pPr>
        <w:pStyle w:val="af8"/>
        <w:adjustRightInd w:val="0"/>
        <w:snapToGrid w:val="0"/>
        <w:rPr>
          <w:rFonts w:eastAsiaTheme="minorEastAsia" w:hint="eastAsia"/>
        </w:rPr>
      </w:pPr>
      <w:r>
        <w:rPr>
          <w:noProof/>
        </w:rPr>
        <w:lastRenderedPageBreak/>
        <w:drawing>
          <wp:inline distT="0" distB="0" distL="0" distR="0" wp14:anchorId="4BD12434" wp14:editId="3166B668">
            <wp:extent cx="6479540" cy="2742987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429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5A82" w:rsidRDefault="00F26255" w:rsidP="001D4C07">
      <w:pPr>
        <w:pStyle w:val="af8"/>
        <w:adjustRightInd w:val="0"/>
        <w:snapToGrid w:val="0"/>
        <w:rPr>
          <w:b/>
        </w:rPr>
      </w:pPr>
      <w:r w:rsidRPr="00F51A15">
        <w:rPr>
          <w:b/>
        </w:rPr>
        <w:t>Sup</w:t>
      </w:r>
      <w:r w:rsidRPr="00AC02C1">
        <w:rPr>
          <w:b/>
        </w:rPr>
        <w:t>plementary</w:t>
      </w:r>
      <w:r w:rsidRPr="00F26255">
        <w:rPr>
          <w:b/>
        </w:rPr>
        <w:t xml:space="preserve"> Fig. </w:t>
      </w:r>
      <w:r w:rsidR="00CF2E9E" w:rsidRPr="00F26255">
        <w:rPr>
          <w:b/>
        </w:rPr>
        <w:t xml:space="preserve">4. Calibration curves for the </w:t>
      </w:r>
      <w:r w:rsidR="00CF2E9E" w:rsidRPr="00F26255">
        <w:rPr>
          <w:rFonts w:hint="eastAsia"/>
          <w:b/>
        </w:rPr>
        <w:t>pre</w:t>
      </w:r>
      <w:r w:rsidR="00CF2E9E" w:rsidRPr="00F26255">
        <w:rPr>
          <w:b/>
        </w:rPr>
        <w:t xml:space="preserve">dicted and actual probability of </w:t>
      </w:r>
      <w:r w:rsidR="00CF2E9E" w:rsidRPr="00F26255">
        <w:rPr>
          <w:b/>
        </w:rPr>
        <w:t>free from VT/VF and non-arrhythmic mortality by RVOTD-ICD risk score in 1, 2, and 3 years’</w:t>
      </w:r>
      <w:r w:rsidR="00896180">
        <w:rPr>
          <w:b/>
        </w:rPr>
        <w:t xml:space="preserve"> </w:t>
      </w:r>
      <w:r w:rsidR="00CF2E9E" w:rsidRPr="00F26255">
        <w:rPr>
          <w:b/>
        </w:rPr>
        <w:t>time.</w:t>
      </w:r>
    </w:p>
    <w:p w:rsidR="003D429A" w:rsidRDefault="003D429A" w:rsidP="001D4C07">
      <w:pPr>
        <w:pStyle w:val="af8"/>
        <w:adjustRightInd w:val="0"/>
        <w:snapToGrid w:val="0"/>
        <w:rPr>
          <w:b/>
        </w:rPr>
      </w:pPr>
    </w:p>
    <w:p w:rsidR="003D429A" w:rsidRDefault="003D429A" w:rsidP="001D4C07">
      <w:pPr>
        <w:pStyle w:val="af8"/>
        <w:adjustRightInd w:val="0"/>
        <w:snapToGrid w:val="0"/>
        <w:rPr>
          <w:b/>
        </w:rPr>
      </w:pPr>
    </w:p>
    <w:p w:rsidR="003D429A" w:rsidRDefault="003D429A" w:rsidP="001D4C07">
      <w:pPr>
        <w:pStyle w:val="af8"/>
        <w:adjustRightInd w:val="0"/>
        <w:snapToGrid w:val="0"/>
        <w:jc w:val="center"/>
      </w:pPr>
      <w:bookmarkStart w:id="1" w:name="_GoBack"/>
      <w:r>
        <w:rPr>
          <w:noProof/>
        </w:rPr>
        <w:drawing>
          <wp:inline distT="0" distB="0" distL="0" distR="0" wp14:anchorId="4C70939D" wp14:editId="15DBD417">
            <wp:extent cx="3190297" cy="2413999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9146" cy="24282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p w:rsidR="00805A82" w:rsidRDefault="003D429A" w:rsidP="001D4C07">
      <w:pPr>
        <w:pStyle w:val="af8"/>
        <w:adjustRightInd w:val="0"/>
        <w:snapToGrid w:val="0"/>
        <w:rPr>
          <w:b/>
        </w:rPr>
      </w:pPr>
      <w:r w:rsidRPr="00F51A15">
        <w:rPr>
          <w:b/>
        </w:rPr>
        <w:t>Sup</w:t>
      </w:r>
      <w:r w:rsidRPr="00AC02C1">
        <w:rPr>
          <w:b/>
        </w:rPr>
        <w:t>plementar</w:t>
      </w:r>
      <w:r w:rsidRPr="003D429A">
        <w:rPr>
          <w:b/>
        </w:rPr>
        <w:t>y Fig.</w:t>
      </w:r>
      <w:r w:rsidRPr="003D429A">
        <w:rPr>
          <w:b/>
        </w:rPr>
        <w:t xml:space="preserve"> </w:t>
      </w:r>
      <w:r w:rsidR="00CF2E9E" w:rsidRPr="003D429A">
        <w:rPr>
          <w:b/>
        </w:rPr>
        <w:t>5. Distribution of RVOTD-ICD benefit score in the whole population.</w:t>
      </w:r>
    </w:p>
    <w:p w:rsidR="00CD104C" w:rsidRDefault="00CD104C" w:rsidP="001D4C07">
      <w:pPr>
        <w:pStyle w:val="af8"/>
        <w:adjustRightInd w:val="0"/>
        <w:snapToGrid w:val="0"/>
        <w:rPr>
          <w:b/>
        </w:rPr>
      </w:pPr>
    </w:p>
    <w:p w:rsidR="00CD104C" w:rsidRDefault="00CD104C" w:rsidP="001D4C07">
      <w:pPr>
        <w:pStyle w:val="af8"/>
        <w:adjustRightInd w:val="0"/>
        <w:snapToGrid w:val="0"/>
        <w:rPr>
          <w:b/>
        </w:rPr>
      </w:pPr>
    </w:p>
    <w:p w:rsidR="00CD104C" w:rsidRDefault="00CD104C" w:rsidP="003339C2">
      <w:pPr>
        <w:pStyle w:val="af8"/>
        <w:adjustRightInd w:val="0"/>
        <w:snapToGrid w:val="0"/>
        <w:jc w:val="center"/>
      </w:pPr>
      <w:r>
        <w:rPr>
          <w:noProof/>
        </w:rPr>
        <w:drawing>
          <wp:inline distT="0" distB="0" distL="0" distR="0" wp14:anchorId="2D6438F8" wp14:editId="78EA47EC">
            <wp:extent cx="5806868" cy="2531060"/>
            <wp:effectExtent l="0" t="0" r="381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8948" cy="2540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5A82" w:rsidRDefault="00CD104C" w:rsidP="001D4C07">
      <w:pPr>
        <w:pStyle w:val="af8"/>
        <w:adjustRightInd w:val="0"/>
        <w:snapToGrid w:val="0"/>
        <w:rPr>
          <w:b/>
        </w:rPr>
      </w:pPr>
      <w:r w:rsidRPr="00F51A15">
        <w:rPr>
          <w:b/>
        </w:rPr>
        <w:t>Sup</w:t>
      </w:r>
      <w:r w:rsidRPr="00AC02C1">
        <w:rPr>
          <w:b/>
        </w:rPr>
        <w:t>plementar</w:t>
      </w:r>
      <w:r w:rsidRPr="003D429A">
        <w:rPr>
          <w:b/>
        </w:rPr>
        <w:t xml:space="preserve">y </w:t>
      </w:r>
      <w:r w:rsidRPr="00CD104C">
        <w:rPr>
          <w:b/>
        </w:rPr>
        <w:t xml:space="preserve">Fig. </w:t>
      </w:r>
      <w:r w:rsidR="00CF2E9E" w:rsidRPr="00CD104C">
        <w:rPr>
          <w:b/>
        </w:rPr>
        <w:t xml:space="preserve">6. Cumulative incidence of ventricular tachyarrhythmia </w:t>
      </w:r>
      <w:r w:rsidR="00CF2E9E" w:rsidRPr="00CD104C">
        <w:rPr>
          <w:b/>
        </w:rPr>
        <w:t>(in</w:t>
      </w:r>
      <w:r w:rsidR="00CF2E9E" w:rsidRPr="00CD104C">
        <w:rPr>
          <w:b/>
        </w:rPr>
        <w:t>cluding anti</w:t>
      </w:r>
      <w:r w:rsidR="00CF2E9E" w:rsidRPr="00CD104C">
        <w:rPr>
          <w:b/>
        </w:rPr>
        <w:t>-tachycardia pacing) (A) and Non-arrhythmic Mortality (B) among the three RVOTD-ICD benefit score groups.</w:t>
      </w:r>
    </w:p>
    <w:p w:rsidR="00C6030B" w:rsidRDefault="00C6030B" w:rsidP="001D4C07">
      <w:pPr>
        <w:pStyle w:val="af8"/>
        <w:adjustRightInd w:val="0"/>
        <w:snapToGrid w:val="0"/>
        <w:rPr>
          <w:b/>
        </w:rPr>
      </w:pPr>
    </w:p>
    <w:p w:rsidR="00C6030B" w:rsidRDefault="00C6030B" w:rsidP="001D4C07">
      <w:pPr>
        <w:pStyle w:val="af8"/>
        <w:adjustRightInd w:val="0"/>
        <w:snapToGrid w:val="0"/>
        <w:rPr>
          <w:rFonts w:eastAsiaTheme="minorEastAsia"/>
        </w:rPr>
      </w:pPr>
    </w:p>
    <w:p w:rsidR="00C6030B" w:rsidRPr="00C6030B" w:rsidRDefault="00C6030B" w:rsidP="001D4C07">
      <w:pPr>
        <w:pStyle w:val="af8"/>
        <w:adjustRightInd w:val="0"/>
        <w:snapToGrid w:val="0"/>
        <w:jc w:val="center"/>
        <w:rPr>
          <w:rFonts w:eastAsiaTheme="minorEastAsia" w:hint="eastAsia"/>
        </w:rPr>
      </w:pPr>
      <w:r>
        <w:rPr>
          <w:noProof/>
        </w:rPr>
        <w:drawing>
          <wp:inline distT="0" distB="0" distL="0" distR="0" wp14:anchorId="4ED63407" wp14:editId="0A96BDCC">
            <wp:extent cx="2771140" cy="232854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2084" cy="23376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5A82" w:rsidRDefault="00C6030B" w:rsidP="001D4C07">
      <w:pPr>
        <w:pStyle w:val="af8"/>
        <w:adjustRightInd w:val="0"/>
        <w:snapToGrid w:val="0"/>
        <w:rPr>
          <w:b/>
        </w:rPr>
      </w:pPr>
      <w:r w:rsidRPr="005254D3">
        <w:rPr>
          <w:b/>
        </w:rPr>
        <w:t xml:space="preserve">Supplementary Fig. </w:t>
      </w:r>
      <w:r w:rsidR="00CF2E9E" w:rsidRPr="005254D3">
        <w:rPr>
          <w:b/>
        </w:rPr>
        <w:t>7. Decision curve analysis for the MADIT-ICD and RVOTD-ICD benefit scores in 5 years’ all-cause mortality.</w:t>
      </w:r>
    </w:p>
    <w:p w:rsidR="001D4C07" w:rsidRDefault="001D4C07" w:rsidP="001D4C07">
      <w:pPr>
        <w:pStyle w:val="af8"/>
        <w:adjustRightInd w:val="0"/>
        <w:snapToGrid w:val="0"/>
        <w:rPr>
          <w:b/>
        </w:rPr>
      </w:pPr>
    </w:p>
    <w:p w:rsidR="001D4C07" w:rsidRPr="005254D3" w:rsidRDefault="001D4C07" w:rsidP="001D4C07">
      <w:pPr>
        <w:pStyle w:val="af8"/>
        <w:adjustRightInd w:val="0"/>
        <w:snapToGrid w:val="0"/>
      </w:pPr>
    </w:p>
    <w:p w:rsidR="00905B9D" w:rsidRDefault="00905B9D" w:rsidP="00B0511D">
      <w:pPr>
        <w:pStyle w:val="aa"/>
        <w:sectPr w:rsidR="00905B9D" w:rsidSect="00AE091D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 w:code="9"/>
          <w:pgMar w:top="1134" w:right="851" w:bottom="1134" w:left="851" w:header="283" w:footer="1134" w:gutter="0"/>
          <w:cols w:space="425"/>
          <w:docGrid w:type="lines" w:linePitch="312"/>
        </w:sectPr>
      </w:pPr>
    </w:p>
    <w:p w:rsidR="00805A82" w:rsidRDefault="00E505F5" w:rsidP="00B0511D">
      <w:pPr>
        <w:pStyle w:val="aa"/>
      </w:pPr>
      <w:r w:rsidRPr="005254D3">
        <w:lastRenderedPageBreak/>
        <w:t xml:space="preserve">Supplementary </w:t>
      </w:r>
      <w:r>
        <w:t xml:space="preserve">Table </w:t>
      </w:r>
      <w:r w:rsidR="00CF2E9E">
        <w:t xml:space="preserve">1. Association of RVOTD and other possible risk factors with the risk of VT/VF and </w:t>
      </w:r>
      <w:r w:rsidR="00CF2E9E">
        <w:rPr>
          <w:rFonts w:eastAsia="等线"/>
        </w:rPr>
        <w:t>non-arrhythmic</w:t>
      </w:r>
      <w:r w:rsidR="00CF2E9E">
        <w:t xml:space="preserve"> mortality.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2"/>
        <w:gridCol w:w="1890"/>
        <w:gridCol w:w="807"/>
        <w:gridCol w:w="1857"/>
        <w:gridCol w:w="769"/>
        <w:gridCol w:w="1891"/>
        <w:gridCol w:w="807"/>
        <w:gridCol w:w="1700"/>
        <w:gridCol w:w="807"/>
      </w:tblGrid>
      <w:tr w:rsidR="00805A82" w:rsidTr="00E505F5">
        <w:trPr>
          <w:trHeight w:val="389"/>
          <w:jc w:val="center"/>
        </w:trPr>
        <w:tc>
          <w:tcPr>
            <w:tcW w:w="877" w:type="pct"/>
            <w:tcBorders>
              <w:top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P</w:t>
            </w:r>
            <w:r>
              <w:t>arameters</w:t>
            </w:r>
          </w:p>
        </w:tc>
        <w:tc>
          <w:tcPr>
            <w:tcW w:w="2089" w:type="pct"/>
            <w:gridSpan w:val="4"/>
            <w:tcBorders>
              <w:top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center"/>
            </w:pPr>
            <w:r>
              <w:t>VT/VF risk</w:t>
            </w:r>
          </w:p>
        </w:tc>
        <w:tc>
          <w:tcPr>
            <w:tcW w:w="2034" w:type="pct"/>
            <w:gridSpan w:val="4"/>
            <w:tcBorders>
              <w:top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eastAsia="等线"/>
              </w:rPr>
              <w:t>Non-arrhythmic</w:t>
            </w:r>
            <w:r>
              <w:t xml:space="preserve"> Mortality</w:t>
            </w:r>
          </w:p>
        </w:tc>
      </w:tr>
      <w:tr w:rsidR="00805A82" w:rsidTr="00E505F5">
        <w:trPr>
          <w:trHeight w:val="389"/>
          <w:jc w:val="center"/>
        </w:trPr>
        <w:tc>
          <w:tcPr>
            <w:tcW w:w="877" w:type="pct"/>
          </w:tcPr>
          <w:p w:rsidR="00805A82" w:rsidRDefault="00805A82" w:rsidP="00E505F5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715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Univariable</w:t>
            </w:r>
          </w:p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analysis</w:t>
            </w:r>
          </w:p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HR (95% CI)</w:t>
            </w:r>
          </w:p>
        </w:tc>
        <w:tc>
          <w:tcPr>
            <w:tcW w:w="330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P value</w:t>
            </w:r>
          </w:p>
        </w:tc>
        <w:tc>
          <w:tcPr>
            <w:tcW w:w="714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Multivariable analysis</w:t>
            </w:r>
          </w:p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HR (95% CI)</w:t>
            </w:r>
          </w:p>
        </w:tc>
        <w:tc>
          <w:tcPr>
            <w:tcW w:w="330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 xml:space="preserve">P </w:t>
            </w:r>
            <w:r>
              <w:rPr>
                <w:rFonts w:hint="eastAsia"/>
              </w:rPr>
              <w:t>v</w:t>
            </w:r>
            <w:r>
              <w:t>alue</w:t>
            </w:r>
          </w:p>
        </w:tc>
        <w:tc>
          <w:tcPr>
            <w:tcW w:w="715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Univariable analysis</w:t>
            </w:r>
          </w:p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HR (95% CI)</w:t>
            </w:r>
          </w:p>
        </w:tc>
        <w:tc>
          <w:tcPr>
            <w:tcW w:w="330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P</w:t>
            </w:r>
            <w:r>
              <w:rPr>
                <w:rFonts w:hint="eastAsia"/>
              </w:rPr>
              <w:t xml:space="preserve"> </w:t>
            </w:r>
            <w:r>
              <w:t>value</w:t>
            </w: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Multivariable</w:t>
            </w:r>
          </w:p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analysis</w:t>
            </w:r>
          </w:p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HR (95% CI)</w:t>
            </w:r>
          </w:p>
        </w:tc>
        <w:tc>
          <w:tcPr>
            <w:tcW w:w="330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adjustRightInd w:val="0"/>
              <w:snapToGrid w:val="0"/>
              <w:ind w:firstLineChars="0" w:firstLine="0"/>
              <w:jc w:val="left"/>
            </w:pPr>
            <w:r>
              <w:t>P</w:t>
            </w:r>
            <w:r>
              <w:rPr>
                <w:rFonts w:hint="eastAsia"/>
              </w:rPr>
              <w:t xml:space="preserve"> </w:t>
            </w:r>
            <w:r>
              <w:t>value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5000" w:type="pct"/>
            <w:gridSpan w:val="9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  <w:r>
              <w:rPr>
                <w:rFonts w:eastAsia="等线" w:hint="eastAsia"/>
                <w:b/>
                <w:bCs/>
                <w:color w:val="000000"/>
                <w:kern w:val="0"/>
              </w:rPr>
              <w:t>S</w:t>
            </w:r>
            <w:r>
              <w:rPr>
                <w:rFonts w:eastAsia="等线"/>
                <w:b/>
                <w:bCs/>
                <w:color w:val="000000"/>
                <w:kern w:val="0"/>
              </w:rPr>
              <w:t>eattle proportional risk model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Age (per decade older)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.87 (0.80-0.94)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.29 (1.12-1.48)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Male sex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 xml:space="preserve">.47 </w:t>
            </w:r>
            <w:r>
              <w:rPr>
                <w:rFonts w:eastAsia="等线" w:hint="eastAsia"/>
                <w:color w:val="000000"/>
                <w:kern w:val="0"/>
              </w:rPr>
              <w:t>(</w:t>
            </w:r>
            <w:r>
              <w:rPr>
                <w:rFonts w:eastAsia="等线"/>
                <w:color w:val="000000"/>
                <w:kern w:val="0"/>
              </w:rPr>
              <w:t>1.08-2.01)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.016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.88 (0.59-1.31)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.521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D</w:t>
            </w:r>
            <w:r>
              <w:rPr>
                <w:rFonts w:eastAsia="等线"/>
                <w:color w:val="000000"/>
                <w:kern w:val="0"/>
              </w:rPr>
              <w:t>iabetes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.73 (0.53-1.02)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.068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.73 (1.17-2.54)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0.005</w:t>
            </w:r>
          </w:p>
        </w:tc>
        <w:tc>
          <w:tcPr>
            <w:tcW w:w="66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.60 (1.09-2.37)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.017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/>
                <w:kern w:val="0"/>
              </w:rPr>
              <w:t>LV Ejection fraction (per 10% increase)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.95 (0.87-1.03)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0.172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.67 (0.58-0.77)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 w:hint="eastAsia"/>
                <w:kern w:val="0"/>
              </w:rPr>
              <w:t>S</w:t>
            </w:r>
            <w:r>
              <w:rPr>
                <w:rFonts w:eastAsia="等线"/>
                <w:kern w:val="0"/>
              </w:rPr>
              <w:t>BP (per 10 mmHg below 140)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.08 (1.00-1.08)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.049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.15 (1.02-1.30)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.022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/>
                <w:kern w:val="0"/>
              </w:rPr>
              <w:t>Serum</w:t>
            </w:r>
            <w:r>
              <w:rPr>
                <w:rFonts w:eastAsia="等线"/>
                <w:kern w:val="0"/>
              </w:rPr>
              <w:t xml:space="preserve"> sodium level (each mEq/L below 145)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.02 (0.98-1.06)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.289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.05 (0.99-1.11)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.102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Creatinine (mg/dL)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.00 (0.99-1.01)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.952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.00 (1.00-1.01)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.547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kern w:val="0"/>
              </w:rPr>
              <w:t>N</w:t>
            </w:r>
            <w:r>
              <w:rPr>
                <w:rFonts w:eastAsia="等线"/>
                <w:kern w:val="0"/>
              </w:rPr>
              <w:t>YHA I</w:t>
            </w:r>
            <w:r>
              <w:rPr>
                <w:rFonts w:eastAsia="等线" w:hint="eastAsia"/>
                <w:kern w:val="0"/>
              </w:rPr>
              <w:t>/</w:t>
            </w:r>
            <w:r>
              <w:rPr>
                <w:rFonts w:eastAsia="等线"/>
                <w:kern w:val="0"/>
              </w:rPr>
              <w:t xml:space="preserve">II 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.12 (0.88-1.43)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.358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.29 (0.20-0.41)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  <w:tc>
          <w:tcPr>
            <w:tcW w:w="66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.51 (0.34-0.77)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.001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 xml:space="preserve">Body mass </w:t>
            </w:r>
            <w:r>
              <w:rPr>
                <w:rFonts w:eastAsia="等线"/>
                <w:color w:val="000000"/>
                <w:kern w:val="0"/>
              </w:rPr>
              <w:t>index (per 5 kg/m</w:t>
            </w:r>
            <w:r>
              <w:rPr>
                <w:rFonts w:eastAsia="等线"/>
                <w:color w:val="000000"/>
                <w:kern w:val="0"/>
                <w:vertAlign w:val="superscript"/>
              </w:rPr>
              <w:t>2</w:t>
            </w:r>
            <w:r>
              <w:rPr>
                <w:rFonts w:eastAsia="等线"/>
                <w:color w:val="000000"/>
                <w:kern w:val="0"/>
              </w:rPr>
              <w:t xml:space="preserve"> increase)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 xml:space="preserve">.00 </w:t>
            </w:r>
            <w:r>
              <w:rPr>
                <w:rFonts w:eastAsia="等线" w:hint="eastAsia"/>
                <w:color w:val="000000"/>
                <w:kern w:val="0"/>
              </w:rPr>
              <w:t>(</w:t>
            </w:r>
            <w:r>
              <w:rPr>
                <w:rFonts w:eastAsia="等线"/>
                <w:color w:val="000000"/>
                <w:kern w:val="0"/>
              </w:rPr>
              <w:t>0.85-1.18)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.993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.88 (0.69-1.12)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.308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Digoxin use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.08 (0.83-1.40)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.579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.80 (1.27-2.54)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  <w:tc>
          <w:tcPr>
            <w:tcW w:w="66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b/>
                <w:bCs/>
                <w:color w:val="000000"/>
                <w:kern w:val="0"/>
              </w:rPr>
              <w:t xml:space="preserve">MADIT-ICD VT/VF score &amp; </w:t>
            </w:r>
            <w:r>
              <w:rPr>
                <w:rFonts w:eastAsia="等线" w:hint="eastAsia"/>
                <w:b/>
                <w:bCs/>
                <w:color w:val="000000"/>
                <w:kern w:val="0"/>
              </w:rPr>
              <w:t>M</w:t>
            </w:r>
            <w:r>
              <w:rPr>
                <w:rFonts w:eastAsia="等线"/>
                <w:b/>
                <w:bCs/>
                <w:color w:val="000000"/>
                <w:kern w:val="0"/>
              </w:rPr>
              <w:t>ADIT-ICD non-arrhythmic mortality score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rPr>
                <w:rFonts w:eastAsia="等线" w:hint="eastAsia"/>
                <w:kern w:val="0"/>
              </w:rPr>
              <w:t>A</w:t>
            </w:r>
            <w:r>
              <w:rPr>
                <w:rFonts w:eastAsia="等线"/>
                <w:kern w:val="0"/>
              </w:rPr>
              <w:t>ge</w:t>
            </w:r>
            <w:r>
              <w:t>&lt;75 years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2</w:t>
            </w:r>
            <w:r>
              <w:rPr>
                <w:rFonts w:eastAsia="等线"/>
                <w:color w:val="000000"/>
                <w:kern w:val="0"/>
              </w:rPr>
              <w:t>.27 (1.35-3.81)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.002</w:t>
            </w:r>
          </w:p>
        </w:tc>
        <w:tc>
          <w:tcPr>
            <w:tcW w:w="714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2</w:t>
            </w:r>
            <w:r>
              <w:rPr>
                <w:rFonts w:eastAsia="等线"/>
                <w:color w:val="000000"/>
                <w:kern w:val="0"/>
              </w:rPr>
              <w:t xml:space="preserve">.29 </w:t>
            </w:r>
            <w:r>
              <w:rPr>
                <w:rFonts w:eastAsia="等线"/>
                <w:color w:val="000000"/>
                <w:kern w:val="0"/>
              </w:rPr>
              <w:t>(1.36-3.86)</w:t>
            </w:r>
          </w:p>
        </w:tc>
        <w:tc>
          <w:tcPr>
            <w:tcW w:w="330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0.002</w:t>
            </w: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.51 (0.33-0.79)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.003</w:t>
            </w:r>
          </w:p>
        </w:tc>
        <w:tc>
          <w:tcPr>
            <w:tcW w:w="66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.60 (0.38-0.95)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.030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t>Male sex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As above</w:t>
            </w: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As above</w:t>
            </w: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t>SBP&lt;140 mmHg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.29 (0.88-1.89)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.186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.11 (0.66-1.88)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.685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t>H</w:t>
            </w:r>
            <w:r>
              <w:rPr>
                <w:rFonts w:hint="eastAsia"/>
              </w:rPr>
              <w:t>eart</w:t>
            </w:r>
            <w:r>
              <w:t xml:space="preserve"> rate&gt;75 bpm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.23 (0.94-1.61)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.127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.16 (0.78-1.72)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.457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/>
                <w:kern w:val="0"/>
              </w:rPr>
              <w:t>Arial arrhythmia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 xml:space="preserve">.09 </w:t>
            </w:r>
            <w:r>
              <w:rPr>
                <w:rFonts w:eastAsia="等线"/>
                <w:color w:val="000000"/>
                <w:kern w:val="0"/>
              </w:rPr>
              <w:t>(0.85-1.40)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.483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.50 (1.06-2.12)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.023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t>Myocardial infarction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FF0000"/>
                <w:kern w:val="0"/>
              </w:rPr>
            </w:pPr>
            <w:r>
              <w:rPr>
                <w:rFonts w:eastAsia="等线" w:hint="eastAsia"/>
                <w:kern w:val="0"/>
              </w:rPr>
              <w:t>0</w:t>
            </w:r>
            <w:r>
              <w:rPr>
                <w:rFonts w:eastAsia="等线"/>
                <w:kern w:val="0"/>
              </w:rPr>
              <w:t>.73 (0.57-0.94)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.013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.14 (0.82-1.61)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.444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t>p</w:t>
            </w:r>
            <w:r>
              <w:rPr>
                <w:rFonts w:hint="eastAsia"/>
              </w:rPr>
              <w:t>rio</w:t>
            </w:r>
            <w:r>
              <w:t>r NSVT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 w:hint="eastAsia"/>
                <w:kern w:val="0"/>
              </w:rPr>
              <w:t>1</w:t>
            </w:r>
            <w:r>
              <w:rPr>
                <w:rFonts w:eastAsia="等线"/>
                <w:kern w:val="0"/>
              </w:rPr>
              <w:t>.62 (1.02-2.58)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.043</w:t>
            </w:r>
          </w:p>
        </w:tc>
        <w:tc>
          <w:tcPr>
            <w:tcW w:w="714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.63 (1.02-2.61)</w:t>
            </w:r>
          </w:p>
        </w:tc>
        <w:tc>
          <w:tcPr>
            <w:tcW w:w="330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.039</w:t>
            </w:r>
          </w:p>
        </w:tc>
        <w:tc>
          <w:tcPr>
            <w:tcW w:w="715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t>prior VT/VF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.77 (1.20-2.61)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.004</w:t>
            </w:r>
          </w:p>
        </w:tc>
        <w:tc>
          <w:tcPr>
            <w:tcW w:w="714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.85 (1.25-2.72)</w:t>
            </w:r>
          </w:p>
        </w:tc>
        <w:tc>
          <w:tcPr>
            <w:tcW w:w="330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.002</w:t>
            </w: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.58 (0.39-0.86)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.006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/>
                <w:kern w:val="0"/>
              </w:rPr>
              <w:t>LVEF</w:t>
            </w:r>
            <w:r>
              <w:rPr>
                <w:rFonts w:hint="eastAsia"/>
              </w:rPr>
              <w:t>≤</w:t>
            </w:r>
            <w:r>
              <w:rPr>
                <w:rFonts w:eastAsia="等线"/>
                <w:kern w:val="0"/>
              </w:rPr>
              <w:t>25%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.09 (0.75-1.59)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.649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2</w:t>
            </w:r>
            <w:r>
              <w:rPr>
                <w:rFonts w:eastAsia="等线"/>
                <w:color w:val="000000"/>
                <w:kern w:val="0"/>
              </w:rPr>
              <w:t>.06 (1.32-3.20)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.001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N</w:t>
            </w:r>
            <w:r>
              <w:t>YHA class</w:t>
            </w:r>
            <w:r>
              <w:rPr>
                <w:rFonts w:hint="eastAsia"/>
              </w:rPr>
              <w:t>≥</w:t>
            </w:r>
            <w:r>
              <w:t>II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.93 (0.67-1.29)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0.660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2</w:t>
            </w:r>
            <w:r>
              <w:rPr>
                <w:rFonts w:eastAsia="等线"/>
                <w:color w:val="000000"/>
                <w:kern w:val="0"/>
              </w:rPr>
              <w:t>.43 (1.24-4.78)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.010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t>Diabetes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As above</w:t>
            </w: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A</w:t>
            </w:r>
            <w:r>
              <w:rPr>
                <w:rFonts w:eastAsia="等线"/>
                <w:color w:val="000000"/>
                <w:kern w:val="0"/>
              </w:rPr>
              <w:t>s above</w:t>
            </w: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t xml:space="preserve">Body mass index </w:t>
            </w:r>
          </w:p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vertAlign w:val="superscript"/>
              </w:rPr>
            </w:pPr>
            <w:r>
              <w:t>&lt;23 kg/m</w:t>
            </w:r>
            <w:r>
              <w:rPr>
                <w:vertAlign w:val="superscript"/>
              </w:rPr>
              <w:t>2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.99 (0.77-1.27)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.901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.28 (0.90-1.81)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.174</w:t>
            </w:r>
          </w:p>
        </w:tc>
        <w:tc>
          <w:tcPr>
            <w:tcW w:w="66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4670" w:type="pct"/>
            <w:gridSpan w:val="8"/>
            <w:tcBorders>
              <w:top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  <w:r>
              <w:rPr>
                <w:b/>
                <w:bCs/>
              </w:rPr>
              <w:t xml:space="preserve">Other </w:t>
            </w:r>
            <w:r>
              <w:rPr>
                <w:b/>
                <w:bCs/>
              </w:rPr>
              <w:t>medications</w:t>
            </w:r>
          </w:p>
        </w:tc>
        <w:tc>
          <w:tcPr>
            <w:tcW w:w="330" w:type="pct"/>
            <w:tcBorders>
              <w:top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rPr>
                <w:rFonts w:eastAsia="等线"/>
                <w:color w:val="000000"/>
                <w:kern w:val="0"/>
              </w:rPr>
              <w:t xml:space="preserve">RAAS inhibitors 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1.18 (0.91-1.53)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.215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.65 (0.46-0.91)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.014</w:t>
            </w:r>
          </w:p>
        </w:tc>
        <w:tc>
          <w:tcPr>
            <w:tcW w:w="66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.62 (0.44-0.88)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.008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β-blocker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0.84 (0.58-1.21)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.352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.86 (0.51-1.45)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.577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rPr>
                <w:rFonts w:eastAsia="等线"/>
                <w:color w:val="000000"/>
                <w:kern w:val="0"/>
              </w:rPr>
              <w:t>Diuretic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1.34 (1.02-1.77)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.037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2</w:t>
            </w:r>
            <w:r>
              <w:rPr>
                <w:rFonts w:eastAsia="等线"/>
                <w:color w:val="000000"/>
                <w:kern w:val="0"/>
              </w:rPr>
              <w:t>.07 (1.30-3.29)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.002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</w:pPr>
            <w:r>
              <w:lastRenderedPageBreak/>
              <w:t xml:space="preserve">Mineralocorticoid </w:t>
            </w:r>
          </w:p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t xml:space="preserve">receptor </w:t>
            </w:r>
            <w:r>
              <w:t>antagonist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.33 (1.03-1.72)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.026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.13 (0.78-1.62)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.517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</w:pPr>
            <w:r>
              <w:t>Digoxin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 w:hint="eastAsia"/>
                <w:kern w:val="0"/>
              </w:rPr>
              <w:t>1</w:t>
            </w:r>
            <w:r>
              <w:rPr>
                <w:rFonts w:eastAsia="等线"/>
                <w:kern w:val="0"/>
              </w:rPr>
              <w:t>.08 (0.83-1.40)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 w:hint="eastAsia"/>
                <w:kern w:val="0"/>
              </w:rPr>
              <w:t>0</w:t>
            </w:r>
            <w:r>
              <w:rPr>
                <w:rFonts w:eastAsia="等线"/>
                <w:kern w:val="0"/>
              </w:rPr>
              <w:t>.579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.80 (1.28-2.53)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.001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</w:pPr>
            <w:r>
              <w:t>Antiarrhythmic drugs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.16 (0.91-1.48)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.222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.98 (0.69-1.38)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.891</w:t>
            </w:r>
          </w:p>
        </w:tc>
        <w:tc>
          <w:tcPr>
            <w:tcW w:w="66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highlight w:val="yellow"/>
              </w:rPr>
            </w:pPr>
            <w:r>
              <w:rPr>
                <w:b/>
                <w:bCs/>
              </w:rPr>
              <w:t>Echocardiographic parameters</w:t>
            </w:r>
            <w:r>
              <w:rPr>
                <w:b/>
                <w:bCs/>
                <w:color w:val="FF0000"/>
              </w:rPr>
              <w:t xml:space="preserve"> 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LVEDD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1.14 (1.01-1.29)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0.028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1.63 (1.38-1.93)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&lt;0.001</w:t>
            </w:r>
          </w:p>
        </w:tc>
        <w:tc>
          <w:tcPr>
            <w:tcW w:w="66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kern w:val="0"/>
              </w:rPr>
              <w:t>1</w:t>
            </w:r>
            <w:r>
              <w:rPr>
                <w:rFonts w:eastAsia="等线"/>
                <w:kern w:val="0"/>
              </w:rPr>
              <w:t>.39 (1.16-1.66)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LVPWT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0.99 (0.93-1.06)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0.858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0.98 (0.89-1.07)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0.611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IVST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0.98 (0.95-1.01)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0.267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0.91 (0.75-1.11)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0.358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LAD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1.11 (0.99-1.24)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0.080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1.47 (1.27-1.70)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&lt;0.001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kern w:val="0"/>
              </w:rPr>
            </w:pPr>
            <w:r>
              <w:rPr>
                <w:rFonts w:eastAsia="等线"/>
                <w:kern w:val="0"/>
              </w:rPr>
              <w:t>RVOTD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1.23 (1.12-1.35)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&lt;0.001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 xml:space="preserve">.22 </w:t>
            </w:r>
            <w:r>
              <w:rPr>
                <w:rFonts w:eastAsia="等线"/>
                <w:color w:val="000000"/>
                <w:kern w:val="0"/>
              </w:rPr>
              <w:t>(1.11-1.33)</w:t>
            </w:r>
          </w:p>
        </w:tc>
        <w:tc>
          <w:tcPr>
            <w:tcW w:w="330" w:type="pct"/>
            <w:tcBorders>
              <w:bottom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0.002</w:t>
            </w:r>
          </w:p>
        </w:tc>
        <w:tc>
          <w:tcPr>
            <w:tcW w:w="715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0.97 (0.82-1.13)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0.680</w:t>
            </w:r>
          </w:p>
        </w:tc>
        <w:tc>
          <w:tcPr>
            <w:tcW w:w="66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  <w:r>
              <w:rPr>
                <w:rFonts w:eastAsia="等线" w:hint="eastAsia"/>
                <w:b/>
                <w:bCs/>
                <w:color w:val="000000"/>
                <w:kern w:val="0"/>
              </w:rPr>
              <w:t>La</w:t>
            </w:r>
            <w:r>
              <w:rPr>
                <w:rFonts w:eastAsia="等线"/>
                <w:b/>
                <w:bCs/>
                <w:color w:val="000000"/>
                <w:kern w:val="0"/>
              </w:rPr>
              <w:t>boratory parameters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ln (NT-proBNP)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.00 (0.80-1.23)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.952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5</w:t>
            </w:r>
            <w:r>
              <w:rPr>
                <w:rFonts w:eastAsia="等线"/>
                <w:color w:val="000000"/>
                <w:kern w:val="0"/>
              </w:rPr>
              <w:t>.16 (3.55-7.53)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  <w:tc>
          <w:tcPr>
            <w:tcW w:w="66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3.03 (2.00-4.58)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hs-cTnI (per 1 SD)</w:t>
            </w:r>
          </w:p>
        </w:tc>
        <w:tc>
          <w:tcPr>
            <w:tcW w:w="715" w:type="pct"/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.92 (0.79-1.07)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.287</w:t>
            </w:r>
          </w:p>
        </w:tc>
        <w:tc>
          <w:tcPr>
            <w:tcW w:w="714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.08 (1.00-1.17)</w:t>
            </w:r>
          </w:p>
        </w:tc>
        <w:tc>
          <w:tcPr>
            <w:tcW w:w="330" w:type="pct"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.053</w:t>
            </w:r>
          </w:p>
        </w:tc>
        <w:tc>
          <w:tcPr>
            <w:tcW w:w="66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805A82" w:rsidTr="00E505F5">
        <w:trPr>
          <w:trHeight w:val="278"/>
          <w:jc w:val="center"/>
        </w:trPr>
        <w:tc>
          <w:tcPr>
            <w:tcW w:w="877" w:type="pct"/>
            <w:tcBorders>
              <w:bottom w:val="single" w:sz="8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/>
                <w:color w:val="000000"/>
                <w:kern w:val="0"/>
              </w:rPr>
              <w:t>hs-CRP (per 1 SD)</w:t>
            </w:r>
          </w:p>
        </w:tc>
        <w:tc>
          <w:tcPr>
            <w:tcW w:w="715" w:type="pct"/>
            <w:tcBorders>
              <w:bottom w:val="single" w:sz="8" w:space="0" w:color="auto"/>
            </w:tcBorders>
            <w:noWrap/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 xml:space="preserve">.02 </w:t>
            </w:r>
            <w:r>
              <w:rPr>
                <w:rFonts w:eastAsia="等线"/>
                <w:color w:val="000000"/>
                <w:kern w:val="0"/>
              </w:rPr>
              <w:t>(0.91-1.14)</w:t>
            </w:r>
          </w:p>
        </w:tc>
        <w:tc>
          <w:tcPr>
            <w:tcW w:w="330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0</w:t>
            </w:r>
            <w:r>
              <w:rPr>
                <w:rFonts w:eastAsia="等线"/>
                <w:color w:val="000000"/>
                <w:kern w:val="0"/>
              </w:rPr>
              <w:t>.763</w:t>
            </w:r>
          </w:p>
        </w:tc>
        <w:tc>
          <w:tcPr>
            <w:tcW w:w="714" w:type="pct"/>
            <w:tcBorders>
              <w:bottom w:val="single" w:sz="8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8" w:space="0" w:color="auto"/>
            </w:tcBorders>
            <w:noWrap/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715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1</w:t>
            </w:r>
            <w:r>
              <w:rPr>
                <w:rFonts w:eastAsia="等线"/>
                <w:color w:val="000000"/>
                <w:kern w:val="0"/>
              </w:rPr>
              <w:t>.29 (1.12-1.48)</w:t>
            </w:r>
          </w:p>
        </w:tc>
        <w:tc>
          <w:tcPr>
            <w:tcW w:w="330" w:type="pct"/>
            <w:tcBorders>
              <w:bottom w:val="single" w:sz="8" w:space="0" w:color="auto"/>
            </w:tcBorders>
          </w:tcPr>
          <w:p w:rsidR="00805A82" w:rsidRDefault="00CF2E9E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>
              <w:rPr>
                <w:rFonts w:eastAsia="等线" w:hint="eastAsia"/>
                <w:color w:val="000000"/>
                <w:kern w:val="0"/>
              </w:rPr>
              <w:t>&lt;</w:t>
            </w:r>
            <w:r>
              <w:rPr>
                <w:rFonts w:eastAsia="等线"/>
                <w:color w:val="000000"/>
                <w:kern w:val="0"/>
              </w:rPr>
              <w:t>0.001</w:t>
            </w: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30" w:type="pct"/>
            <w:tcBorders>
              <w:bottom w:val="single" w:sz="8" w:space="0" w:color="auto"/>
            </w:tcBorders>
          </w:tcPr>
          <w:p w:rsidR="00805A82" w:rsidRDefault="00805A82" w:rsidP="00E505F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</w:tbl>
    <w:p w:rsidR="00805A82" w:rsidRDefault="00CF2E9E" w:rsidP="00905B9D">
      <w:pPr>
        <w:pStyle w:val="ab"/>
      </w:pPr>
      <w:r>
        <w:t>All continuous variables are included per SD unless specified otherwise.</w:t>
      </w:r>
      <w:r>
        <w:rPr>
          <w:rFonts w:hint="eastAsia"/>
        </w:rPr>
        <w:t xml:space="preserve"> </w:t>
      </w:r>
      <w:r>
        <w:t>Single variable validated in more than one different risk models (e.g. age) only entered once into multivariable analysis.</w:t>
      </w:r>
      <w:r>
        <w:rPr>
          <w:rFonts w:hint="eastAsia"/>
        </w:rPr>
        <w:t xml:space="preserve"> </w:t>
      </w:r>
      <w:r>
        <w:t>IVST,</w:t>
      </w:r>
      <w:r>
        <w:t xml:space="preserve"> </w:t>
      </w:r>
      <w:r>
        <w:t>interventricular septal thickness; LVPWT, left ventricular posterior wall thickness; other abbreviations as in Table 1.</w:t>
      </w:r>
    </w:p>
    <w:p w:rsidR="00747460" w:rsidRDefault="00747460" w:rsidP="00905B9D">
      <w:pPr>
        <w:pStyle w:val="ab"/>
      </w:pPr>
    </w:p>
    <w:p w:rsidR="00747460" w:rsidRDefault="00747460" w:rsidP="00905B9D">
      <w:pPr>
        <w:pStyle w:val="ab"/>
      </w:pPr>
    </w:p>
    <w:p w:rsidR="00805A82" w:rsidRDefault="00747460" w:rsidP="00B0511D">
      <w:pPr>
        <w:pStyle w:val="aa"/>
      </w:pPr>
      <w:r w:rsidRPr="005254D3">
        <w:t xml:space="preserve">Supplementary </w:t>
      </w:r>
      <w:r>
        <w:t xml:space="preserve">Table </w:t>
      </w:r>
      <w:r w:rsidR="00CF2E9E">
        <w:t xml:space="preserve">2. Association Between Right Ventricular Outflow Tract Diameter Levels and </w:t>
      </w:r>
      <w:r w:rsidR="00CF2E9E">
        <w:rPr>
          <w:rFonts w:eastAsia="等线"/>
        </w:rPr>
        <w:t>Outcomes (ATP included)</w:t>
      </w:r>
      <w:r w:rsidR="00CF2E9E">
        <w:t xml:space="preserve">. 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8"/>
        <w:gridCol w:w="2485"/>
        <w:gridCol w:w="2133"/>
        <w:gridCol w:w="1067"/>
        <w:gridCol w:w="2133"/>
        <w:gridCol w:w="1067"/>
        <w:gridCol w:w="2133"/>
        <w:gridCol w:w="1064"/>
      </w:tblGrid>
      <w:tr w:rsidR="00805A82" w:rsidTr="00747460">
        <w:trPr>
          <w:jc w:val="center"/>
        </w:trPr>
        <w:tc>
          <w:tcPr>
            <w:tcW w:w="854" w:type="pct"/>
            <w:tcBorders>
              <w:top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G</w:t>
            </w:r>
            <w:r>
              <w:t>roup</w:t>
            </w:r>
          </w:p>
        </w:tc>
        <w:tc>
          <w:tcPr>
            <w:tcW w:w="853" w:type="pct"/>
            <w:tcBorders>
              <w:top w:val="single" w:sz="8" w:space="0" w:color="auto"/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Event rate</w:t>
            </w:r>
          </w:p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(per 100 person-year)</w:t>
            </w:r>
          </w:p>
        </w:tc>
        <w:tc>
          <w:tcPr>
            <w:tcW w:w="732" w:type="pct"/>
            <w:tcBorders>
              <w:top w:val="single" w:sz="8" w:space="0" w:color="auto"/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Unadjusted</w:t>
            </w:r>
          </w:p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HR (95% CI)</w:t>
            </w:r>
          </w:p>
        </w:tc>
        <w:tc>
          <w:tcPr>
            <w:tcW w:w="366" w:type="pct"/>
            <w:tcBorders>
              <w:top w:val="single" w:sz="8" w:space="0" w:color="auto"/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p</w:t>
            </w:r>
          </w:p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value</w:t>
            </w:r>
          </w:p>
        </w:tc>
        <w:tc>
          <w:tcPr>
            <w:tcW w:w="73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S</w:t>
            </w:r>
            <w:r>
              <w:t>PRM adjusted</w:t>
            </w:r>
            <w:r>
              <w:rPr>
                <w:vertAlign w:val="superscript"/>
              </w:rPr>
              <w:t>*</w:t>
            </w:r>
          </w:p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HR (95% CI)</w:t>
            </w:r>
          </w:p>
        </w:tc>
        <w:tc>
          <w:tcPr>
            <w:tcW w:w="36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p</w:t>
            </w:r>
          </w:p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value</w:t>
            </w:r>
          </w:p>
        </w:tc>
        <w:tc>
          <w:tcPr>
            <w:tcW w:w="73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MADIT-ICD adjusted</w:t>
            </w:r>
            <w:r>
              <w:rPr>
                <w:vertAlign w:val="superscript"/>
              </w:rPr>
              <w:t>†</w:t>
            </w:r>
          </w:p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HR (95% CI)</w:t>
            </w:r>
          </w:p>
        </w:tc>
        <w:tc>
          <w:tcPr>
            <w:tcW w:w="366" w:type="pct"/>
            <w:tcBorders>
              <w:top w:val="single" w:sz="8" w:space="0" w:color="auto"/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p</w:t>
            </w:r>
          </w:p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value</w:t>
            </w:r>
          </w:p>
        </w:tc>
      </w:tr>
      <w:tr w:rsidR="00805A82" w:rsidTr="00747460">
        <w:trPr>
          <w:jc w:val="center"/>
        </w:trPr>
        <w:tc>
          <w:tcPr>
            <w:tcW w:w="854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VT/VF events</w:t>
            </w:r>
          </w:p>
        </w:tc>
        <w:tc>
          <w:tcPr>
            <w:tcW w:w="853" w:type="pct"/>
            <w:tcBorders>
              <w:top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16.89 (15.21-18.72)</w:t>
            </w:r>
          </w:p>
        </w:tc>
        <w:tc>
          <w:tcPr>
            <w:tcW w:w="732" w:type="pct"/>
            <w:tcBorders>
              <w:top w:val="single" w:sz="8" w:space="0" w:color="auto"/>
            </w:tcBorders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66" w:type="pct"/>
            <w:tcBorders>
              <w:top w:val="single" w:sz="8" w:space="0" w:color="auto"/>
            </w:tcBorders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732" w:type="pct"/>
            <w:tcBorders>
              <w:top w:val="single" w:sz="8" w:space="0" w:color="auto"/>
            </w:tcBorders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66" w:type="pct"/>
            <w:tcBorders>
              <w:top w:val="single" w:sz="8" w:space="0" w:color="auto"/>
            </w:tcBorders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732" w:type="pct"/>
            <w:tcBorders>
              <w:top w:val="single" w:sz="8" w:space="0" w:color="auto"/>
            </w:tcBorders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66" w:type="pct"/>
            <w:tcBorders>
              <w:top w:val="single" w:sz="8" w:space="0" w:color="auto"/>
            </w:tcBorders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805A82" w:rsidTr="00747460">
        <w:trPr>
          <w:jc w:val="center"/>
        </w:trPr>
        <w:tc>
          <w:tcPr>
            <w:tcW w:w="854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Lower median</w:t>
            </w:r>
          </w:p>
        </w:tc>
        <w:tc>
          <w:tcPr>
            <w:tcW w:w="853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13.83 (11.79-16.12)</w:t>
            </w:r>
          </w:p>
        </w:tc>
        <w:tc>
          <w:tcPr>
            <w:tcW w:w="732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Reference</w:t>
            </w:r>
          </w:p>
        </w:tc>
        <w:tc>
          <w:tcPr>
            <w:tcW w:w="366" w:type="pct"/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732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Reference</w:t>
            </w:r>
          </w:p>
        </w:tc>
        <w:tc>
          <w:tcPr>
            <w:tcW w:w="366" w:type="pct"/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732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Reference</w:t>
            </w:r>
          </w:p>
        </w:tc>
        <w:tc>
          <w:tcPr>
            <w:tcW w:w="366" w:type="pct"/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805A82" w:rsidTr="00747460">
        <w:trPr>
          <w:jc w:val="center"/>
        </w:trPr>
        <w:tc>
          <w:tcPr>
            <w:tcW w:w="854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Higher median</w:t>
            </w:r>
          </w:p>
        </w:tc>
        <w:tc>
          <w:tcPr>
            <w:tcW w:w="853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 xml:space="preserve">20.60 </w:t>
            </w:r>
            <w:r>
              <w:t>(17.85-23.64)</w:t>
            </w:r>
          </w:p>
        </w:tc>
        <w:tc>
          <w:tcPr>
            <w:tcW w:w="732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1.37 (1.11-1.68)</w:t>
            </w:r>
          </w:p>
        </w:tc>
        <w:tc>
          <w:tcPr>
            <w:tcW w:w="366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0.003</w:t>
            </w:r>
          </w:p>
        </w:tc>
        <w:tc>
          <w:tcPr>
            <w:tcW w:w="732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1</w:t>
            </w:r>
            <w:r>
              <w:t>.33 (1.07-1.63)</w:t>
            </w:r>
          </w:p>
        </w:tc>
        <w:tc>
          <w:tcPr>
            <w:tcW w:w="366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.008</w:t>
            </w:r>
          </w:p>
        </w:tc>
        <w:tc>
          <w:tcPr>
            <w:tcW w:w="732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1</w:t>
            </w:r>
            <w:r>
              <w:t>.24 (1.00-1.53)</w:t>
            </w:r>
          </w:p>
        </w:tc>
        <w:tc>
          <w:tcPr>
            <w:tcW w:w="366" w:type="pct"/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.046</w:t>
            </w:r>
          </w:p>
        </w:tc>
      </w:tr>
      <w:tr w:rsidR="00805A82" w:rsidTr="00747460">
        <w:trPr>
          <w:trHeight w:val="50"/>
          <w:jc w:val="center"/>
        </w:trPr>
        <w:tc>
          <w:tcPr>
            <w:tcW w:w="854" w:type="pct"/>
            <w:tcBorders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per 1 SD increase</w:t>
            </w:r>
          </w:p>
        </w:tc>
        <w:tc>
          <w:tcPr>
            <w:tcW w:w="853" w:type="pct"/>
            <w:tcBorders>
              <w:bottom w:val="single" w:sz="8" w:space="0" w:color="auto"/>
            </w:tcBorders>
          </w:tcPr>
          <w:p w:rsidR="00805A82" w:rsidRDefault="00805A82" w:rsidP="00747460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732" w:type="pct"/>
            <w:tcBorders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1.19 (1.09-1.29)</w:t>
            </w:r>
          </w:p>
        </w:tc>
        <w:tc>
          <w:tcPr>
            <w:tcW w:w="366" w:type="pct"/>
            <w:tcBorders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t>&lt;0.001</w:t>
            </w:r>
          </w:p>
        </w:tc>
        <w:tc>
          <w:tcPr>
            <w:tcW w:w="732" w:type="pct"/>
            <w:tcBorders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1</w:t>
            </w:r>
            <w:r>
              <w:t>.14 (1.04-1.24)</w:t>
            </w:r>
          </w:p>
        </w:tc>
        <w:tc>
          <w:tcPr>
            <w:tcW w:w="366" w:type="pct"/>
            <w:tcBorders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.004</w:t>
            </w:r>
          </w:p>
        </w:tc>
        <w:tc>
          <w:tcPr>
            <w:tcW w:w="732" w:type="pct"/>
            <w:tcBorders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1</w:t>
            </w:r>
            <w:r>
              <w:t>.14 (1.04-1.24)</w:t>
            </w:r>
          </w:p>
        </w:tc>
        <w:tc>
          <w:tcPr>
            <w:tcW w:w="366" w:type="pct"/>
            <w:tcBorders>
              <w:bottom w:val="single" w:sz="8" w:space="0" w:color="auto"/>
            </w:tcBorders>
          </w:tcPr>
          <w:p w:rsidR="00805A82" w:rsidRDefault="00CF2E9E" w:rsidP="00747460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.005</w:t>
            </w:r>
          </w:p>
        </w:tc>
      </w:tr>
    </w:tbl>
    <w:p w:rsidR="00805A82" w:rsidRDefault="00CF2E9E" w:rsidP="00FA469B">
      <w:pPr>
        <w:pStyle w:val="ab"/>
      </w:pPr>
      <w:r>
        <w:t xml:space="preserve">*SPRM adjusted model initially included RVOTD and all the variables in Seattle Proportional Risk Model </w:t>
      </w:r>
      <w:r>
        <w:t>(</w:t>
      </w:r>
      <w:r w:rsidRPr="0056257E">
        <w:rPr>
          <w:u w:val="single"/>
        </w:rPr>
        <w:t>male sex, younger age, no diabetes, lower left ventricular ejection fraction, systolic blood pressure, lower creatinine level, serum sodium level, bette</w:t>
      </w:r>
      <w:r w:rsidRPr="0056257E">
        <w:rPr>
          <w:u w:val="single"/>
        </w:rPr>
        <w:t>r NYHA functional class, body mass index and digoxin use</w:t>
      </w:r>
      <w:r>
        <w:t>).</w:t>
      </w:r>
      <w:r>
        <w:t xml:space="preserve"> </w:t>
      </w:r>
    </w:p>
    <w:p w:rsidR="0056257E" w:rsidRDefault="00CF2E9E" w:rsidP="0056257E">
      <w:pPr>
        <w:pStyle w:val="ab"/>
      </w:pPr>
      <w:r>
        <w:t xml:space="preserve">†For VT/VF events, MADIT-ICD adjusted model initially included RVOTD </w:t>
      </w:r>
      <w:r>
        <w:rPr>
          <w:rFonts w:hint="eastAsia"/>
        </w:rPr>
        <w:t>and</w:t>
      </w:r>
      <w:r>
        <w:t xml:space="preserve"> all the variables in</w:t>
      </w:r>
      <w:r>
        <w:t xml:space="preserve"> </w:t>
      </w:r>
      <w:r>
        <w:t>MADIT-ICD VT/VF score (LVEF&lt;25%, atrial arrhythmia, heart rate &gt;75 bpm, SBP &lt;140 mmHg, myocardial infa</w:t>
      </w:r>
      <w:r>
        <w:t xml:space="preserve">rction, age&lt;75 years, male, and prior sustained VT/VF), which were then backward selected based on AIC rule; For non-arrhythmic mortality, MADIT-ICD adjusted model initially included RVOTD and all the variables in MADIT-ICD </w:t>
      </w:r>
      <w:r>
        <w:rPr>
          <w:rFonts w:hint="eastAsia"/>
        </w:rPr>
        <w:t>non</w:t>
      </w:r>
      <w:r>
        <w:t>-arrhythmic mortality score</w:t>
      </w:r>
      <w:r>
        <w:rPr>
          <w:b/>
          <w:bCs/>
          <w:color w:val="FF0000"/>
        </w:rPr>
        <w:t xml:space="preserve"> </w:t>
      </w:r>
      <w:r>
        <w:t>(</w:t>
      </w:r>
      <w:r>
        <w:t>NYHA</w:t>
      </w:r>
      <w:r>
        <w:rPr>
          <w:rFonts w:hint="eastAsia"/>
        </w:rPr>
        <w:t>≥</w:t>
      </w:r>
      <w:r>
        <w:t>II</w:t>
      </w:r>
      <w:r>
        <w:rPr>
          <w:rFonts w:hint="eastAsia"/>
        </w:rPr>
        <w:t>,</w:t>
      </w:r>
      <w:r>
        <w:t xml:space="preserve"> diabetes, BMI&lt;23kg</w:t>
      </w:r>
      <w:r>
        <w:rPr>
          <w:rFonts w:hint="eastAsia"/>
        </w:rPr>
        <w:t>/</w:t>
      </w:r>
      <w:r>
        <w:t>m</w:t>
      </w:r>
      <w:r>
        <w:rPr>
          <w:vertAlign w:val="superscript"/>
        </w:rPr>
        <w:t>2</w:t>
      </w:r>
      <w:r>
        <w:t>, atrial arrhythmia, LVEF</w:t>
      </w:r>
      <w:r>
        <w:rPr>
          <w:rFonts w:hint="eastAsia"/>
        </w:rPr>
        <w:t>≤2</w:t>
      </w:r>
      <w:r>
        <w:t>5%, age</w:t>
      </w:r>
      <w:r>
        <w:rPr>
          <w:rFonts w:hint="eastAsia"/>
        </w:rPr>
        <w:t>≥7</w:t>
      </w:r>
      <w:r>
        <w:t xml:space="preserve">5), which were then backward selected based on AIC rule. </w:t>
      </w:r>
      <w:bookmarkStart w:id="2" w:name="_Hlk90400337"/>
    </w:p>
    <w:p w:rsidR="0056257E" w:rsidRDefault="0056257E" w:rsidP="0056257E">
      <w:pPr>
        <w:pStyle w:val="ab"/>
      </w:pPr>
    </w:p>
    <w:p w:rsidR="0056257E" w:rsidRDefault="0056257E" w:rsidP="0056257E">
      <w:pPr>
        <w:pStyle w:val="ab"/>
      </w:pPr>
    </w:p>
    <w:p w:rsidR="00805A82" w:rsidRDefault="0056257E" w:rsidP="00B0511D">
      <w:pPr>
        <w:pStyle w:val="aa"/>
      </w:pPr>
      <w:r w:rsidRPr="005254D3">
        <w:lastRenderedPageBreak/>
        <w:t xml:space="preserve">Supplementary </w:t>
      </w:r>
      <w:r>
        <w:t xml:space="preserve">Table </w:t>
      </w:r>
      <w:r w:rsidR="00CF2E9E">
        <w:t>3. C</w:t>
      </w:r>
      <w:r w:rsidR="00CF2E9E">
        <w:rPr>
          <w:rFonts w:hint="eastAsia"/>
        </w:rPr>
        <w:t>om</w:t>
      </w:r>
      <w:r w:rsidR="00CF2E9E">
        <w:t xml:space="preserve">parison of Area under Receiver Operating Characteristic Curve </w:t>
      </w:r>
      <w:r w:rsidR="00CF2E9E">
        <w:rPr>
          <w:rFonts w:hint="eastAsia"/>
        </w:rPr>
        <w:t>a</w:t>
      </w:r>
      <w:r w:rsidR="00CF2E9E">
        <w:t>nd Net Reclassification Improvement (NRI) for VT/VF a</w:t>
      </w:r>
      <w:r w:rsidR="00CF2E9E">
        <w:t>nd Non-arrhythmic Mortality between MADIT-ICD and RVOTD-ICD risk scores.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1"/>
        <w:gridCol w:w="1842"/>
        <w:gridCol w:w="1061"/>
        <w:gridCol w:w="1923"/>
        <w:gridCol w:w="1186"/>
        <w:gridCol w:w="1923"/>
        <w:gridCol w:w="1034"/>
        <w:gridCol w:w="1923"/>
        <w:gridCol w:w="1107"/>
      </w:tblGrid>
      <w:tr w:rsidR="00805A82" w:rsidTr="008F30CB">
        <w:trPr>
          <w:jc w:val="center"/>
        </w:trPr>
        <w:tc>
          <w:tcPr>
            <w:tcW w:w="882" w:type="pct"/>
            <w:tcBorders>
              <w:top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F</w:t>
            </w:r>
            <w:r>
              <w:t>ull cohort</w:t>
            </w:r>
          </w:p>
        </w:tc>
        <w:tc>
          <w:tcPr>
            <w:tcW w:w="2063" w:type="pct"/>
            <w:gridSpan w:val="4"/>
            <w:tcBorders>
              <w:top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V</w:t>
            </w:r>
            <w:r>
              <w:t>T/VF score</w:t>
            </w:r>
          </w:p>
        </w:tc>
        <w:tc>
          <w:tcPr>
            <w:tcW w:w="2055" w:type="pct"/>
            <w:gridSpan w:val="4"/>
            <w:tcBorders>
              <w:top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N</w:t>
            </w:r>
            <w:r>
              <w:t>on-arrhythmic mortality score</w:t>
            </w: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32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AUC (95% CI)</w:t>
            </w:r>
          </w:p>
        </w:tc>
        <w:tc>
          <w:tcPr>
            <w:tcW w:w="364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P value</w:t>
            </w: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NRI (%, 95%CI)</w:t>
            </w:r>
          </w:p>
        </w:tc>
        <w:tc>
          <w:tcPr>
            <w:tcW w:w="406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P value</w:t>
            </w: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AUC (95% CI)</w:t>
            </w:r>
          </w:p>
        </w:tc>
        <w:tc>
          <w:tcPr>
            <w:tcW w:w="355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P value</w:t>
            </w: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NRI (%, 95%CI)</w:t>
            </w:r>
          </w:p>
        </w:tc>
        <w:tc>
          <w:tcPr>
            <w:tcW w:w="379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P value</w:t>
            </w: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1-year</w:t>
            </w:r>
          </w:p>
        </w:tc>
        <w:tc>
          <w:tcPr>
            <w:tcW w:w="632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64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406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55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79" w:type="pct"/>
            <w:tcBorders>
              <w:top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M</w:t>
            </w:r>
            <w:r>
              <w:t>ADIT-ICD</w:t>
            </w:r>
          </w:p>
        </w:tc>
        <w:tc>
          <w:tcPr>
            <w:tcW w:w="63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 xml:space="preserve">.57 </w:t>
            </w:r>
            <w:r>
              <w:t>(0.52-0.62)</w:t>
            </w:r>
          </w:p>
        </w:tc>
        <w:tc>
          <w:tcPr>
            <w:tcW w:w="364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.029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Ref.</w:t>
            </w:r>
          </w:p>
        </w:tc>
        <w:tc>
          <w:tcPr>
            <w:tcW w:w="406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.020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.69 (0.60-0.77)</w:t>
            </w:r>
          </w:p>
        </w:tc>
        <w:tc>
          <w:tcPr>
            <w:tcW w:w="355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.006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Ref.</w:t>
            </w:r>
          </w:p>
        </w:tc>
        <w:tc>
          <w:tcPr>
            <w:tcW w:w="379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RVOTD-ICD</w:t>
            </w:r>
          </w:p>
        </w:tc>
        <w:tc>
          <w:tcPr>
            <w:tcW w:w="63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.64 (0.59-0.70)</w:t>
            </w:r>
          </w:p>
        </w:tc>
        <w:tc>
          <w:tcPr>
            <w:tcW w:w="364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16.1 (1.3-28.0)</w:t>
            </w:r>
          </w:p>
        </w:tc>
        <w:tc>
          <w:tcPr>
            <w:tcW w:w="406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.81 (0.73-0.88)</w:t>
            </w:r>
          </w:p>
        </w:tc>
        <w:tc>
          <w:tcPr>
            <w:tcW w:w="355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4</w:t>
            </w:r>
            <w:r>
              <w:t>2.4 (17.2-55.7)</w:t>
            </w:r>
          </w:p>
        </w:tc>
        <w:tc>
          <w:tcPr>
            <w:tcW w:w="379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2-year</w:t>
            </w:r>
          </w:p>
        </w:tc>
        <w:tc>
          <w:tcPr>
            <w:tcW w:w="632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64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406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55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79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M</w:t>
            </w:r>
            <w:r>
              <w:t>ADIT-ICD</w:t>
            </w:r>
          </w:p>
        </w:tc>
        <w:tc>
          <w:tcPr>
            <w:tcW w:w="63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.56 (0.51-0.60)</w:t>
            </w:r>
          </w:p>
        </w:tc>
        <w:tc>
          <w:tcPr>
            <w:tcW w:w="364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.008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Ref.</w:t>
            </w:r>
          </w:p>
        </w:tc>
        <w:tc>
          <w:tcPr>
            <w:tcW w:w="406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.020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.66 (0.60-0.72)</w:t>
            </w:r>
          </w:p>
        </w:tc>
        <w:tc>
          <w:tcPr>
            <w:tcW w:w="355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.007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Ref.</w:t>
            </w:r>
          </w:p>
        </w:tc>
        <w:tc>
          <w:tcPr>
            <w:tcW w:w="379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RVOTD-ICD</w:t>
            </w:r>
          </w:p>
        </w:tc>
        <w:tc>
          <w:tcPr>
            <w:tcW w:w="63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.64 (0.59-0.68)</w:t>
            </w:r>
          </w:p>
        </w:tc>
        <w:tc>
          <w:tcPr>
            <w:tcW w:w="364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1</w:t>
            </w:r>
            <w:r>
              <w:t>6.3 (2.6-28.1)</w:t>
            </w:r>
          </w:p>
        </w:tc>
        <w:tc>
          <w:tcPr>
            <w:tcW w:w="406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.75 (0.69-0.81)</w:t>
            </w:r>
          </w:p>
        </w:tc>
        <w:tc>
          <w:tcPr>
            <w:tcW w:w="355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3</w:t>
            </w:r>
            <w:r>
              <w:t>1.7 (10.5-42.6)</w:t>
            </w:r>
          </w:p>
        </w:tc>
        <w:tc>
          <w:tcPr>
            <w:tcW w:w="379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3-year</w:t>
            </w:r>
          </w:p>
        </w:tc>
        <w:tc>
          <w:tcPr>
            <w:tcW w:w="632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64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406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55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379" w:type="pct"/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805A82" w:rsidTr="008F30CB">
        <w:trPr>
          <w:jc w:val="center"/>
        </w:trPr>
        <w:tc>
          <w:tcPr>
            <w:tcW w:w="88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M</w:t>
            </w:r>
            <w:r>
              <w:t>ADIT-ICD</w:t>
            </w:r>
          </w:p>
        </w:tc>
        <w:tc>
          <w:tcPr>
            <w:tcW w:w="632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.56 (0.51-0.61)</w:t>
            </w:r>
          </w:p>
        </w:tc>
        <w:tc>
          <w:tcPr>
            <w:tcW w:w="364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.103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Ref.</w:t>
            </w:r>
          </w:p>
        </w:tc>
        <w:tc>
          <w:tcPr>
            <w:tcW w:w="406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.020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.65 (0.59-0.71)</w:t>
            </w:r>
          </w:p>
        </w:tc>
        <w:tc>
          <w:tcPr>
            <w:tcW w:w="355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660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Ref.</w:t>
            </w:r>
          </w:p>
        </w:tc>
        <w:tc>
          <w:tcPr>
            <w:tcW w:w="379" w:type="pct"/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805A82" w:rsidTr="008F30CB">
        <w:trPr>
          <w:jc w:val="center"/>
        </w:trPr>
        <w:tc>
          <w:tcPr>
            <w:tcW w:w="882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t>RVOTD-ICD</w:t>
            </w:r>
          </w:p>
        </w:tc>
        <w:tc>
          <w:tcPr>
            <w:tcW w:w="632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.62 (0.57-0.66)</w:t>
            </w:r>
          </w:p>
        </w:tc>
        <w:tc>
          <w:tcPr>
            <w:tcW w:w="364" w:type="pct"/>
            <w:tcBorders>
              <w:bottom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1</w:t>
            </w:r>
            <w:r>
              <w:t>2.1 (1.7-23.4)</w:t>
            </w:r>
          </w:p>
        </w:tc>
        <w:tc>
          <w:tcPr>
            <w:tcW w:w="406" w:type="pct"/>
            <w:tcBorders>
              <w:bottom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0</w:t>
            </w:r>
            <w:r>
              <w:t>.78 (0.73-0.83)</w:t>
            </w:r>
          </w:p>
        </w:tc>
        <w:tc>
          <w:tcPr>
            <w:tcW w:w="355" w:type="pct"/>
            <w:tcBorders>
              <w:bottom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  <w:tc>
          <w:tcPr>
            <w:tcW w:w="660" w:type="pct"/>
            <w:tcBorders>
              <w:bottom w:val="single" w:sz="8" w:space="0" w:color="auto"/>
            </w:tcBorders>
          </w:tcPr>
          <w:p w:rsidR="00805A82" w:rsidRDefault="00CF2E9E" w:rsidP="008345DE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3</w:t>
            </w:r>
            <w:r>
              <w:t>9.5 (22.2-50.3)</w:t>
            </w:r>
          </w:p>
        </w:tc>
        <w:tc>
          <w:tcPr>
            <w:tcW w:w="379" w:type="pct"/>
            <w:tcBorders>
              <w:bottom w:val="single" w:sz="8" w:space="0" w:color="auto"/>
            </w:tcBorders>
          </w:tcPr>
          <w:p w:rsidR="00805A82" w:rsidRDefault="00805A82" w:rsidP="008345DE">
            <w:pPr>
              <w:adjustRightInd w:val="0"/>
              <w:snapToGrid w:val="0"/>
              <w:ind w:firstLineChars="0" w:firstLine="0"/>
              <w:jc w:val="left"/>
            </w:pPr>
          </w:p>
        </w:tc>
      </w:tr>
      <w:bookmarkEnd w:id="0"/>
      <w:bookmarkEnd w:id="2"/>
    </w:tbl>
    <w:p w:rsidR="00805A82" w:rsidRDefault="00805A82" w:rsidP="00D70D46">
      <w:pPr>
        <w:pStyle w:val="ab"/>
        <w:rPr>
          <w:rFonts w:eastAsiaTheme="minorEastAsia"/>
        </w:rPr>
      </w:pPr>
    </w:p>
    <w:p w:rsidR="00D70D46" w:rsidRDefault="00D70D46" w:rsidP="00D70D46">
      <w:pPr>
        <w:pStyle w:val="ab"/>
        <w:rPr>
          <w:rFonts w:eastAsiaTheme="minorEastAsia"/>
        </w:rPr>
      </w:pPr>
    </w:p>
    <w:p w:rsidR="00805A82" w:rsidRDefault="00D70D46" w:rsidP="00D70D46">
      <w:pPr>
        <w:pStyle w:val="aa"/>
      </w:pPr>
      <w:r w:rsidRPr="005254D3">
        <w:t xml:space="preserve">Supplementary </w:t>
      </w:r>
      <w:r>
        <w:t xml:space="preserve">Table </w:t>
      </w:r>
      <w:r w:rsidR="00CF2E9E">
        <w:t xml:space="preserve">4. Observed VT/VF and non-arrhythmic mortality risk in primary and secondary prevention groups. 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8"/>
        <w:gridCol w:w="1620"/>
        <w:gridCol w:w="2159"/>
        <w:gridCol w:w="1620"/>
        <w:gridCol w:w="2159"/>
        <w:gridCol w:w="1690"/>
        <w:gridCol w:w="2084"/>
      </w:tblGrid>
      <w:tr w:rsidR="00805A82" w:rsidTr="00D70D46">
        <w:trPr>
          <w:jc w:val="center"/>
        </w:trPr>
        <w:tc>
          <w:tcPr>
            <w:tcW w:w="1111" w:type="pct"/>
            <w:vMerge w:val="restar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  <w:jc w:val="left"/>
            </w:pPr>
          </w:p>
          <w:p w:rsidR="00805A82" w:rsidRDefault="00CF2E9E" w:rsidP="00D70D46">
            <w:pPr>
              <w:adjustRightInd w:val="0"/>
              <w:snapToGrid w:val="0"/>
              <w:ind w:firstLineChars="0" w:firstLine="0"/>
              <w:jc w:val="left"/>
            </w:pPr>
            <w:r>
              <w:rPr>
                <w:rFonts w:hint="eastAsia"/>
              </w:rPr>
              <w:t>R</w:t>
            </w:r>
            <w:r>
              <w:t>VOTD-benefit group</w:t>
            </w:r>
          </w:p>
        </w:tc>
        <w:tc>
          <w:tcPr>
            <w:tcW w:w="556" w:type="pct"/>
            <w:tcBorders>
              <w:top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At 1 year</w:t>
            </w:r>
          </w:p>
        </w:tc>
        <w:tc>
          <w:tcPr>
            <w:tcW w:w="741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556" w:type="pct"/>
            <w:tcBorders>
              <w:top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 xml:space="preserve">At </w:t>
            </w:r>
            <w:r>
              <w:rPr>
                <w:rFonts w:hint="eastAsia"/>
              </w:rPr>
              <w:t>2</w:t>
            </w:r>
            <w:r>
              <w:t xml:space="preserve"> years</w:t>
            </w:r>
          </w:p>
        </w:tc>
        <w:tc>
          <w:tcPr>
            <w:tcW w:w="741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580" w:type="pct"/>
            <w:tcBorders>
              <w:top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At 3 years</w:t>
            </w:r>
          </w:p>
        </w:tc>
        <w:tc>
          <w:tcPr>
            <w:tcW w:w="715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</w:tr>
      <w:tr w:rsidR="00805A82" w:rsidTr="00D70D46">
        <w:trPr>
          <w:jc w:val="center"/>
        </w:trPr>
        <w:tc>
          <w:tcPr>
            <w:tcW w:w="1111" w:type="pct"/>
            <w:vMerge/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556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VT/VF</w:t>
            </w:r>
          </w:p>
        </w:tc>
        <w:tc>
          <w:tcPr>
            <w:tcW w:w="741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Non-arrhythmic</w:t>
            </w:r>
          </w:p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Mortality</w:t>
            </w:r>
          </w:p>
        </w:tc>
        <w:tc>
          <w:tcPr>
            <w:tcW w:w="556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VT/VF</w:t>
            </w:r>
          </w:p>
        </w:tc>
        <w:tc>
          <w:tcPr>
            <w:tcW w:w="741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Non-arrhythmic</w:t>
            </w:r>
          </w:p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m</w:t>
            </w:r>
            <w:r>
              <w:t>ortality</w:t>
            </w:r>
          </w:p>
        </w:tc>
        <w:tc>
          <w:tcPr>
            <w:tcW w:w="580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VT/VF</w:t>
            </w:r>
          </w:p>
        </w:tc>
        <w:tc>
          <w:tcPr>
            <w:tcW w:w="715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Non-arrhythmic</w:t>
            </w:r>
          </w:p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m</w:t>
            </w:r>
            <w:r>
              <w:t>ortality</w:t>
            </w:r>
          </w:p>
        </w:tc>
      </w:tr>
      <w:tr w:rsidR="00805A82" w:rsidTr="00D70D46">
        <w:trPr>
          <w:jc w:val="center"/>
        </w:trPr>
        <w:tc>
          <w:tcPr>
            <w:tcW w:w="1111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Primary prevention</w:t>
            </w:r>
          </w:p>
        </w:tc>
        <w:tc>
          <w:tcPr>
            <w:tcW w:w="556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741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556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741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580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715" w:type="pct"/>
            <w:tcBorders>
              <w:top w:val="single" w:sz="8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</w:tr>
      <w:tr w:rsidR="00805A82" w:rsidTr="00D70D46">
        <w:trPr>
          <w:jc w:val="center"/>
        </w:trPr>
        <w:tc>
          <w:tcPr>
            <w:tcW w:w="1111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observed rate (%)</w:t>
            </w:r>
          </w:p>
        </w:tc>
        <w:tc>
          <w:tcPr>
            <w:tcW w:w="556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0.9</w:t>
            </w:r>
          </w:p>
        </w:tc>
        <w:tc>
          <w:tcPr>
            <w:tcW w:w="741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5</w:t>
            </w:r>
            <w:r>
              <w:t>.3</w:t>
            </w:r>
          </w:p>
        </w:tc>
        <w:tc>
          <w:tcPr>
            <w:tcW w:w="556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8.3</w:t>
            </w:r>
          </w:p>
        </w:tc>
        <w:tc>
          <w:tcPr>
            <w:tcW w:w="741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1.2</w:t>
            </w:r>
          </w:p>
        </w:tc>
        <w:tc>
          <w:tcPr>
            <w:tcW w:w="580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2</w:t>
            </w:r>
            <w:r>
              <w:t>5.9</w:t>
            </w:r>
          </w:p>
        </w:tc>
        <w:tc>
          <w:tcPr>
            <w:tcW w:w="715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6.9</w:t>
            </w:r>
          </w:p>
        </w:tc>
      </w:tr>
      <w:tr w:rsidR="00805A82" w:rsidTr="00D70D46">
        <w:trPr>
          <w:jc w:val="center"/>
        </w:trPr>
        <w:tc>
          <w:tcPr>
            <w:tcW w:w="1111" w:type="pct"/>
            <w:tcBorders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9</w:t>
            </w:r>
            <w:r>
              <w:t>5% CI</w:t>
            </w:r>
          </w:p>
        </w:tc>
        <w:tc>
          <w:tcPr>
            <w:tcW w:w="556" w:type="pct"/>
            <w:tcBorders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7</w:t>
            </w:r>
            <w:r>
              <w:t>.7-14.8</w:t>
            </w:r>
          </w:p>
        </w:tc>
        <w:tc>
          <w:tcPr>
            <w:tcW w:w="741" w:type="pct"/>
            <w:tcBorders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2</w:t>
            </w:r>
            <w:r>
              <w:t>.7-7.8</w:t>
            </w:r>
          </w:p>
        </w:tc>
        <w:tc>
          <w:tcPr>
            <w:tcW w:w="556" w:type="pct"/>
            <w:tcBorders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3.8-23.3</w:t>
            </w:r>
          </w:p>
        </w:tc>
        <w:tc>
          <w:tcPr>
            <w:tcW w:w="741" w:type="pct"/>
            <w:tcBorders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7</w:t>
            </w:r>
            <w:r>
              <w:t>.4-14.9</w:t>
            </w:r>
          </w:p>
        </w:tc>
        <w:tc>
          <w:tcPr>
            <w:tcW w:w="580" w:type="pct"/>
            <w:tcBorders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2</w:t>
            </w:r>
            <w:r>
              <w:t>0.1-30.0</w:t>
            </w:r>
          </w:p>
        </w:tc>
        <w:tc>
          <w:tcPr>
            <w:tcW w:w="715" w:type="pct"/>
            <w:tcBorders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2.0-21.6</w:t>
            </w:r>
          </w:p>
        </w:tc>
      </w:tr>
      <w:tr w:rsidR="00805A82" w:rsidTr="00D70D46">
        <w:trPr>
          <w:jc w:val="center"/>
        </w:trPr>
        <w:tc>
          <w:tcPr>
            <w:tcW w:w="1111" w:type="pct"/>
            <w:tcBorders>
              <w:top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S</w:t>
            </w:r>
            <w:r>
              <w:t>econdary prevention</w:t>
            </w:r>
          </w:p>
        </w:tc>
        <w:tc>
          <w:tcPr>
            <w:tcW w:w="556" w:type="pct"/>
            <w:tcBorders>
              <w:top w:val="single" w:sz="4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741" w:type="pct"/>
            <w:tcBorders>
              <w:top w:val="single" w:sz="4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556" w:type="pct"/>
            <w:tcBorders>
              <w:top w:val="single" w:sz="4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741" w:type="pct"/>
            <w:tcBorders>
              <w:top w:val="single" w:sz="4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580" w:type="pct"/>
            <w:tcBorders>
              <w:top w:val="single" w:sz="4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  <w:tc>
          <w:tcPr>
            <w:tcW w:w="715" w:type="pct"/>
            <w:tcBorders>
              <w:top w:val="single" w:sz="4" w:space="0" w:color="auto"/>
            </w:tcBorders>
          </w:tcPr>
          <w:p w:rsidR="00805A82" w:rsidRDefault="00805A82" w:rsidP="00D70D46">
            <w:pPr>
              <w:adjustRightInd w:val="0"/>
              <w:snapToGrid w:val="0"/>
              <w:ind w:firstLineChars="0" w:firstLine="0"/>
            </w:pPr>
          </w:p>
        </w:tc>
      </w:tr>
      <w:tr w:rsidR="00805A82" w:rsidTr="00D70D46">
        <w:trPr>
          <w:jc w:val="center"/>
        </w:trPr>
        <w:tc>
          <w:tcPr>
            <w:tcW w:w="1111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t>observed rate (%)</w:t>
            </w:r>
          </w:p>
        </w:tc>
        <w:tc>
          <w:tcPr>
            <w:tcW w:w="556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6.3</w:t>
            </w:r>
          </w:p>
        </w:tc>
        <w:tc>
          <w:tcPr>
            <w:tcW w:w="741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3</w:t>
            </w:r>
            <w:r>
              <w:t>.0</w:t>
            </w:r>
          </w:p>
        </w:tc>
        <w:tc>
          <w:tcPr>
            <w:tcW w:w="556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2</w:t>
            </w:r>
            <w:r>
              <w:t>5.3</w:t>
            </w:r>
          </w:p>
        </w:tc>
        <w:tc>
          <w:tcPr>
            <w:tcW w:w="741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7</w:t>
            </w:r>
            <w:r>
              <w:t>.4</w:t>
            </w:r>
          </w:p>
        </w:tc>
        <w:tc>
          <w:tcPr>
            <w:tcW w:w="580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3</w:t>
            </w:r>
            <w:r>
              <w:t>1.8</w:t>
            </w:r>
          </w:p>
        </w:tc>
        <w:tc>
          <w:tcPr>
            <w:tcW w:w="715" w:type="pct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0.1</w:t>
            </w:r>
          </w:p>
        </w:tc>
      </w:tr>
      <w:tr w:rsidR="00805A82" w:rsidTr="00D70D46">
        <w:trPr>
          <w:jc w:val="center"/>
        </w:trPr>
        <w:tc>
          <w:tcPr>
            <w:tcW w:w="1111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9</w:t>
            </w:r>
            <w:r>
              <w:t>5% CI</w:t>
            </w:r>
          </w:p>
        </w:tc>
        <w:tc>
          <w:tcPr>
            <w:tcW w:w="556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3.4-19.4</w:t>
            </w:r>
          </w:p>
        </w:tc>
        <w:tc>
          <w:tcPr>
            <w:tcW w:w="741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1</w:t>
            </w:r>
            <w:r>
              <w:t>.6-4.4</w:t>
            </w:r>
          </w:p>
        </w:tc>
        <w:tc>
          <w:tcPr>
            <w:tcW w:w="556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2</w:t>
            </w:r>
            <w:r>
              <w:t>1.7-29.0</w:t>
            </w:r>
          </w:p>
        </w:tc>
        <w:tc>
          <w:tcPr>
            <w:tcW w:w="741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5</w:t>
            </w:r>
            <w:r>
              <w:t>.2-9.6</w:t>
            </w:r>
          </w:p>
        </w:tc>
        <w:tc>
          <w:tcPr>
            <w:tcW w:w="580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2</w:t>
            </w:r>
            <w:r>
              <w:t>7.7-36.0</w:t>
            </w:r>
          </w:p>
        </w:tc>
        <w:tc>
          <w:tcPr>
            <w:tcW w:w="715" w:type="pct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</w:pPr>
            <w:r>
              <w:rPr>
                <w:rFonts w:hint="eastAsia"/>
              </w:rPr>
              <w:t>7</w:t>
            </w:r>
            <w:r>
              <w:t>.4-12.8</w:t>
            </w:r>
          </w:p>
        </w:tc>
      </w:tr>
    </w:tbl>
    <w:p w:rsidR="00805A82" w:rsidRDefault="00805A82" w:rsidP="00D70D46">
      <w:pPr>
        <w:pStyle w:val="ab"/>
        <w:rPr>
          <w:rFonts w:eastAsia="等线"/>
        </w:rPr>
      </w:pPr>
    </w:p>
    <w:p w:rsidR="00D70D46" w:rsidRDefault="00D70D46" w:rsidP="00D70D46">
      <w:pPr>
        <w:pStyle w:val="ab"/>
        <w:rPr>
          <w:rFonts w:eastAsia="等线"/>
        </w:rPr>
      </w:pPr>
    </w:p>
    <w:p w:rsidR="00312074" w:rsidRDefault="00312074" w:rsidP="00D70D46">
      <w:pPr>
        <w:pStyle w:val="aa"/>
      </w:pPr>
      <w:r>
        <w:br w:type="page"/>
      </w:r>
    </w:p>
    <w:p w:rsidR="00805A82" w:rsidRDefault="00D70D46" w:rsidP="00AC2865">
      <w:pPr>
        <w:pStyle w:val="aa"/>
      </w:pPr>
      <w:r w:rsidRPr="005254D3">
        <w:lastRenderedPageBreak/>
        <w:t xml:space="preserve">Supplementary </w:t>
      </w:r>
      <w:r>
        <w:t xml:space="preserve">Table </w:t>
      </w:r>
      <w:r w:rsidR="00CF2E9E">
        <w:t>5. Net benefit of using MADIT-ICD and RVOTD-ICD benefit score for identifying all-cause mortality conditional on different decision thresholds.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800"/>
        <w:gridCol w:w="1640"/>
        <w:gridCol w:w="1641"/>
      </w:tblGrid>
      <w:tr w:rsidR="00805A82">
        <w:trPr>
          <w:jc w:val="center"/>
        </w:trPr>
        <w:tc>
          <w:tcPr>
            <w:tcW w:w="1702" w:type="dxa"/>
            <w:vMerge w:val="restart"/>
            <w:tcBorders>
              <w:top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t>D</w:t>
            </w:r>
            <w:r>
              <w:t>ecision threshold (%)</w:t>
            </w:r>
          </w:p>
        </w:tc>
        <w:tc>
          <w:tcPr>
            <w:tcW w:w="5081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t>Net benefit vs all negative</w:t>
            </w:r>
          </w:p>
        </w:tc>
      </w:tr>
      <w:tr w:rsidR="00805A82">
        <w:trPr>
          <w:jc w:val="center"/>
        </w:trPr>
        <w:tc>
          <w:tcPr>
            <w:tcW w:w="1702" w:type="dxa"/>
            <w:vMerge/>
          </w:tcPr>
          <w:p w:rsidR="00805A82" w:rsidRDefault="00805A82" w:rsidP="00D70D46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A</w:t>
            </w:r>
            <w:r>
              <w:t>ll positive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M</w:t>
            </w:r>
            <w:r>
              <w:t>ADIT-ICD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VOTD-ICD</w:t>
            </w:r>
          </w:p>
        </w:tc>
      </w:tr>
      <w:tr w:rsidR="00805A82">
        <w:trPr>
          <w:jc w:val="center"/>
        </w:trPr>
        <w:tc>
          <w:tcPr>
            <w:tcW w:w="1702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00" w:type="dxa"/>
            <w:tcBorders>
              <w:top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.073</w:t>
            </w:r>
          </w:p>
        </w:tc>
        <w:tc>
          <w:tcPr>
            <w:tcW w:w="1640" w:type="dxa"/>
            <w:tcBorders>
              <w:top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.072</w:t>
            </w:r>
          </w:p>
        </w:tc>
        <w:tc>
          <w:tcPr>
            <w:tcW w:w="1641" w:type="dxa"/>
            <w:tcBorders>
              <w:top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.103</w:t>
            </w:r>
          </w:p>
        </w:tc>
      </w:tr>
      <w:tr w:rsidR="00805A82">
        <w:trPr>
          <w:jc w:val="center"/>
        </w:trPr>
        <w:tc>
          <w:tcPr>
            <w:tcW w:w="1702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800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.025</w:t>
            </w:r>
          </w:p>
        </w:tc>
        <w:tc>
          <w:tcPr>
            <w:tcW w:w="1640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.059</w:t>
            </w:r>
          </w:p>
        </w:tc>
        <w:tc>
          <w:tcPr>
            <w:tcW w:w="1641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.071</w:t>
            </w:r>
          </w:p>
        </w:tc>
      </w:tr>
      <w:tr w:rsidR="00805A82">
        <w:trPr>
          <w:jc w:val="center"/>
        </w:trPr>
        <w:tc>
          <w:tcPr>
            <w:tcW w:w="1702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800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0.042</w:t>
            </w:r>
          </w:p>
        </w:tc>
        <w:tc>
          <w:tcPr>
            <w:tcW w:w="1640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1641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.045</w:t>
            </w:r>
          </w:p>
        </w:tc>
      </w:tr>
      <w:tr w:rsidR="00805A82">
        <w:trPr>
          <w:jc w:val="center"/>
        </w:trPr>
        <w:tc>
          <w:tcPr>
            <w:tcW w:w="1702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5</w:t>
            </w:r>
          </w:p>
        </w:tc>
        <w:tc>
          <w:tcPr>
            <w:tcW w:w="1800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0.132</w:t>
            </w:r>
          </w:p>
        </w:tc>
        <w:tc>
          <w:tcPr>
            <w:tcW w:w="1640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.004</w:t>
            </w:r>
          </w:p>
        </w:tc>
        <w:tc>
          <w:tcPr>
            <w:tcW w:w="1641" w:type="dxa"/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.019</w:t>
            </w:r>
          </w:p>
        </w:tc>
      </w:tr>
      <w:tr w:rsidR="00805A82">
        <w:trPr>
          <w:jc w:val="center"/>
        </w:trPr>
        <w:tc>
          <w:tcPr>
            <w:tcW w:w="1702" w:type="dxa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1800" w:type="dxa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0.217</w:t>
            </w:r>
          </w:p>
        </w:tc>
        <w:tc>
          <w:tcPr>
            <w:tcW w:w="1640" w:type="dxa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1641" w:type="dxa"/>
            <w:tcBorders>
              <w:bottom w:val="single" w:sz="8" w:space="0" w:color="auto"/>
            </w:tcBorders>
          </w:tcPr>
          <w:p w:rsidR="00805A82" w:rsidRDefault="00CF2E9E" w:rsidP="00D70D46">
            <w:pPr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.004</w:t>
            </w:r>
          </w:p>
        </w:tc>
      </w:tr>
    </w:tbl>
    <w:p w:rsidR="00805A82" w:rsidRDefault="00805A82" w:rsidP="00D70D46">
      <w:pPr>
        <w:pStyle w:val="ab"/>
        <w:rPr>
          <w:rFonts w:eastAsiaTheme="minorEastAsia"/>
        </w:rPr>
      </w:pPr>
    </w:p>
    <w:p w:rsidR="00D70D46" w:rsidRDefault="00D70D46" w:rsidP="00D70D46">
      <w:pPr>
        <w:pStyle w:val="ab"/>
        <w:rPr>
          <w:rFonts w:eastAsiaTheme="minorEastAsia"/>
        </w:rPr>
      </w:pPr>
    </w:p>
    <w:p w:rsidR="00805A82" w:rsidRDefault="00CF2E9E" w:rsidP="00D70D46">
      <w:pPr>
        <w:pStyle w:val="References"/>
      </w:pPr>
      <w:r>
        <w:rPr>
          <w:rFonts w:hint="eastAsia"/>
        </w:rPr>
        <w:t>R</w:t>
      </w:r>
      <w:r>
        <w:t>eference</w:t>
      </w:r>
    </w:p>
    <w:p w:rsidR="00805A82" w:rsidRDefault="00CF2E9E" w:rsidP="00D70D46">
      <w:pPr>
        <w:pStyle w:val="ac"/>
        <w:ind w:left="400" w:hanging="400"/>
      </w:pPr>
      <w:r>
        <w:rPr>
          <w:rFonts w:cs="Times New Roman"/>
          <w:sz w:val="20"/>
        </w:rPr>
        <w:fldChar w:fldCharType="begin"/>
      </w:r>
      <w:r>
        <w:instrText xml:space="preserve"> ADDIN EN.REFLIST </w:instrText>
      </w:r>
      <w:r>
        <w:rPr>
          <w:rFonts w:cs="Times New Roman"/>
          <w:sz w:val="20"/>
        </w:rPr>
        <w:fldChar w:fldCharType="separate"/>
      </w:r>
      <w:r>
        <w:t>1.</w:t>
      </w:r>
      <w:r>
        <w:tab/>
        <w:t xml:space="preserve">Addetia K, Miyoshi T, Citro R, et al. Two-Dimensional Echocardiographic Right Ventricular Size and </w:t>
      </w:r>
      <w:r>
        <w:t>Systolic Function Measurements Stratified by Sex, Age, and Ethnicity: Results of the World Alliance of Societies of Echocardiography Study. Journal of the American Society of Echocardiography : official publication of the American Society of Echocardiograp</w:t>
      </w:r>
      <w:r>
        <w:t>hy. 2021; 34: 1148-1157.e1141.</w:t>
      </w:r>
    </w:p>
    <w:p w:rsidR="00805A82" w:rsidRDefault="00CF2E9E" w:rsidP="001D4C07">
      <w:pPr>
        <w:adjustRightInd w:val="0"/>
        <w:snapToGrid w:val="0"/>
        <w:ind w:firstLine="420"/>
      </w:pPr>
      <w:r>
        <w:fldChar w:fldCharType="end"/>
      </w:r>
    </w:p>
    <w:sectPr w:rsidR="00805A82" w:rsidSect="00E95216">
      <w:pgSz w:w="16838" w:h="11906" w:orient="landscape" w:code="9"/>
      <w:pgMar w:top="851" w:right="1134" w:bottom="851" w:left="1134" w:header="283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2E9E" w:rsidRDefault="00CF2E9E" w:rsidP="00AE091D">
      <w:pPr>
        <w:ind w:firstLine="420"/>
      </w:pPr>
      <w:r>
        <w:separator/>
      </w:r>
    </w:p>
  </w:endnote>
  <w:endnote w:type="continuationSeparator" w:id="0">
    <w:p w:rsidR="00CF2E9E" w:rsidRDefault="00CF2E9E" w:rsidP="00AE091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586E" w:rsidRDefault="0006586E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7336765"/>
      <w:docPartObj>
        <w:docPartGallery w:val="Page Numbers (Bottom of Page)"/>
        <w:docPartUnique/>
      </w:docPartObj>
    </w:sdtPr>
    <w:sdtContent>
      <w:p w:rsidR="0006586E" w:rsidRDefault="0006586E">
        <w:pPr>
          <w:pStyle w:val="a3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5216" w:rsidRPr="00E95216">
          <w:rPr>
            <w:noProof/>
            <w:lang w:val="zh-CN"/>
          </w:rPr>
          <w:t>4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586E" w:rsidRDefault="0006586E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2E9E" w:rsidRDefault="00CF2E9E" w:rsidP="00AE091D">
      <w:pPr>
        <w:ind w:firstLine="420"/>
      </w:pPr>
      <w:r>
        <w:separator/>
      </w:r>
    </w:p>
  </w:footnote>
  <w:footnote w:type="continuationSeparator" w:id="0">
    <w:p w:rsidR="00CF2E9E" w:rsidRDefault="00CF2E9E" w:rsidP="00AE091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586E" w:rsidRDefault="0006586E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91D" w:rsidRDefault="00AE091D" w:rsidP="00AE091D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586E" w:rsidRDefault="0006586E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7178962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MwNTA1NDQ3MzAxtDRQ0lEKTi0uzszPAykwMqoFAMz2jhotAAAA"/>
    <w:docVar w:name="commondata" w:val="eyJoZGlkIjoiNjZlMDg5N2JhOGJkZjEzMDcyODMxNmU4OGY1YmI5OG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PAIM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wdepzvo05zrret9pavf55cd2tewwsw0t2d&quot;&gt;LTVA ICD&lt;record-ids&gt;&lt;item&gt;257&lt;/item&gt;&lt;/record-ids&gt;&lt;/item&gt;&lt;/Libraries&gt;"/>
  </w:docVars>
  <w:rsids>
    <w:rsidRoot w:val="00D22C08"/>
    <w:rsid w:val="00002D4B"/>
    <w:rsid w:val="0004491A"/>
    <w:rsid w:val="0006586E"/>
    <w:rsid w:val="00080BC4"/>
    <w:rsid w:val="000829B1"/>
    <w:rsid w:val="000B1505"/>
    <w:rsid w:val="000D1BAD"/>
    <w:rsid w:val="001236CC"/>
    <w:rsid w:val="001522E2"/>
    <w:rsid w:val="001B0CC4"/>
    <w:rsid w:val="001B4761"/>
    <w:rsid w:val="001D4C07"/>
    <w:rsid w:val="001F52F1"/>
    <w:rsid w:val="00216151"/>
    <w:rsid w:val="0024619B"/>
    <w:rsid w:val="00257C97"/>
    <w:rsid w:val="0026558A"/>
    <w:rsid w:val="002705E2"/>
    <w:rsid w:val="002903A9"/>
    <w:rsid w:val="00290B68"/>
    <w:rsid w:val="003019E0"/>
    <w:rsid w:val="00301E1D"/>
    <w:rsid w:val="00312074"/>
    <w:rsid w:val="00314FA0"/>
    <w:rsid w:val="00316D72"/>
    <w:rsid w:val="003339C2"/>
    <w:rsid w:val="003808D6"/>
    <w:rsid w:val="003B3820"/>
    <w:rsid w:val="003D429A"/>
    <w:rsid w:val="003F0BBF"/>
    <w:rsid w:val="00427BD1"/>
    <w:rsid w:val="00455805"/>
    <w:rsid w:val="004717EA"/>
    <w:rsid w:val="004A52ED"/>
    <w:rsid w:val="004B0876"/>
    <w:rsid w:val="004C71CA"/>
    <w:rsid w:val="004D7CBF"/>
    <w:rsid w:val="005254D3"/>
    <w:rsid w:val="0052775D"/>
    <w:rsid w:val="0056257E"/>
    <w:rsid w:val="005821B4"/>
    <w:rsid w:val="00592DBA"/>
    <w:rsid w:val="00596D48"/>
    <w:rsid w:val="005B006E"/>
    <w:rsid w:val="005D7CF5"/>
    <w:rsid w:val="005F0435"/>
    <w:rsid w:val="006161DA"/>
    <w:rsid w:val="00650DC4"/>
    <w:rsid w:val="006959AC"/>
    <w:rsid w:val="006D7678"/>
    <w:rsid w:val="006E220B"/>
    <w:rsid w:val="006F6EB7"/>
    <w:rsid w:val="007247E3"/>
    <w:rsid w:val="0074264D"/>
    <w:rsid w:val="00747460"/>
    <w:rsid w:val="007743A3"/>
    <w:rsid w:val="00796349"/>
    <w:rsid w:val="007C1F69"/>
    <w:rsid w:val="00805A82"/>
    <w:rsid w:val="008345DE"/>
    <w:rsid w:val="00896180"/>
    <w:rsid w:val="008A1176"/>
    <w:rsid w:val="008C1C0C"/>
    <w:rsid w:val="008F30CB"/>
    <w:rsid w:val="00905B9D"/>
    <w:rsid w:val="0094159C"/>
    <w:rsid w:val="009A5288"/>
    <w:rsid w:val="009C31E6"/>
    <w:rsid w:val="00A10E1B"/>
    <w:rsid w:val="00A2513C"/>
    <w:rsid w:val="00A254CE"/>
    <w:rsid w:val="00A27F1B"/>
    <w:rsid w:val="00A304CF"/>
    <w:rsid w:val="00A47510"/>
    <w:rsid w:val="00A50844"/>
    <w:rsid w:val="00A748BC"/>
    <w:rsid w:val="00AA7FE2"/>
    <w:rsid w:val="00AC02C1"/>
    <w:rsid w:val="00AC2865"/>
    <w:rsid w:val="00AE091D"/>
    <w:rsid w:val="00B0511D"/>
    <w:rsid w:val="00B20C24"/>
    <w:rsid w:val="00B25D62"/>
    <w:rsid w:val="00B55036"/>
    <w:rsid w:val="00B7026B"/>
    <w:rsid w:val="00B97408"/>
    <w:rsid w:val="00BE203D"/>
    <w:rsid w:val="00BE3E1D"/>
    <w:rsid w:val="00C6030B"/>
    <w:rsid w:val="00C91D50"/>
    <w:rsid w:val="00C966E1"/>
    <w:rsid w:val="00CB123C"/>
    <w:rsid w:val="00CB2D93"/>
    <w:rsid w:val="00CB2F65"/>
    <w:rsid w:val="00CD104C"/>
    <w:rsid w:val="00CE1747"/>
    <w:rsid w:val="00CF2E9E"/>
    <w:rsid w:val="00D22C08"/>
    <w:rsid w:val="00D22D14"/>
    <w:rsid w:val="00D24B45"/>
    <w:rsid w:val="00D537C0"/>
    <w:rsid w:val="00D70D46"/>
    <w:rsid w:val="00DB362B"/>
    <w:rsid w:val="00DD3B06"/>
    <w:rsid w:val="00DD4CD7"/>
    <w:rsid w:val="00DD5372"/>
    <w:rsid w:val="00E412A1"/>
    <w:rsid w:val="00E46AE1"/>
    <w:rsid w:val="00E505F5"/>
    <w:rsid w:val="00E5535B"/>
    <w:rsid w:val="00E557ED"/>
    <w:rsid w:val="00E717C2"/>
    <w:rsid w:val="00E90187"/>
    <w:rsid w:val="00E95216"/>
    <w:rsid w:val="00ED524A"/>
    <w:rsid w:val="00EF4B5C"/>
    <w:rsid w:val="00F26255"/>
    <w:rsid w:val="00F51A15"/>
    <w:rsid w:val="00F5263C"/>
    <w:rsid w:val="00F61FFE"/>
    <w:rsid w:val="00F80745"/>
    <w:rsid w:val="00FA469B"/>
    <w:rsid w:val="00FC6EB5"/>
    <w:rsid w:val="00FE4C23"/>
    <w:rsid w:val="00FF4EDE"/>
    <w:rsid w:val="13B1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8E7E24"/>
  <w15:docId w15:val="{2132AA82-1940-48DA-BD86-DDC720150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D7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16D7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16D7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16D7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16D7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6D72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6D72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6D72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6D72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316D72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316D72"/>
  </w:style>
  <w:style w:type="paragraph" w:styleId="a3">
    <w:name w:val="footer"/>
    <w:basedOn w:val="a"/>
    <w:link w:val="a4"/>
    <w:uiPriority w:val="99"/>
    <w:unhideWhenUsed/>
    <w:rsid w:val="00316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16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1"/>
    <w:qFormat/>
    <w:rsid w:val="00316D72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customStyle="1" w:styleId="a6">
    <w:name w:val="页眉 字符"/>
    <w:link w:val="a5"/>
    <w:uiPriority w:val="99"/>
    <w:rsid w:val="00316D72"/>
    <w:rPr>
      <w:rFonts w:ascii="Times New Roman" w:eastAsia="Times New Roman" w:hAnsi="Times New Roman" w:cs="Times New Roman"/>
      <w:kern w:val="2"/>
      <w:sz w:val="18"/>
      <w:szCs w:val="18"/>
    </w:rPr>
  </w:style>
  <w:style w:type="character" w:customStyle="1" w:styleId="a4">
    <w:name w:val="页脚 字符"/>
    <w:link w:val="a3"/>
    <w:uiPriority w:val="99"/>
    <w:rsid w:val="00316D72"/>
    <w:rPr>
      <w:rFonts w:ascii="Times New Roman" w:eastAsia="Times New Roman" w:hAnsi="Times New Roman" w:cs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Times New Roman" w:hAnsi="Times New Roman" w:cs="Times New Roman"/>
      <w:sz w:val="20"/>
    </w:rPr>
  </w:style>
  <w:style w:type="paragraph" w:customStyle="1" w:styleId="EndNoteBibliography">
    <w:name w:val="EndNote Bibliography"/>
    <w:basedOn w:val="a"/>
    <w:link w:val="EndNoteBibliographyChar"/>
    <w:qFormat/>
    <w:rPr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Times New Roman" w:hAnsi="Times New Roman" w:cs="Times New Roman"/>
      <w:sz w:val="20"/>
    </w:rPr>
  </w:style>
  <w:style w:type="paragraph" w:customStyle="1" w:styleId="Abstract">
    <w:name w:val="Abstract"/>
    <w:basedOn w:val="a"/>
    <w:autoRedefine/>
    <w:qFormat/>
    <w:rsid w:val="00316D7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16D7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16D7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16D72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16D72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316D72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316D72"/>
    <w:rPr>
      <w:rFonts w:ascii="Times New Roman" w:eastAsia="Times New Roman" w:hAnsi="Times New Roman" w:cs="Book Antiqua"/>
      <w:b/>
      <w:bCs/>
      <w:sz w:val="24"/>
    </w:rPr>
  </w:style>
  <w:style w:type="character" w:customStyle="1" w:styleId="20">
    <w:name w:val="标题 2 字符"/>
    <w:aliases w:val="二级标题 字符"/>
    <w:link w:val="2"/>
    <w:uiPriority w:val="9"/>
    <w:rsid w:val="00316D72"/>
    <w:rPr>
      <w:rFonts w:ascii="Times New Roman" w:eastAsia="Times New Roman" w:hAnsi="Times New Roman" w:cs="Times New Roman"/>
      <w:b/>
      <w:bCs/>
      <w:i/>
      <w:kern w:val="2"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316D72"/>
    <w:rPr>
      <w:rFonts w:ascii="Times New Roman" w:eastAsia="Times New Roman" w:hAnsi="Times New Roman" w:cs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316D72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316D7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316D72"/>
    <w:rPr>
      <w:rFonts w:ascii="Times New Roman" w:eastAsia="Times New Roman" w:hAnsi="Times New Roman" w:cs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316D72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316D72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a">
    <w:name w:val="表题"/>
    <w:basedOn w:val="a"/>
    <w:autoRedefine/>
    <w:qFormat/>
    <w:rsid w:val="00B0511D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b">
    <w:name w:val="表注"/>
    <w:basedOn w:val="a"/>
    <w:autoRedefine/>
    <w:qFormat/>
    <w:rsid w:val="00316D72"/>
    <w:pPr>
      <w:snapToGrid w:val="0"/>
      <w:ind w:firstLineChars="0" w:firstLine="0"/>
    </w:pPr>
  </w:style>
  <w:style w:type="paragraph" w:customStyle="1" w:styleId="ac">
    <w:name w:val="参考文献"/>
    <w:basedOn w:val="a"/>
    <w:autoRedefine/>
    <w:qFormat/>
    <w:rsid w:val="00316D72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d">
    <w:name w:val="Hyperlink"/>
    <w:uiPriority w:val="99"/>
    <w:unhideWhenUsed/>
    <w:rsid w:val="00316D72"/>
    <w:rPr>
      <w:color w:val="0563C1"/>
      <w:u w:val="single"/>
    </w:rPr>
  </w:style>
  <w:style w:type="paragraph" w:customStyle="1" w:styleId="ae">
    <w:name w:val="稿件类型"/>
    <w:basedOn w:val="a"/>
    <w:autoRedefine/>
    <w:qFormat/>
    <w:rsid w:val="00316D72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">
    <w:name w:val="关键词"/>
    <w:basedOn w:val="Keywords"/>
    <w:autoRedefine/>
    <w:qFormat/>
    <w:rsid w:val="00316D72"/>
    <w:rPr>
      <w:rFonts w:eastAsia="Times New Roman"/>
      <w:b w:val="0"/>
    </w:rPr>
  </w:style>
  <w:style w:type="character" w:styleId="af0">
    <w:name w:val="line number"/>
    <w:uiPriority w:val="99"/>
    <w:semiHidden/>
    <w:unhideWhenUsed/>
    <w:rsid w:val="00316D72"/>
  </w:style>
  <w:style w:type="paragraph" w:customStyle="1" w:styleId="af1">
    <w:name w:val="机构信息"/>
    <w:basedOn w:val="a"/>
    <w:link w:val="af2"/>
    <w:autoRedefine/>
    <w:qFormat/>
    <w:rsid w:val="00316D72"/>
    <w:pPr>
      <w:ind w:firstLineChars="0" w:firstLine="0"/>
    </w:pPr>
    <w:rPr>
      <w:rFonts w:cstheme="minorBidi"/>
    </w:rPr>
  </w:style>
  <w:style w:type="character" w:customStyle="1" w:styleId="af2">
    <w:name w:val="机构信息 字符"/>
    <w:link w:val="af1"/>
    <w:rsid w:val="00316D72"/>
    <w:rPr>
      <w:rFonts w:ascii="Times New Roman" w:eastAsia="Times New Roman" w:hAnsi="Times New Roman"/>
      <w:kern w:val="2"/>
      <w:sz w:val="21"/>
      <w:szCs w:val="21"/>
    </w:rPr>
  </w:style>
  <w:style w:type="paragraph" w:customStyle="1" w:styleId="af3">
    <w:name w:val="接收日期"/>
    <w:basedOn w:val="a"/>
    <w:autoRedefine/>
    <w:qFormat/>
    <w:rsid w:val="00316D72"/>
    <w:pPr>
      <w:ind w:firstLineChars="0" w:firstLine="0"/>
    </w:pPr>
  </w:style>
  <w:style w:type="paragraph" w:styleId="af4">
    <w:name w:val="Balloon Text"/>
    <w:basedOn w:val="a"/>
    <w:link w:val="af5"/>
    <w:uiPriority w:val="99"/>
    <w:semiHidden/>
    <w:unhideWhenUsed/>
    <w:rsid w:val="00316D72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316D72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f6">
    <w:name w:val="caption"/>
    <w:basedOn w:val="a"/>
    <w:next w:val="a"/>
    <w:autoRedefine/>
    <w:uiPriority w:val="35"/>
    <w:unhideWhenUsed/>
    <w:qFormat/>
    <w:rsid w:val="00316D72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316D72"/>
    <w:pPr>
      <w:ind w:firstLineChars="0" w:firstLine="0"/>
    </w:pPr>
  </w:style>
  <w:style w:type="paragraph" w:customStyle="1" w:styleId="af8">
    <w:name w:val="图注"/>
    <w:basedOn w:val="a"/>
    <w:autoRedefine/>
    <w:qFormat/>
    <w:rsid w:val="00F51A15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316D72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16D72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16D72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F51A15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F51A15"/>
    <w:rPr>
      <w:rFonts w:ascii="Times New Roman" w:eastAsia="Times New Roman" w:hAnsi="Times New Roman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316D72"/>
  </w:style>
  <w:style w:type="paragraph" w:customStyle="1" w:styleId="afb">
    <w:name w:val="摘要"/>
    <w:basedOn w:val="Abstract"/>
    <w:autoRedefine/>
    <w:qFormat/>
    <w:rsid w:val="00316D72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316D7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316D72"/>
    <w:rPr>
      <w:rFonts w:ascii="Times New Roman" w:eastAsia="Times New Roman" w:hAnsi="Times New Roman" w:cs="Times New Roman"/>
      <w:sz w:val="21"/>
      <w:szCs w:val="21"/>
    </w:rPr>
  </w:style>
  <w:style w:type="paragraph" w:customStyle="1" w:styleId="afe">
    <w:name w:val="致谢部分"/>
    <w:basedOn w:val="afc"/>
    <w:link w:val="aff"/>
    <w:autoRedefine/>
    <w:qFormat/>
    <w:rsid w:val="00316D72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316D72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0">
    <w:name w:val="作者信息"/>
    <w:basedOn w:val="a"/>
    <w:autoRedefine/>
    <w:qFormat/>
    <w:rsid w:val="00316D72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常规">
      <a:majorFont>
        <a:latin typeface="Times New Roman"/>
        <a:ea typeface="等线 Light"/>
        <a:cs typeface=""/>
      </a:majorFont>
      <a:minorFont>
        <a:latin typeface="Times New Roman"/>
        <a:ea typeface="等线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49AA2-3AD0-451E-873A-DEED2CD6F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1210</Words>
  <Characters>6898</Characters>
  <Application>Microsoft Office Word</Application>
  <DocSecurity>0</DocSecurity>
  <Lines>57</Lines>
  <Paragraphs>16</Paragraphs>
  <ScaleCrop>false</ScaleCrop>
  <Company/>
  <LinksUpToDate>false</LinksUpToDate>
  <CharactersWithSpaces>8092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灏</dc:creator>
  <cp:lastModifiedBy>Akira</cp:lastModifiedBy>
  <cp:revision>38</cp:revision>
  <dcterms:created xsi:type="dcterms:W3CDTF">2023-03-04T14:14:00Z</dcterms:created>
  <dcterms:modified xsi:type="dcterms:W3CDTF">2023-03-20T01:24:00Z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DA133D36A27C46CCA24F2F9DD8BF3730</vt:lpwstr>
  </property>
</Properties>
</file>