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4A0" w:rsidRPr="009878D1" w:rsidRDefault="00F704A0" w:rsidP="00F704A0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9878D1">
        <w:rPr>
          <w:rFonts w:ascii="Times New Roman" w:hAnsi="Times New Roman" w:cs="Times New Roman"/>
          <w:b/>
          <w:bCs/>
          <w:sz w:val="32"/>
          <w:szCs w:val="32"/>
        </w:rPr>
        <w:t xml:space="preserve">Online supplementary material </w:t>
      </w:r>
    </w:p>
    <w:p w:rsidR="00F704A0" w:rsidRPr="009878D1" w:rsidRDefault="00F704A0" w:rsidP="002E0498">
      <w:pPr>
        <w:spacing w:line="276" w:lineRule="auto"/>
        <w:jc w:val="center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  <w:noProof/>
        </w:rPr>
        <w:drawing>
          <wp:inline distT="0" distB="0" distL="0" distR="0" wp14:anchorId="5818B131" wp14:editId="46528C5A">
            <wp:extent cx="4230256" cy="4230256"/>
            <wp:effectExtent l="0" t="0" r="0" b="0"/>
            <wp:docPr id="6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14FA056A-CEBE-4E41-921B-1C3A1051BA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14FA056A-CEBE-4E41-921B-1C3A1051BA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755" cy="423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4A0" w:rsidRPr="009878D1" w:rsidRDefault="002E0498" w:rsidP="002E0498">
      <w:pPr>
        <w:pStyle w:val="Figurecaption"/>
        <w:rPr>
          <w:b/>
        </w:rPr>
      </w:pPr>
      <w:r w:rsidRPr="009878D1">
        <w:rPr>
          <w:b/>
          <w:bCs/>
        </w:rPr>
        <w:t>S</w:t>
      </w:r>
      <w:r w:rsidRPr="009878D1">
        <w:rPr>
          <w:b/>
          <w:bCs/>
        </w:rPr>
        <w:t>upplementary</w:t>
      </w:r>
      <w:r w:rsidRPr="009878D1">
        <w:rPr>
          <w:b/>
        </w:rPr>
        <w:t xml:space="preserve"> F</w:t>
      </w:r>
      <w:r w:rsidRPr="009878D1">
        <w:rPr>
          <w:b/>
        </w:rPr>
        <w:t xml:space="preserve">ig. </w:t>
      </w:r>
      <w:r w:rsidRPr="009878D1">
        <w:rPr>
          <w:b/>
        </w:rPr>
        <w:t>1</w:t>
      </w:r>
      <w:r w:rsidRPr="009878D1">
        <w:rPr>
          <w:b/>
        </w:rPr>
        <w:t>.</w:t>
      </w:r>
      <w:r w:rsidRPr="009878D1">
        <w:rPr>
          <w:b/>
        </w:rPr>
        <w:t xml:space="preserve"> Dynamic change of blood pressure of participants with anemia and non-anemia after randomization</w:t>
      </w:r>
      <w:r w:rsidRPr="009878D1">
        <w:rPr>
          <w:b/>
        </w:rPr>
        <w:t>.</w:t>
      </w:r>
    </w:p>
    <w:p w:rsidR="00F704A0" w:rsidRPr="009878D1" w:rsidRDefault="00F704A0" w:rsidP="002E0498">
      <w:pPr>
        <w:pStyle w:val="Figurecaption"/>
      </w:pPr>
    </w:p>
    <w:p w:rsidR="00F704A0" w:rsidRPr="009878D1" w:rsidRDefault="00F704A0" w:rsidP="002E0498">
      <w:pPr>
        <w:spacing w:line="276" w:lineRule="auto"/>
        <w:jc w:val="center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DF3395" wp14:editId="78CAC1A1">
            <wp:extent cx="7308907" cy="435868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12269" cy="436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498" w:rsidRPr="009878D1" w:rsidRDefault="002E0498" w:rsidP="002E0498">
      <w:pPr>
        <w:pStyle w:val="Figurecaption"/>
        <w:sectPr w:rsidR="002E0498" w:rsidRPr="009878D1" w:rsidSect="002E0498">
          <w:headerReference w:type="default" r:id="rId9"/>
          <w:pgSz w:w="16838" w:h="11906" w:orient="landscape"/>
          <w:pgMar w:top="1134" w:right="851" w:bottom="1134" w:left="851" w:header="283" w:footer="1134" w:gutter="0"/>
          <w:cols w:space="425"/>
          <w:docGrid w:type="lines" w:linePitch="326"/>
        </w:sectPr>
      </w:pPr>
      <w:r w:rsidRPr="009878D1">
        <w:rPr>
          <w:b/>
          <w:bCs/>
        </w:rPr>
        <w:t>Supplementary</w:t>
      </w:r>
      <w:r w:rsidRPr="009878D1">
        <w:rPr>
          <w:b/>
        </w:rPr>
        <w:t xml:space="preserve"> Fig</w:t>
      </w:r>
      <w:r w:rsidRPr="009878D1">
        <w:rPr>
          <w:b/>
        </w:rPr>
        <w:t>.</w:t>
      </w:r>
      <w:r w:rsidRPr="009878D1">
        <w:rPr>
          <w:b/>
        </w:rPr>
        <w:t xml:space="preserve"> 2</w:t>
      </w:r>
      <w:r w:rsidRPr="009878D1">
        <w:rPr>
          <w:b/>
        </w:rPr>
        <w:t>.</w:t>
      </w:r>
      <w:r w:rsidRPr="009878D1">
        <w:rPr>
          <w:b/>
        </w:rPr>
        <w:t xml:space="preserve"> Absolute standardized differences of baseline characteristics in pre- and post-matched population</w:t>
      </w:r>
      <w:r w:rsidRPr="009878D1">
        <w:rPr>
          <w:b/>
        </w:rPr>
        <w:t>.</w:t>
      </w:r>
    </w:p>
    <w:p w:rsidR="00F704A0" w:rsidRPr="009878D1" w:rsidRDefault="002E0498" w:rsidP="002E0498">
      <w:pPr>
        <w:pStyle w:val="Tablecaption"/>
        <w:spacing w:before="326" w:after="326"/>
      </w:pPr>
      <w:r w:rsidRPr="009878D1">
        <w:lastRenderedPageBreak/>
        <w:t xml:space="preserve">Supplementary Table </w:t>
      </w:r>
      <w:r w:rsidR="00F704A0" w:rsidRPr="009878D1">
        <w:t>1</w:t>
      </w:r>
      <w:r w:rsidRPr="009878D1">
        <w:t>.</w:t>
      </w:r>
      <w:r w:rsidR="00F704A0" w:rsidRPr="009878D1">
        <w:t xml:space="preserve"> Impact of anemia on outcomes among participants received standard blood pressure control</w:t>
      </w:r>
      <w:r w:rsidRPr="009878D1">
        <w:t>.</w:t>
      </w:r>
    </w:p>
    <w:tbl>
      <w:tblPr>
        <w:tblW w:w="13956" w:type="dxa"/>
        <w:tblLook w:val="04A0" w:firstRow="1" w:lastRow="0" w:firstColumn="1" w:lastColumn="0" w:noHBand="0" w:noVBand="1"/>
      </w:tblPr>
      <w:tblGrid>
        <w:gridCol w:w="3640"/>
        <w:gridCol w:w="1640"/>
        <w:gridCol w:w="1300"/>
        <w:gridCol w:w="1844"/>
        <w:gridCol w:w="1844"/>
        <w:gridCol w:w="1844"/>
        <w:gridCol w:w="1844"/>
      </w:tblGrid>
      <w:tr w:rsidR="00F704A0" w:rsidRPr="009878D1" w:rsidTr="00D864C5">
        <w:trPr>
          <w:trHeight w:val="360"/>
        </w:trPr>
        <w:tc>
          <w:tcPr>
            <w:tcW w:w="3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HR (95% CI)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F704A0" w:rsidRPr="009878D1" w:rsidTr="00D864C5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Outcomes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Non-Anemia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Anemia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Model 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Model 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Model 3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Model 4</w:t>
            </w:r>
          </w:p>
        </w:tc>
      </w:tr>
      <w:tr w:rsidR="00F704A0" w:rsidRPr="009878D1" w:rsidTr="00D864C5">
        <w:trPr>
          <w:trHeight w:val="360"/>
        </w:trPr>
        <w:tc>
          <w:tcPr>
            <w:tcW w:w="3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Primary outcome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04A0" w:rsidRPr="009878D1" w:rsidTr="00D864C5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Composite cardiovascular events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267 (7.0%)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43 (7.9%)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1.16(0.84,1.59)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1.23(0.88,1.72)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1.15(0.83,1.62)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1.03(0.69,1.54)</w:t>
            </w:r>
          </w:p>
        </w:tc>
      </w:tr>
      <w:tr w:rsidR="00F704A0" w:rsidRPr="009878D1" w:rsidTr="00D864C5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Secondary outcome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04A0" w:rsidRPr="009878D1" w:rsidTr="00D864C5">
        <w:trPr>
          <w:trHeight w:val="36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All-cause death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172 (4.5%)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27 (5.0%)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1.11(0.74,1.67)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1.19(0.78,1.82)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1.05(0.68,1.60)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1.08(0.66,1.78)</w:t>
            </w:r>
          </w:p>
        </w:tc>
      </w:tr>
    </w:tbl>
    <w:p w:rsidR="00F704A0" w:rsidRPr="009878D1" w:rsidRDefault="00F704A0" w:rsidP="00F704A0">
      <w:pPr>
        <w:spacing w:line="276" w:lineRule="auto"/>
        <w:jc w:val="both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</w:rPr>
        <w:t xml:space="preserve">HR: hazard ratio; CI: confidence interval; </w:t>
      </w:r>
    </w:p>
    <w:p w:rsidR="00F704A0" w:rsidRPr="009878D1" w:rsidRDefault="00F704A0" w:rsidP="00F704A0">
      <w:pPr>
        <w:spacing w:line="276" w:lineRule="auto"/>
        <w:jc w:val="both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</w:rPr>
        <w:t xml:space="preserve">In model 1, no confounder was adjusted. </w:t>
      </w:r>
    </w:p>
    <w:p w:rsidR="00F704A0" w:rsidRPr="009878D1" w:rsidRDefault="00F704A0" w:rsidP="00F704A0">
      <w:pPr>
        <w:spacing w:line="276" w:lineRule="auto"/>
        <w:jc w:val="both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</w:rPr>
        <w:t xml:space="preserve">In model 2, confounders with P value &lt;0.05 between the two groups were adjusted (age, gender, eGFR, SBP, DBP, FRS, baseline CKD, race, serum creatinine, cancer history, cholesterol, blood glucose, and high-density lipoprotein). </w:t>
      </w:r>
    </w:p>
    <w:p w:rsidR="00F704A0" w:rsidRPr="009878D1" w:rsidRDefault="00F704A0" w:rsidP="00F704A0">
      <w:pPr>
        <w:spacing w:line="276" w:lineRule="auto"/>
        <w:jc w:val="both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</w:rPr>
        <w:t xml:space="preserve">In model 3, we adjusted for the predicted probability score calculated by logistic regression model. </w:t>
      </w:r>
    </w:p>
    <w:p w:rsidR="001E70D0" w:rsidRDefault="00F704A0" w:rsidP="00CE5641">
      <w:pPr>
        <w:spacing w:line="276" w:lineRule="auto"/>
        <w:jc w:val="both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</w:rPr>
        <w:t>In model 4, the HR was calculated within the population after inverse probability of treatment weighting.</w:t>
      </w:r>
    </w:p>
    <w:p w:rsidR="001E70D0" w:rsidRDefault="001E70D0" w:rsidP="00CE5641">
      <w:pPr>
        <w:spacing w:line="276" w:lineRule="auto"/>
        <w:jc w:val="both"/>
        <w:rPr>
          <w:rFonts w:ascii="Times New Roman" w:hAnsi="Times New Roman" w:cs="Times New Roman"/>
        </w:rPr>
      </w:pPr>
    </w:p>
    <w:p w:rsidR="00F704A0" w:rsidRPr="009878D1" w:rsidRDefault="009878D1" w:rsidP="00CE5641">
      <w:pPr>
        <w:pStyle w:val="Tablecaption"/>
        <w:spacing w:before="326" w:after="326"/>
      </w:pPr>
      <w:bookmarkStart w:id="0" w:name="_GoBack"/>
      <w:bookmarkEnd w:id="0"/>
      <w:r w:rsidRPr="009878D1">
        <w:t xml:space="preserve">Supplementary Table </w:t>
      </w:r>
      <w:r>
        <w:t>2.</w:t>
      </w:r>
      <w:r w:rsidR="00F704A0" w:rsidRPr="009878D1">
        <w:t xml:space="preserve"> Interaction effect of anemia on cardiovascular benefits of intensive BP control among participants enrolled in SPRINT</w:t>
      </w:r>
      <w:r>
        <w:t>.</w:t>
      </w:r>
    </w:p>
    <w:tbl>
      <w:tblPr>
        <w:tblW w:w="15040" w:type="dxa"/>
        <w:tblLook w:val="04A0" w:firstRow="1" w:lastRow="0" w:firstColumn="1" w:lastColumn="0" w:noHBand="0" w:noVBand="1"/>
      </w:tblPr>
      <w:tblGrid>
        <w:gridCol w:w="3780"/>
        <w:gridCol w:w="1607"/>
        <w:gridCol w:w="2373"/>
        <w:gridCol w:w="2420"/>
        <w:gridCol w:w="1980"/>
        <w:gridCol w:w="1220"/>
        <w:gridCol w:w="1660"/>
      </w:tblGrid>
      <w:tr w:rsidR="00F704A0" w:rsidRPr="009878D1" w:rsidTr="00D864C5">
        <w:trPr>
          <w:trHeight w:val="320"/>
        </w:trPr>
        <w:tc>
          <w:tcPr>
            <w:tcW w:w="3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Outcomes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Standard </w:t>
            </w:r>
          </w:p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BP treatment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Intensive </w:t>
            </w:r>
          </w:p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BP treatment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HR (95% CI)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P value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Interaction P</w:t>
            </w:r>
          </w:p>
        </w:tc>
      </w:tr>
      <w:tr w:rsidR="00F704A0" w:rsidRPr="009878D1" w:rsidTr="00D864C5">
        <w:trPr>
          <w:trHeight w:val="320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Primary outcome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</w:tr>
      <w:tr w:rsidR="00F704A0" w:rsidRPr="009878D1" w:rsidTr="00D864C5">
        <w:trPr>
          <w:trHeight w:val="32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Composite cardiovascular events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Anemia 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43 (7.4%)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46 (8.0%)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1.06(0.70,1.61)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0.77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</w:tr>
      <w:tr w:rsidR="00F704A0" w:rsidRPr="009878D1" w:rsidTr="00D864C5">
        <w:trPr>
          <w:trHeight w:val="32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Non-anemia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276 (6.7%)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197 (4.8%)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0.71(0.59,0.85)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F704A0" w:rsidRPr="009878D1" w:rsidTr="00D864C5">
        <w:trPr>
          <w:trHeight w:val="32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Secondary outcome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04A0" w:rsidRPr="009878D1" w:rsidTr="00D864C5">
        <w:trPr>
          <w:trHeight w:val="32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All-cause death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Anemia 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27 (4.7%)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32 (5.6%)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1.17(0.70,1.95)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0.56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F704A0" w:rsidRPr="009878D1" w:rsidTr="00D864C5">
        <w:trPr>
          <w:trHeight w:val="320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 xml:space="preserve">　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Non-anemia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183 (4.5%)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123 (3.0%)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0.67(0.53,0.84)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4A0" w:rsidRPr="009878D1" w:rsidRDefault="00F704A0" w:rsidP="00D864C5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9878D1">
              <w:rPr>
                <w:rFonts w:ascii="Times New Roman" w:eastAsia="等线" w:hAnsi="Times New Roman" w:cs="Times New Roman"/>
                <w:color w:val="000000"/>
              </w:rPr>
              <w:t>0.053</w:t>
            </w:r>
          </w:p>
        </w:tc>
      </w:tr>
    </w:tbl>
    <w:p w:rsidR="00F369E5" w:rsidRPr="009878D1" w:rsidRDefault="00F704A0" w:rsidP="009878D1">
      <w:pPr>
        <w:spacing w:line="276" w:lineRule="auto"/>
        <w:jc w:val="both"/>
        <w:rPr>
          <w:rFonts w:ascii="Times New Roman" w:hAnsi="Times New Roman" w:cs="Times New Roman"/>
        </w:rPr>
      </w:pPr>
      <w:r w:rsidRPr="009878D1">
        <w:rPr>
          <w:rFonts w:ascii="Times New Roman" w:hAnsi="Times New Roman" w:cs="Times New Roman"/>
        </w:rPr>
        <w:t xml:space="preserve">HR: hazard ratio; CI: confidence interval; </w:t>
      </w:r>
    </w:p>
    <w:sectPr w:rsidR="00F369E5" w:rsidRPr="009878D1" w:rsidSect="002E0498">
      <w:pgSz w:w="16838" w:h="11906" w:orient="landscape"/>
      <w:pgMar w:top="1134" w:right="851" w:bottom="1134" w:left="851" w:header="283" w:footer="113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498" w:rsidRDefault="002E0498" w:rsidP="002E0498">
      <w:r>
        <w:separator/>
      </w:r>
    </w:p>
  </w:endnote>
  <w:endnote w:type="continuationSeparator" w:id="0">
    <w:p w:rsidR="002E0498" w:rsidRDefault="002E0498" w:rsidP="002E0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498" w:rsidRDefault="002E0498" w:rsidP="002E0498">
      <w:r>
        <w:separator/>
      </w:r>
    </w:p>
  </w:footnote>
  <w:footnote w:type="continuationSeparator" w:id="0">
    <w:p w:rsidR="002E0498" w:rsidRDefault="002E0498" w:rsidP="002E04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498" w:rsidRDefault="002E0498" w:rsidP="002E049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4A0"/>
    <w:rsid w:val="00072F58"/>
    <w:rsid w:val="000865A1"/>
    <w:rsid w:val="000866F5"/>
    <w:rsid w:val="000A4474"/>
    <w:rsid w:val="00114379"/>
    <w:rsid w:val="00116053"/>
    <w:rsid w:val="00142B0B"/>
    <w:rsid w:val="00147BDB"/>
    <w:rsid w:val="0015222E"/>
    <w:rsid w:val="001D2191"/>
    <w:rsid w:val="001E29D2"/>
    <w:rsid w:val="001E70D0"/>
    <w:rsid w:val="00211DBC"/>
    <w:rsid w:val="00223D85"/>
    <w:rsid w:val="00225FE4"/>
    <w:rsid w:val="002561AD"/>
    <w:rsid w:val="002A766E"/>
    <w:rsid w:val="002E0498"/>
    <w:rsid w:val="003156A6"/>
    <w:rsid w:val="0032328B"/>
    <w:rsid w:val="00334B4A"/>
    <w:rsid w:val="00334C1A"/>
    <w:rsid w:val="00354D7D"/>
    <w:rsid w:val="003A2EE1"/>
    <w:rsid w:val="003B764D"/>
    <w:rsid w:val="00456153"/>
    <w:rsid w:val="00457921"/>
    <w:rsid w:val="004671D5"/>
    <w:rsid w:val="00473C80"/>
    <w:rsid w:val="004C2190"/>
    <w:rsid w:val="004D2866"/>
    <w:rsid w:val="00505D26"/>
    <w:rsid w:val="00506724"/>
    <w:rsid w:val="00510DC1"/>
    <w:rsid w:val="00531514"/>
    <w:rsid w:val="00555226"/>
    <w:rsid w:val="00593312"/>
    <w:rsid w:val="005B06C5"/>
    <w:rsid w:val="005E118D"/>
    <w:rsid w:val="005E6CFF"/>
    <w:rsid w:val="005F6A3B"/>
    <w:rsid w:val="00602A5D"/>
    <w:rsid w:val="006062CE"/>
    <w:rsid w:val="00653E9D"/>
    <w:rsid w:val="006935A7"/>
    <w:rsid w:val="006A5FA9"/>
    <w:rsid w:val="006A780E"/>
    <w:rsid w:val="006C0271"/>
    <w:rsid w:val="006C7117"/>
    <w:rsid w:val="006D490F"/>
    <w:rsid w:val="00705421"/>
    <w:rsid w:val="0071496E"/>
    <w:rsid w:val="00750042"/>
    <w:rsid w:val="00782BFB"/>
    <w:rsid w:val="00786B4B"/>
    <w:rsid w:val="007A2653"/>
    <w:rsid w:val="007B6BF4"/>
    <w:rsid w:val="00801293"/>
    <w:rsid w:val="00807019"/>
    <w:rsid w:val="008366FE"/>
    <w:rsid w:val="00846C68"/>
    <w:rsid w:val="00857AEF"/>
    <w:rsid w:val="00893480"/>
    <w:rsid w:val="008A3799"/>
    <w:rsid w:val="008E1A7D"/>
    <w:rsid w:val="008F6210"/>
    <w:rsid w:val="00971933"/>
    <w:rsid w:val="009878D1"/>
    <w:rsid w:val="009C4DD4"/>
    <w:rsid w:val="009C6344"/>
    <w:rsid w:val="009E1D0F"/>
    <w:rsid w:val="009F15C0"/>
    <w:rsid w:val="00A12EEA"/>
    <w:rsid w:val="00A17922"/>
    <w:rsid w:val="00A375AB"/>
    <w:rsid w:val="00A54432"/>
    <w:rsid w:val="00A84FAB"/>
    <w:rsid w:val="00A96367"/>
    <w:rsid w:val="00AE4BA1"/>
    <w:rsid w:val="00B4070F"/>
    <w:rsid w:val="00BA7CDD"/>
    <w:rsid w:val="00BC2CB5"/>
    <w:rsid w:val="00BC39DB"/>
    <w:rsid w:val="00BD06FC"/>
    <w:rsid w:val="00C20E54"/>
    <w:rsid w:val="00C359A1"/>
    <w:rsid w:val="00CA71AD"/>
    <w:rsid w:val="00CB6E20"/>
    <w:rsid w:val="00CC1A34"/>
    <w:rsid w:val="00CE5641"/>
    <w:rsid w:val="00D61DDD"/>
    <w:rsid w:val="00DA397F"/>
    <w:rsid w:val="00DD2EA9"/>
    <w:rsid w:val="00DF531E"/>
    <w:rsid w:val="00E01375"/>
    <w:rsid w:val="00E20C05"/>
    <w:rsid w:val="00E26319"/>
    <w:rsid w:val="00E47107"/>
    <w:rsid w:val="00E71E34"/>
    <w:rsid w:val="00EA2EC9"/>
    <w:rsid w:val="00EB0AD6"/>
    <w:rsid w:val="00EB49F2"/>
    <w:rsid w:val="00EE0EE4"/>
    <w:rsid w:val="00EE2911"/>
    <w:rsid w:val="00F202BC"/>
    <w:rsid w:val="00F2149E"/>
    <w:rsid w:val="00F224D6"/>
    <w:rsid w:val="00F36702"/>
    <w:rsid w:val="00F369E5"/>
    <w:rsid w:val="00F371A6"/>
    <w:rsid w:val="00F70251"/>
    <w:rsid w:val="00F704A0"/>
    <w:rsid w:val="00F8005E"/>
    <w:rsid w:val="00F8605B"/>
    <w:rsid w:val="00F92047"/>
    <w:rsid w:val="00FC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3BD5A"/>
  <w15:chartTrackingRefBased/>
  <w15:docId w15:val="{BB2DCC58-B5E5-0247-A80A-8CC917317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F704A0"/>
    <w:rPr>
      <w:rFonts w:ascii="宋体" w:eastAsia="宋体" w:hAnsi="宋体" w:cs="宋体"/>
      <w:kern w:val="0"/>
      <w:sz w:val="24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2E0498"/>
    <w:pPr>
      <w:keepNext/>
      <w:keepLines/>
      <w:adjustRightInd w:val="0"/>
      <w:snapToGrid w:val="0"/>
      <w:spacing w:before="360" w:after="360"/>
      <w:jc w:val="both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2E0498"/>
    <w:pPr>
      <w:keepNext/>
      <w:keepLines/>
      <w:adjustRightInd w:val="0"/>
      <w:snapToGrid w:val="0"/>
      <w:spacing w:before="240" w:after="240"/>
      <w:jc w:val="both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2E0498"/>
    <w:pPr>
      <w:keepNext/>
      <w:keepLines/>
      <w:adjustRightInd w:val="0"/>
      <w:snapToGrid w:val="0"/>
      <w:spacing w:before="160" w:after="160"/>
      <w:jc w:val="both"/>
      <w:outlineLvl w:val="2"/>
    </w:pPr>
    <w:rPr>
      <w:rFonts w:ascii="Times New Roman" w:eastAsia="Times New Roman" w:hAnsi="Times New Roman" w:cs="Times New Roman"/>
      <w:bCs/>
      <w:i/>
      <w:noProof/>
      <w:color w:val="000000"/>
      <w:sz w:val="21"/>
      <w:szCs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E0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E0498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2E04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E0498"/>
    <w:rPr>
      <w:rFonts w:ascii="宋体" w:eastAsia="宋体" w:hAnsi="宋体" w:cs="宋体"/>
      <w:kern w:val="0"/>
      <w:sz w:val="18"/>
      <w:szCs w:val="18"/>
    </w:rPr>
  </w:style>
  <w:style w:type="paragraph" w:customStyle="1" w:styleId="Abstract">
    <w:name w:val="Abstract"/>
    <w:next w:val="a"/>
    <w:uiPriority w:val="5"/>
    <w:qFormat/>
    <w:rsid w:val="002E049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2E049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2E0498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2E0498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2E049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2E0498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lang w:eastAsia="en-US" w:bidi="en-US"/>
    </w:rPr>
  </w:style>
  <w:style w:type="paragraph" w:customStyle="1" w:styleId="Bullet">
    <w:name w:val="Bullet"/>
    <w:uiPriority w:val="16"/>
    <w:qFormat/>
    <w:rsid w:val="002E0498"/>
    <w:pPr>
      <w:numPr>
        <w:numId w:val="1"/>
      </w:numPr>
      <w:adjustRightInd w:val="0"/>
      <w:snapToGrid w:val="0"/>
      <w:spacing w:before="40" w:after="40"/>
      <w:ind w:hangingChars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2E049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2E049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2E0498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2E0498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2E049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2E0498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2E0498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2E049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2E0498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2E0498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2E0498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2E0498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lang w:bidi="en-US"/>
    </w:rPr>
  </w:style>
  <w:style w:type="paragraph" w:customStyle="1" w:styleId="Tablefooter">
    <w:name w:val="Table footer"/>
    <w:next w:val="a"/>
    <w:uiPriority w:val="12"/>
    <w:qFormat/>
    <w:rsid w:val="002E049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2E0498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2E0498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2E0498"/>
    <w:rPr>
      <w:rFonts w:ascii="Times New Roman" w:eastAsia="Times New Roman" w:hAnsi="Times New Roman" w:cs="Times New Roman"/>
      <w:b/>
      <w:bCs/>
      <w:noProof/>
      <w:color w:val="000000"/>
      <w:kern w:val="44"/>
      <w:sz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2E0498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2E0498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xiaochuan</dc:creator>
  <cp:keywords/>
  <dc:description/>
  <cp:lastModifiedBy>Maggie</cp:lastModifiedBy>
  <cp:revision>8</cp:revision>
  <dcterms:created xsi:type="dcterms:W3CDTF">2022-10-30T14:31:00Z</dcterms:created>
  <dcterms:modified xsi:type="dcterms:W3CDTF">2023-10-07T08:19:00Z</dcterms:modified>
</cp:coreProperties>
</file>