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5733FA" w14:textId="149C2838" w:rsidR="0048757D" w:rsidRPr="00A608C5" w:rsidRDefault="00390531" w:rsidP="0048757D">
      <w:pPr>
        <w:pStyle w:val="Tablecaption"/>
        <w:spacing w:before="240" w:after="240"/>
        <w:rPr>
          <w:szCs w:val="21"/>
        </w:rPr>
      </w:pPr>
      <w:r w:rsidRPr="00A608C5">
        <w:rPr>
          <w:rFonts w:eastAsiaTheme="minorEastAsia"/>
          <w:szCs w:val="21"/>
        </w:rPr>
        <w:t xml:space="preserve">Supplementary </w:t>
      </w:r>
      <w:r w:rsidR="0048757D" w:rsidRPr="00A608C5">
        <w:rPr>
          <w:szCs w:val="21"/>
        </w:rPr>
        <w:t>Table 1. Description of included studies of left ventricular end-systolic diameter.</w:t>
      </w:r>
    </w:p>
    <w:tbl>
      <w:tblPr>
        <w:tblStyle w:val="11"/>
        <w:tblW w:w="5000" w:type="pct"/>
        <w:tblLook w:val="04A0" w:firstRow="1" w:lastRow="0" w:firstColumn="1" w:lastColumn="0" w:noHBand="0" w:noVBand="1"/>
      </w:tblPr>
      <w:tblGrid>
        <w:gridCol w:w="1451"/>
        <w:gridCol w:w="994"/>
        <w:gridCol w:w="505"/>
        <w:gridCol w:w="701"/>
        <w:gridCol w:w="1634"/>
        <w:gridCol w:w="1049"/>
        <w:gridCol w:w="2109"/>
        <w:gridCol w:w="784"/>
        <w:gridCol w:w="857"/>
        <w:gridCol w:w="1195"/>
        <w:gridCol w:w="966"/>
        <w:gridCol w:w="1410"/>
        <w:gridCol w:w="1131"/>
      </w:tblGrid>
      <w:tr w:rsidR="00B65A1C" w:rsidRPr="00A608C5" w14:paraId="3CD588A6" w14:textId="77777777" w:rsidTr="004D5406">
        <w:trPr>
          <w:trHeight w:val="848"/>
        </w:trPr>
        <w:tc>
          <w:tcPr>
            <w:tcW w:w="492" w:type="pct"/>
            <w:hideMark/>
          </w:tcPr>
          <w:p w14:paraId="5A71A1C9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First Author [Ref.];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Year Published;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Journal</w:t>
            </w:r>
          </w:p>
        </w:tc>
        <w:tc>
          <w:tcPr>
            <w:tcW w:w="337" w:type="pct"/>
            <w:hideMark/>
          </w:tcPr>
          <w:p w14:paraId="54587D0D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Total Number of Participants</w:t>
            </w:r>
          </w:p>
        </w:tc>
        <w:tc>
          <w:tcPr>
            <w:tcW w:w="170" w:type="pct"/>
            <w:hideMark/>
          </w:tcPr>
          <w:p w14:paraId="61C23E2D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Age</w:t>
            </w:r>
          </w:p>
        </w:tc>
        <w:tc>
          <w:tcPr>
            <w:tcW w:w="237" w:type="pct"/>
            <w:hideMark/>
          </w:tcPr>
          <w:p w14:paraId="73D8381C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Female (%)</w:t>
            </w:r>
          </w:p>
        </w:tc>
        <w:tc>
          <w:tcPr>
            <w:tcW w:w="555" w:type="pct"/>
            <w:hideMark/>
          </w:tcPr>
          <w:p w14:paraId="48ED7C5D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Population (severity/symptom)</w:t>
            </w:r>
          </w:p>
        </w:tc>
        <w:tc>
          <w:tcPr>
            <w:tcW w:w="355" w:type="pct"/>
            <w:hideMark/>
          </w:tcPr>
          <w:p w14:paraId="59C8CEBB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</w:t>
            </w:r>
          </w:p>
        </w:tc>
        <w:tc>
          <w:tcPr>
            <w:tcW w:w="618" w:type="pct"/>
            <w:hideMark/>
          </w:tcPr>
          <w:p w14:paraId="07AFB8B3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Reproducibility (interobserver/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363" w:type="pct"/>
            <w:hideMark/>
          </w:tcPr>
          <w:p w14:paraId="7B4D598E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Baseline LVEF (%)</w:t>
            </w:r>
          </w:p>
        </w:tc>
        <w:tc>
          <w:tcPr>
            <w:tcW w:w="290" w:type="pct"/>
            <w:hideMark/>
          </w:tcPr>
          <w:p w14:paraId="61719512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Baseline LVESD (mm)</w:t>
            </w:r>
          </w:p>
        </w:tc>
        <w:tc>
          <w:tcPr>
            <w:tcW w:w="405" w:type="pct"/>
            <w:hideMark/>
          </w:tcPr>
          <w:p w14:paraId="5D70B060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Outcomes</w:t>
            </w:r>
          </w:p>
        </w:tc>
        <w:tc>
          <w:tcPr>
            <w:tcW w:w="327" w:type="pct"/>
            <w:hideMark/>
          </w:tcPr>
          <w:p w14:paraId="472B2EBD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Follow-up</w:t>
            </w:r>
          </w:p>
        </w:tc>
        <w:tc>
          <w:tcPr>
            <w:tcW w:w="467" w:type="pct"/>
            <w:hideMark/>
          </w:tcPr>
          <w:p w14:paraId="5EACD6A9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Association Between LVESD and Outcomes</w:t>
            </w:r>
          </w:p>
        </w:tc>
        <w:tc>
          <w:tcPr>
            <w:tcW w:w="384" w:type="pct"/>
            <w:hideMark/>
          </w:tcPr>
          <w:p w14:paraId="27B3EE9B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Receiver-Operating Characteristic Curve Analysis</w:t>
            </w:r>
          </w:p>
        </w:tc>
      </w:tr>
      <w:tr w:rsidR="00B65A1C" w:rsidRPr="00A608C5" w14:paraId="1CC3120C" w14:textId="77777777" w:rsidTr="004D5406">
        <w:trPr>
          <w:trHeight w:val="2642"/>
        </w:trPr>
        <w:tc>
          <w:tcPr>
            <w:tcW w:w="492" w:type="pct"/>
            <w:vMerge w:val="restart"/>
            <w:hideMark/>
          </w:tcPr>
          <w:p w14:paraId="66E82810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Tribouilloy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[15]</w:t>
            </w:r>
            <w:r w:rsidRPr="00A608C5">
              <w:rPr>
                <w:rFonts w:ascii="Times New Roman" w:eastAsia="等线" w:hAnsi="Times New Roman" w:cs="Times New Roman"/>
              </w:rPr>
              <w:t xml:space="preserve">, 2009,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J Am Coll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t>Cardiol</w:t>
            </w:r>
            <w:proofErr w:type="spellEnd"/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</w:t>
            </w:r>
          </w:p>
        </w:tc>
        <w:tc>
          <w:tcPr>
            <w:tcW w:w="337" w:type="pct"/>
            <w:vMerge w:val="restart"/>
            <w:hideMark/>
          </w:tcPr>
          <w:p w14:paraId="7355CCE5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739</w:t>
            </w:r>
          </w:p>
        </w:tc>
        <w:tc>
          <w:tcPr>
            <w:tcW w:w="170" w:type="pct"/>
            <w:vMerge w:val="restart"/>
            <w:hideMark/>
          </w:tcPr>
          <w:p w14:paraId="3DA25A4A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64.8 ± 11.9</w:t>
            </w:r>
          </w:p>
        </w:tc>
        <w:tc>
          <w:tcPr>
            <w:tcW w:w="237" w:type="pct"/>
            <w:vMerge w:val="restart"/>
            <w:hideMark/>
          </w:tcPr>
          <w:p w14:paraId="186E8E58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30</w:t>
            </w:r>
          </w:p>
        </w:tc>
        <w:tc>
          <w:tcPr>
            <w:tcW w:w="555" w:type="pct"/>
            <w:vMerge w:val="restart"/>
            <w:hideMark/>
          </w:tcPr>
          <w:p w14:paraId="6457880E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Moderate to severe or severe/both</w:t>
            </w:r>
          </w:p>
        </w:tc>
        <w:tc>
          <w:tcPr>
            <w:tcW w:w="355" w:type="pct"/>
            <w:vMerge w:val="restart"/>
            <w:hideMark/>
          </w:tcPr>
          <w:p w14:paraId="0D0B62DF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74.7% (repair 78%, replacement 22%) + conservative (25.3%)</w:t>
            </w:r>
          </w:p>
        </w:tc>
        <w:tc>
          <w:tcPr>
            <w:tcW w:w="618" w:type="pct"/>
            <w:vMerge w:val="restart"/>
            <w:hideMark/>
          </w:tcPr>
          <w:p w14:paraId="08DCBA11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363" w:type="pct"/>
            <w:vMerge w:val="restart"/>
            <w:hideMark/>
          </w:tcPr>
          <w:p w14:paraId="16DAC25E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65.3 ± 10.3</w:t>
            </w:r>
          </w:p>
        </w:tc>
        <w:tc>
          <w:tcPr>
            <w:tcW w:w="290" w:type="pct"/>
            <w:vMerge w:val="restart"/>
            <w:hideMark/>
          </w:tcPr>
          <w:p w14:paraId="615F5FB8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35.8 ± 7.1</w:t>
            </w:r>
          </w:p>
        </w:tc>
        <w:tc>
          <w:tcPr>
            <w:tcW w:w="405" w:type="pct"/>
            <w:shd w:val="clear" w:color="auto" w:fill="FFB9B9"/>
            <w:hideMark/>
          </w:tcPr>
          <w:p w14:paraId="22E8124D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All-cause mortality</w:t>
            </w:r>
          </w:p>
        </w:tc>
        <w:tc>
          <w:tcPr>
            <w:tcW w:w="327" w:type="pct"/>
            <w:shd w:val="clear" w:color="auto" w:fill="FFB9B9"/>
            <w:hideMark/>
          </w:tcPr>
          <w:p w14:paraId="3C12E280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Surgical population: 5.2 ± 3.4 years</w:t>
            </w:r>
          </w:p>
        </w:tc>
        <w:tc>
          <w:tcPr>
            <w:tcW w:w="467" w:type="pct"/>
            <w:shd w:val="clear" w:color="auto" w:fill="FFB9B9"/>
            <w:hideMark/>
          </w:tcPr>
          <w:p w14:paraId="7D6E0063" w14:textId="77777777" w:rsidR="005475D7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For the subgroup after mitral valve surgery: </w:t>
            </w:r>
          </w:p>
          <w:p w14:paraId="3B8809C3" w14:textId="440E8E18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Larger LVESD as continuous variable on multivariable Cox survival analysis was associated with higher post-operative all-cause mortality (adjusted HR 1.03 [1.01–1.07] per 1 mm increment,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0.006);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LVESD ≥40 mm (based on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ACC/AHA guidelines recommendation) as categorical variable on multivariable Cox survival analysis was associated with more frequent post-operative all-cause mortality (adjusted HR 1.86 [1.11–3.15],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0.019).</w:t>
            </w:r>
          </w:p>
        </w:tc>
        <w:tc>
          <w:tcPr>
            <w:tcW w:w="384" w:type="pct"/>
            <w:shd w:val="clear" w:color="auto" w:fill="FFB9B9"/>
            <w:hideMark/>
          </w:tcPr>
          <w:p w14:paraId="6CEB5FB2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</w:tr>
      <w:tr w:rsidR="00B65A1C" w:rsidRPr="00A608C5" w14:paraId="3C2D81F6" w14:textId="77777777" w:rsidTr="004D5406">
        <w:trPr>
          <w:trHeight w:val="3060"/>
        </w:trPr>
        <w:tc>
          <w:tcPr>
            <w:tcW w:w="492" w:type="pct"/>
            <w:vMerge/>
            <w:hideMark/>
          </w:tcPr>
          <w:p w14:paraId="02981CDF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37" w:type="pct"/>
            <w:vMerge/>
            <w:hideMark/>
          </w:tcPr>
          <w:p w14:paraId="20984791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70" w:type="pct"/>
            <w:vMerge/>
            <w:hideMark/>
          </w:tcPr>
          <w:p w14:paraId="0CFE5422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7" w:type="pct"/>
            <w:vMerge/>
            <w:hideMark/>
          </w:tcPr>
          <w:p w14:paraId="13EE474A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555" w:type="pct"/>
            <w:vMerge/>
            <w:hideMark/>
          </w:tcPr>
          <w:p w14:paraId="3731986E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55" w:type="pct"/>
            <w:vMerge/>
            <w:hideMark/>
          </w:tcPr>
          <w:p w14:paraId="04B196CC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618" w:type="pct"/>
            <w:vMerge/>
            <w:hideMark/>
          </w:tcPr>
          <w:p w14:paraId="2BF2B3A0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63" w:type="pct"/>
            <w:vMerge/>
            <w:hideMark/>
          </w:tcPr>
          <w:p w14:paraId="18E1DEB7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90" w:type="pct"/>
            <w:vMerge/>
            <w:hideMark/>
          </w:tcPr>
          <w:p w14:paraId="2C29C0F0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05" w:type="pct"/>
            <w:shd w:val="clear" w:color="auto" w:fill="FFB9B9"/>
            <w:hideMark/>
          </w:tcPr>
          <w:p w14:paraId="58DB8257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Cardiac mortality</w:t>
            </w:r>
          </w:p>
        </w:tc>
        <w:tc>
          <w:tcPr>
            <w:tcW w:w="327" w:type="pct"/>
            <w:shd w:val="clear" w:color="auto" w:fill="FFB9B9"/>
            <w:hideMark/>
          </w:tcPr>
          <w:p w14:paraId="7824248F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Surgical population: 5.2 ± 3.4 years</w:t>
            </w:r>
          </w:p>
        </w:tc>
        <w:tc>
          <w:tcPr>
            <w:tcW w:w="467" w:type="pct"/>
            <w:shd w:val="clear" w:color="auto" w:fill="FFB9B9"/>
            <w:hideMark/>
          </w:tcPr>
          <w:p w14:paraId="1D9B83CD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For the subgroup after mitral valve surgery: </w:t>
            </w:r>
            <w:r w:rsidRPr="00A608C5">
              <w:rPr>
                <w:rFonts w:ascii="Times New Roman" w:eastAsia="等线" w:hAnsi="Times New Roman" w:cs="Times New Roman"/>
              </w:rPr>
              <w:br/>
              <w:t>Larger LVESD as continuous variable on multivariable Cox survival analysis was associated with more frequent post-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operative death from cardiac causes (adjusted HR 1.05 [1.01–1.10] per 1 mm increment,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0.01);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LVESD ≥40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mm (based on ACC/AHA guidelines recommendation) as categorical variable on multivariable Cox survival analysis was associated with post-operative death from cardiac causes (adjusted HR 1.81 [1.05–3.54],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0.04).</w:t>
            </w:r>
          </w:p>
        </w:tc>
        <w:tc>
          <w:tcPr>
            <w:tcW w:w="384" w:type="pct"/>
            <w:shd w:val="clear" w:color="auto" w:fill="FFB9B9"/>
            <w:hideMark/>
          </w:tcPr>
          <w:p w14:paraId="721C2111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</w:tr>
      <w:tr w:rsidR="00B65A1C" w:rsidRPr="00A608C5" w14:paraId="6CAD2F73" w14:textId="77777777" w:rsidTr="004D5406">
        <w:trPr>
          <w:trHeight w:val="2393"/>
        </w:trPr>
        <w:tc>
          <w:tcPr>
            <w:tcW w:w="492" w:type="pct"/>
            <w:vMerge w:val="restart"/>
            <w:hideMark/>
          </w:tcPr>
          <w:p w14:paraId="38DF8CB7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lastRenderedPageBreak/>
              <w:t xml:space="preserve">Song </w:t>
            </w:r>
            <w:r w:rsidRPr="00A608C5">
              <w:rPr>
                <w:rFonts w:ascii="Times New Roman" w:hAnsi="Times New Roman" w:cs="Times New Roman"/>
                <w:i/>
              </w:rPr>
              <w:t>et al.</w:t>
            </w:r>
            <w:r w:rsidRPr="00A608C5">
              <w:rPr>
                <w:rFonts w:ascii="Times New Roman" w:hAnsi="Times New Roman" w:cs="Times New Roman"/>
              </w:rPr>
              <w:t xml:space="preserve"> </w:t>
            </w:r>
            <w:r w:rsidRPr="00A608C5">
              <w:rPr>
                <w:rFonts w:ascii="Times New Roman" w:hAnsi="Times New Roman" w:cs="Times New Roman"/>
                <w:noProof/>
              </w:rPr>
              <w:t>[23]</w:t>
            </w:r>
            <w:r w:rsidRPr="00A608C5">
              <w:rPr>
                <w:rFonts w:ascii="Times New Roman" w:hAnsi="Times New Roman" w:cs="Times New Roman"/>
              </w:rPr>
              <w:t>, 2011,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Annals of Thoracis Surgery</w:t>
            </w:r>
          </w:p>
        </w:tc>
        <w:tc>
          <w:tcPr>
            <w:tcW w:w="337" w:type="pct"/>
            <w:vMerge w:val="restart"/>
            <w:hideMark/>
          </w:tcPr>
          <w:p w14:paraId="732613DB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147</w:t>
            </w:r>
          </w:p>
        </w:tc>
        <w:tc>
          <w:tcPr>
            <w:tcW w:w="170" w:type="pct"/>
            <w:vMerge w:val="restart"/>
            <w:hideMark/>
          </w:tcPr>
          <w:p w14:paraId="16D4AE6C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48 ± 15</w:t>
            </w:r>
          </w:p>
        </w:tc>
        <w:tc>
          <w:tcPr>
            <w:tcW w:w="237" w:type="pct"/>
            <w:vMerge w:val="restart"/>
            <w:hideMark/>
          </w:tcPr>
          <w:p w14:paraId="7834346E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555" w:type="pct"/>
            <w:vMerge w:val="restart"/>
            <w:hideMark/>
          </w:tcPr>
          <w:p w14:paraId="05CC5FF1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Severe/both</w:t>
            </w:r>
          </w:p>
        </w:tc>
        <w:tc>
          <w:tcPr>
            <w:tcW w:w="355" w:type="pct"/>
            <w:vMerge w:val="restart"/>
            <w:hideMark/>
          </w:tcPr>
          <w:p w14:paraId="0C895D52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Surgery (repair 100%)</w:t>
            </w:r>
          </w:p>
        </w:tc>
        <w:tc>
          <w:tcPr>
            <w:tcW w:w="618" w:type="pct"/>
            <w:vMerge w:val="restart"/>
            <w:hideMark/>
          </w:tcPr>
          <w:p w14:paraId="0CCDD22F" w14:textId="77777777" w:rsidR="0048757D" w:rsidRPr="00A608C5" w:rsidRDefault="0048757D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608C5">
              <w:rPr>
                <w:rFonts w:ascii="Times New Roman" w:hAnsi="Times New Roman" w:cs="Times New Roman"/>
              </w:rPr>
              <w:t>Interobserver: ICC 0.962 (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&lt;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0.001), CV 4.3%;</w:t>
            </w:r>
          </w:p>
          <w:p w14:paraId="4F04FBD0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proofErr w:type="spellStart"/>
            <w:r w:rsidRPr="00A608C5">
              <w:rPr>
                <w:rFonts w:ascii="Times New Roman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hAnsi="Times New Roman" w:cs="Times New Roman"/>
              </w:rPr>
              <w:t>: NA</w:t>
            </w:r>
          </w:p>
        </w:tc>
        <w:tc>
          <w:tcPr>
            <w:tcW w:w="363" w:type="pct"/>
            <w:vMerge w:val="restart"/>
            <w:hideMark/>
          </w:tcPr>
          <w:p w14:paraId="0D3D30E2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63 ± 6.5</w:t>
            </w:r>
          </w:p>
        </w:tc>
        <w:tc>
          <w:tcPr>
            <w:tcW w:w="290" w:type="pct"/>
            <w:vMerge w:val="restart"/>
            <w:hideMark/>
          </w:tcPr>
          <w:p w14:paraId="7F890B2A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38.8 ± 6.0</w:t>
            </w:r>
          </w:p>
        </w:tc>
        <w:tc>
          <w:tcPr>
            <w:tcW w:w="405" w:type="pct"/>
            <w:shd w:val="clear" w:color="auto" w:fill="FFE599"/>
            <w:hideMark/>
          </w:tcPr>
          <w:p w14:paraId="477E4BE2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LVEF &lt;55%</w:t>
            </w:r>
          </w:p>
        </w:tc>
        <w:tc>
          <w:tcPr>
            <w:tcW w:w="327" w:type="pct"/>
            <w:shd w:val="clear" w:color="auto" w:fill="FFE599"/>
            <w:hideMark/>
          </w:tcPr>
          <w:p w14:paraId="5332003B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within 7 days</w:t>
            </w:r>
          </w:p>
        </w:tc>
        <w:tc>
          <w:tcPr>
            <w:tcW w:w="467" w:type="pct"/>
            <w:shd w:val="clear" w:color="auto" w:fill="FFE599"/>
            <w:hideMark/>
          </w:tcPr>
          <w:p w14:paraId="403FBD30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Larger LVESD on multivariate linear regression model was associated with poorer post-operative LVEF (β = </w:t>
            </w:r>
            <w:r w:rsidRPr="00A608C5">
              <w:rPr>
                <w:rFonts w:ascii="Times New Roman" w:eastAsia="等线" w:hAnsi="Times New Roman" w:cs="Times New Roma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>0.428 [</w:t>
            </w:r>
            <w:r w:rsidRPr="00A608C5">
              <w:rPr>
                <w:rFonts w:ascii="Times New Roman" w:eastAsia="等线" w:hAnsi="Times New Roman" w:cs="Times New Roma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>0.713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to </w:t>
            </w:r>
            <w:r w:rsidRPr="00A608C5">
              <w:rPr>
                <w:rFonts w:ascii="Times New Roman" w:eastAsia="等线" w:hAnsi="Times New Roman" w:cs="Times New Roma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 xml:space="preserve">0.143],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hAnsi="Times New Roman" w:cs="Times New Roman"/>
              </w:rPr>
              <w:t xml:space="preserve"> = 0.004).</w:t>
            </w:r>
          </w:p>
        </w:tc>
        <w:tc>
          <w:tcPr>
            <w:tcW w:w="384" w:type="pct"/>
            <w:vMerge w:val="restart"/>
            <w:shd w:val="clear" w:color="auto" w:fill="FFE599"/>
            <w:hideMark/>
          </w:tcPr>
          <w:p w14:paraId="6849A789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LVESD cut-off value 41 mm to predict severe LV dysfunction (LVEF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&lt;35%) with a sensitivity of 100% and a specificity of 69%.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proofErr w:type="spellStart"/>
            <w:r w:rsidRPr="00A608C5">
              <w:rPr>
                <w:rFonts w:ascii="Times New Roman" w:hAnsi="Times New Roman" w:cs="Times New Roman"/>
              </w:rPr>
              <w:t>LVESDi</w:t>
            </w:r>
            <w:proofErr w:type="spellEnd"/>
            <w:r w:rsidRPr="00A608C5">
              <w:rPr>
                <w:rFonts w:ascii="Times New Roman" w:hAnsi="Times New Roman" w:cs="Times New Roman"/>
              </w:rPr>
              <w:t xml:space="preserve"> cut-off value 24.9 mm/m</w:t>
            </w:r>
            <w:r w:rsidRPr="00A608C5">
              <w:rPr>
                <w:rFonts w:ascii="Times New Roman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hAnsi="Times New Roman" w:cs="Times New Roman"/>
              </w:rPr>
              <w:t xml:space="preserve"> to predict severe LV dysfunction (LVEF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&lt;35%) with a sensitivity of 100% and a specificity of 78%.</w:t>
            </w:r>
          </w:p>
        </w:tc>
      </w:tr>
      <w:tr w:rsidR="00B65A1C" w:rsidRPr="00A608C5" w14:paraId="3C18F9F1" w14:textId="77777777" w:rsidTr="004D5406">
        <w:trPr>
          <w:trHeight w:val="550"/>
        </w:trPr>
        <w:tc>
          <w:tcPr>
            <w:tcW w:w="492" w:type="pct"/>
            <w:vMerge/>
            <w:hideMark/>
          </w:tcPr>
          <w:p w14:paraId="4B023235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37" w:type="pct"/>
            <w:vMerge/>
            <w:hideMark/>
          </w:tcPr>
          <w:p w14:paraId="2E4CF698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170" w:type="pct"/>
            <w:vMerge/>
            <w:hideMark/>
          </w:tcPr>
          <w:p w14:paraId="599CE8CE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237" w:type="pct"/>
            <w:vMerge/>
            <w:hideMark/>
          </w:tcPr>
          <w:p w14:paraId="739BFA87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vMerge/>
            <w:hideMark/>
          </w:tcPr>
          <w:p w14:paraId="41E70920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55" w:type="pct"/>
            <w:vMerge/>
            <w:hideMark/>
          </w:tcPr>
          <w:p w14:paraId="5755E2AC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vMerge/>
            <w:hideMark/>
          </w:tcPr>
          <w:p w14:paraId="14E5B65B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63" w:type="pct"/>
            <w:vMerge/>
            <w:hideMark/>
          </w:tcPr>
          <w:p w14:paraId="4B917AAE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290" w:type="pct"/>
            <w:vMerge/>
            <w:hideMark/>
          </w:tcPr>
          <w:p w14:paraId="271C32D7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405" w:type="pct"/>
            <w:shd w:val="clear" w:color="auto" w:fill="FFE599"/>
            <w:hideMark/>
          </w:tcPr>
          <w:p w14:paraId="7FD71C79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LVEF &lt;35%</w:t>
            </w:r>
          </w:p>
        </w:tc>
        <w:tc>
          <w:tcPr>
            <w:tcW w:w="327" w:type="pct"/>
            <w:shd w:val="clear" w:color="auto" w:fill="FFE599"/>
            <w:hideMark/>
          </w:tcPr>
          <w:p w14:paraId="7A6C3AE6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within 7 days</w:t>
            </w:r>
          </w:p>
        </w:tc>
        <w:tc>
          <w:tcPr>
            <w:tcW w:w="467" w:type="pct"/>
            <w:shd w:val="clear" w:color="auto" w:fill="FFE599"/>
            <w:hideMark/>
          </w:tcPr>
          <w:p w14:paraId="251C8DF4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Receiver-operating characteristic curve analysis for predicting severe LV dysfunction showed that area under the curve was 0.899 (0.826</w:t>
            </w:r>
            <w:r w:rsidRPr="00A608C5">
              <w:rPr>
                <w:rFonts w:ascii="Times New Roman" w:eastAsia="等线" w:hAnsi="Times New Roman" w:cs="Times New Roma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>1.000).</w:t>
            </w:r>
          </w:p>
        </w:tc>
        <w:tc>
          <w:tcPr>
            <w:tcW w:w="384" w:type="pct"/>
            <w:vMerge/>
            <w:shd w:val="clear" w:color="auto" w:fill="FFE599"/>
            <w:hideMark/>
          </w:tcPr>
          <w:p w14:paraId="537EA1FB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</w:tr>
      <w:tr w:rsidR="00B65A1C" w:rsidRPr="00A608C5" w14:paraId="58E47857" w14:textId="77777777" w:rsidTr="004D5406">
        <w:trPr>
          <w:trHeight w:val="555"/>
        </w:trPr>
        <w:tc>
          <w:tcPr>
            <w:tcW w:w="492" w:type="pct"/>
            <w:vMerge/>
            <w:hideMark/>
          </w:tcPr>
          <w:p w14:paraId="253971A3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37" w:type="pct"/>
            <w:vMerge/>
            <w:hideMark/>
          </w:tcPr>
          <w:p w14:paraId="27C940F3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170" w:type="pct"/>
            <w:vMerge/>
            <w:hideMark/>
          </w:tcPr>
          <w:p w14:paraId="6ECD6FBC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237" w:type="pct"/>
            <w:vMerge/>
            <w:hideMark/>
          </w:tcPr>
          <w:p w14:paraId="5A4467BF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vMerge/>
            <w:hideMark/>
          </w:tcPr>
          <w:p w14:paraId="0D4CEC52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55" w:type="pct"/>
            <w:vMerge/>
            <w:hideMark/>
          </w:tcPr>
          <w:p w14:paraId="5B12C8C6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vMerge/>
            <w:hideMark/>
          </w:tcPr>
          <w:p w14:paraId="7AAD3C9A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63" w:type="pct"/>
            <w:vMerge/>
            <w:hideMark/>
          </w:tcPr>
          <w:p w14:paraId="62FAD6A1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290" w:type="pct"/>
            <w:vMerge/>
            <w:hideMark/>
          </w:tcPr>
          <w:p w14:paraId="4C08D3E7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405" w:type="pct"/>
            <w:shd w:val="clear" w:color="auto" w:fill="FFE599"/>
            <w:hideMark/>
          </w:tcPr>
          <w:p w14:paraId="09B61099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Late follow-up LVEF</w:t>
            </w:r>
          </w:p>
        </w:tc>
        <w:tc>
          <w:tcPr>
            <w:tcW w:w="327" w:type="pct"/>
            <w:shd w:val="clear" w:color="auto" w:fill="FFE599"/>
            <w:hideMark/>
          </w:tcPr>
          <w:p w14:paraId="28A78298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&gt;3 months</w:t>
            </w:r>
          </w:p>
        </w:tc>
        <w:tc>
          <w:tcPr>
            <w:tcW w:w="467" w:type="pct"/>
            <w:shd w:val="clear" w:color="auto" w:fill="FFE599"/>
            <w:hideMark/>
          </w:tcPr>
          <w:p w14:paraId="3D49BFDC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Larger LVESD on multivariate linear </w:t>
            </w:r>
            <w:r w:rsidRPr="00A608C5">
              <w:rPr>
                <w:rFonts w:ascii="Times New Roman" w:hAnsi="Times New Roman" w:cs="Times New Roman"/>
              </w:rPr>
              <w:lastRenderedPageBreak/>
              <w:t xml:space="preserve">regression model was an independent predictor of late post-operative LVEF (β = </w:t>
            </w:r>
            <w:r w:rsidRPr="00A608C5">
              <w:rPr>
                <w:rFonts w:ascii="Times New Roman" w:eastAsia="等线" w:hAnsi="Times New Roman" w:cs="Times New Roma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>0.248 [</w:t>
            </w:r>
            <w:r w:rsidRPr="00A608C5">
              <w:rPr>
                <w:rFonts w:ascii="Times New Roman" w:eastAsia="等线" w:hAnsi="Times New Roman" w:cs="Times New Roma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>0.413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59525F">
              <w:rPr>
                <w:rFonts w:ascii="Times New Roman" w:eastAsiaTheme="minorEastAsia" w:hAnsi="Times New Roman" w:cs="Times New Roman"/>
                <w:lang w:eastAsia="zh-CN"/>
              </w:rPr>
              <w:t>to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 xml:space="preserve">0.049],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hAnsi="Times New Roman" w:cs="Times New Roman"/>
              </w:rPr>
              <w:t xml:space="preserve"> = 0.004).</w:t>
            </w:r>
          </w:p>
        </w:tc>
        <w:tc>
          <w:tcPr>
            <w:tcW w:w="384" w:type="pct"/>
            <w:shd w:val="clear" w:color="auto" w:fill="FFE599"/>
            <w:hideMark/>
          </w:tcPr>
          <w:p w14:paraId="51522F11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lastRenderedPageBreak/>
              <w:t>NA</w:t>
            </w:r>
          </w:p>
        </w:tc>
      </w:tr>
      <w:tr w:rsidR="00B65A1C" w:rsidRPr="00A608C5" w14:paraId="124118B7" w14:textId="77777777" w:rsidTr="004D5406">
        <w:trPr>
          <w:trHeight w:val="1110"/>
        </w:trPr>
        <w:tc>
          <w:tcPr>
            <w:tcW w:w="492" w:type="pct"/>
            <w:vMerge/>
            <w:hideMark/>
          </w:tcPr>
          <w:p w14:paraId="4FE9814A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37" w:type="pct"/>
            <w:vMerge/>
            <w:hideMark/>
          </w:tcPr>
          <w:p w14:paraId="4C11CC00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170" w:type="pct"/>
            <w:vMerge/>
            <w:hideMark/>
          </w:tcPr>
          <w:p w14:paraId="61CBE6DA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237" w:type="pct"/>
            <w:vMerge/>
            <w:hideMark/>
          </w:tcPr>
          <w:p w14:paraId="666424A4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vMerge/>
            <w:hideMark/>
          </w:tcPr>
          <w:p w14:paraId="2ADE938D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55" w:type="pct"/>
            <w:vMerge/>
            <w:hideMark/>
          </w:tcPr>
          <w:p w14:paraId="37CF583F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618" w:type="pct"/>
            <w:vMerge/>
            <w:hideMark/>
          </w:tcPr>
          <w:p w14:paraId="2879426E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63" w:type="pct"/>
            <w:vMerge/>
            <w:hideMark/>
          </w:tcPr>
          <w:p w14:paraId="4EF62BC2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290" w:type="pct"/>
            <w:vMerge/>
            <w:hideMark/>
          </w:tcPr>
          <w:p w14:paraId="54F99B59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405" w:type="pct"/>
            <w:shd w:val="clear" w:color="auto" w:fill="BDD6EE"/>
            <w:hideMark/>
          </w:tcPr>
          <w:p w14:paraId="06C9986D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Cardiac events (death/hospital admission for heart failure) </w:t>
            </w:r>
          </w:p>
        </w:tc>
        <w:tc>
          <w:tcPr>
            <w:tcW w:w="327" w:type="pct"/>
            <w:shd w:val="clear" w:color="auto" w:fill="BDD6EE"/>
            <w:hideMark/>
          </w:tcPr>
          <w:p w14:paraId="7EE94112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21 ± 17 months (1.8 ± 1.4 years)</w:t>
            </w:r>
          </w:p>
        </w:tc>
        <w:tc>
          <w:tcPr>
            <w:tcW w:w="467" w:type="pct"/>
            <w:shd w:val="clear" w:color="auto" w:fill="BDD6EE"/>
            <w:hideMark/>
          </w:tcPr>
          <w:p w14:paraId="55724793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Larger LVESD on multivariable Cox survival analysis was associated with higher clinical events (HR 1.26 [1.11–1.44] per 1 mm increment,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hAnsi="Times New Roman" w:cs="Times New Roman"/>
              </w:rPr>
              <w:t xml:space="preserve"> &lt; 0.001).</w:t>
            </w:r>
          </w:p>
        </w:tc>
        <w:tc>
          <w:tcPr>
            <w:tcW w:w="384" w:type="pct"/>
            <w:shd w:val="clear" w:color="auto" w:fill="BDD6EE"/>
            <w:hideMark/>
          </w:tcPr>
          <w:p w14:paraId="1C30ABF2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NA</w:t>
            </w:r>
          </w:p>
        </w:tc>
      </w:tr>
      <w:tr w:rsidR="00B65A1C" w:rsidRPr="00A608C5" w14:paraId="44D1385C" w14:textId="77777777" w:rsidTr="004D5406">
        <w:trPr>
          <w:trHeight w:val="983"/>
        </w:trPr>
        <w:tc>
          <w:tcPr>
            <w:tcW w:w="492" w:type="pct"/>
            <w:hideMark/>
          </w:tcPr>
          <w:p w14:paraId="665DE7FD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Tribouilloy</w:t>
            </w:r>
            <w:proofErr w:type="spellEnd"/>
            <w:r w:rsidRPr="00A608C5">
              <w:rPr>
                <w:rFonts w:ascii="Times New Roman" w:eastAsia="等线" w:hAnsi="Times New Roman" w:cs="Times New Roman"/>
                <w:i/>
              </w:rPr>
              <w:t xml:space="preserve"> 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[22]</w:t>
            </w:r>
            <w:r w:rsidRPr="00A608C5">
              <w:rPr>
                <w:rFonts w:ascii="Times New Roman" w:eastAsia="等线" w:hAnsi="Times New Roman" w:cs="Times New Roman"/>
              </w:rPr>
              <w:t xml:space="preserve">, 2011,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Eur J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t>Echocardiogr</w:t>
            </w:r>
            <w:proofErr w:type="spellEnd"/>
          </w:p>
        </w:tc>
        <w:tc>
          <w:tcPr>
            <w:tcW w:w="337" w:type="pct"/>
            <w:hideMark/>
          </w:tcPr>
          <w:p w14:paraId="3B99C800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335</w:t>
            </w:r>
          </w:p>
        </w:tc>
        <w:tc>
          <w:tcPr>
            <w:tcW w:w="170" w:type="pct"/>
            <w:hideMark/>
          </w:tcPr>
          <w:p w14:paraId="159A81D8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65 ± 11</w:t>
            </w:r>
          </w:p>
        </w:tc>
        <w:tc>
          <w:tcPr>
            <w:tcW w:w="237" w:type="pct"/>
            <w:hideMark/>
          </w:tcPr>
          <w:p w14:paraId="6373E6C7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30</w:t>
            </w:r>
          </w:p>
        </w:tc>
        <w:tc>
          <w:tcPr>
            <w:tcW w:w="555" w:type="pct"/>
            <w:hideMark/>
          </w:tcPr>
          <w:p w14:paraId="706939AE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Severe/both</w:t>
            </w:r>
          </w:p>
        </w:tc>
        <w:tc>
          <w:tcPr>
            <w:tcW w:w="355" w:type="pct"/>
            <w:hideMark/>
          </w:tcPr>
          <w:p w14:paraId="0FD6BCCD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100%)</w:t>
            </w:r>
          </w:p>
        </w:tc>
        <w:tc>
          <w:tcPr>
            <w:tcW w:w="618" w:type="pct"/>
            <w:hideMark/>
          </w:tcPr>
          <w:p w14:paraId="3C15D03A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363" w:type="pct"/>
            <w:hideMark/>
          </w:tcPr>
          <w:p w14:paraId="2BE20D0D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68 ± 9</w:t>
            </w:r>
          </w:p>
        </w:tc>
        <w:tc>
          <w:tcPr>
            <w:tcW w:w="290" w:type="pct"/>
            <w:hideMark/>
          </w:tcPr>
          <w:p w14:paraId="1A1B663F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37 ± 7</w:t>
            </w:r>
          </w:p>
        </w:tc>
        <w:tc>
          <w:tcPr>
            <w:tcW w:w="405" w:type="pct"/>
            <w:shd w:val="clear" w:color="auto" w:fill="FFE599"/>
            <w:hideMark/>
          </w:tcPr>
          <w:p w14:paraId="282E2D0B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LVEF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&lt;50%</w:t>
            </w:r>
          </w:p>
        </w:tc>
        <w:tc>
          <w:tcPr>
            <w:tcW w:w="327" w:type="pct"/>
            <w:shd w:val="clear" w:color="auto" w:fill="FFE599"/>
            <w:hideMark/>
          </w:tcPr>
          <w:p w14:paraId="0E82D4A4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10.8 (9.1</w:t>
            </w: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12.0) months</w:t>
            </w:r>
          </w:p>
        </w:tc>
        <w:tc>
          <w:tcPr>
            <w:tcW w:w="467" w:type="pct"/>
            <w:shd w:val="clear" w:color="auto" w:fill="FFE599"/>
            <w:hideMark/>
          </w:tcPr>
          <w:p w14:paraId="4C2462A8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  <w:lang w:eastAsia="zh-C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Larger LVESD as continuous variable on multivariate logistic regression was an independent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predictor of post-operative LV dysfunction (adjusted OR 1.03 [1.02–1.07] per 1 mm increment,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0.03).</w:t>
            </w:r>
          </w:p>
          <w:p w14:paraId="2AE9A106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LVESD ≥37 mm or/and LVEF &lt;64% as categorical variable on multivariate logistic regression were associated with post-operative LV dysfunction (OR 2.63 [1.29–5.40],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0.008; OR 3,78 [1.88–7.63],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0.001).</w:t>
            </w:r>
          </w:p>
          <w:p w14:paraId="5FD31C6C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Incremental prognostic value of LVESD ≥37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mm or/and LVEF &lt;64% was demonstrated (AUC 0.64→0.74→0.83 [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&lt; 0.001]).</w:t>
            </w:r>
          </w:p>
        </w:tc>
        <w:tc>
          <w:tcPr>
            <w:tcW w:w="384" w:type="pct"/>
            <w:shd w:val="clear" w:color="auto" w:fill="FFE599"/>
            <w:hideMark/>
          </w:tcPr>
          <w:p w14:paraId="40F652BF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LVESD cut-off value 37 mm to predict LV dysfunction (AUC 0.69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[0.58</w:t>
            </w: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0.76]).</w:t>
            </w:r>
          </w:p>
        </w:tc>
      </w:tr>
      <w:tr w:rsidR="00B65A1C" w:rsidRPr="00A608C5" w14:paraId="743E7304" w14:textId="77777777" w:rsidTr="004D5406">
        <w:trPr>
          <w:trHeight w:val="1253"/>
        </w:trPr>
        <w:tc>
          <w:tcPr>
            <w:tcW w:w="492" w:type="pct"/>
            <w:hideMark/>
          </w:tcPr>
          <w:p w14:paraId="296C0C7F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proofErr w:type="spellStart"/>
            <w:r w:rsidRPr="00A608C5">
              <w:rPr>
                <w:rFonts w:ascii="Times New Roman" w:hAnsi="Times New Roman" w:cs="Times New Roman"/>
              </w:rPr>
              <w:lastRenderedPageBreak/>
              <w:t>Mascle</w:t>
            </w:r>
            <w:proofErr w:type="spellEnd"/>
            <w:r w:rsidRPr="00A608C5">
              <w:rPr>
                <w:rFonts w:ascii="Times New Roman" w:hAnsi="Times New Roman" w:cs="Times New Roman"/>
              </w:rPr>
              <w:t xml:space="preserve"> </w:t>
            </w:r>
            <w:r w:rsidRPr="00A608C5">
              <w:rPr>
                <w:rFonts w:ascii="Times New Roman" w:hAnsi="Times New Roman" w:cs="Times New Roman"/>
                <w:i/>
              </w:rPr>
              <w:t>et al</w:t>
            </w:r>
            <w:r w:rsidRPr="00A608C5">
              <w:rPr>
                <w:rFonts w:ascii="Times New Roman" w:hAnsi="Times New Roman" w:cs="Times New Roman"/>
                <w:iCs/>
              </w:rPr>
              <w:t>.</w:t>
            </w:r>
            <w:r w:rsidRPr="00A608C5">
              <w:rPr>
                <w:rFonts w:ascii="Times New Roman" w:hAnsi="Times New Roman" w:cs="Times New Roman"/>
              </w:rPr>
              <w:t xml:space="preserve"> </w:t>
            </w:r>
            <w:r w:rsidRPr="00A608C5">
              <w:rPr>
                <w:rFonts w:ascii="Times New Roman" w:hAnsi="Times New Roman" w:cs="Times New Roman"/>
                <w:noProof/>
              </w:rPr>
              <w:t>[21]</w:t>
            </w:r>
            <w:r w:rsidRPr="00A608C5">
              <w:rPr>
                <w:rFonts w:ascii="Times New Roman" w:hAnsi="Times New Roman" w:cs="Times New Roman"/>
              </w:rPr>
              <w:t xml:space="preserve">, 2012,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 xml:space="preserve">J Am Soc </w:t>
            </w:r>
            <w:proofErr w:type="spellStart"/>
            <w:r w:rsidRPr="00A608C5">
              <w:rPr>
                <w:rFonts w:ascii="Times New Roman" w:hAnsi="Times New Roman" w:cs="Times New Roman"/>
                <w:i/>
                <w:iCs/>
              </w:rPr>
              <w:t>Echocardiogr</w:t>
            </w:r>
            <w:proofErr w:type="spellEnd"/>
          </w:p>
        </w:tc>
        <w:tc>
          <w:tcPr>
            <w:tcW w:w="337" w:type="pct"/>
            <w:hideMark/>
          </w:tcPr>
          <w:p w14:paraId="31282D45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170" w:type="pct"/>
            <w:hideMark/>
          </w:tcPr>
          <w:p w14:paraId="6D5D6E54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63 ± 13</w:t>
            </w:r>
          </w:p>
        </w:tc>
        <w:tc>
          <w:tcPr>
            <w:tcW w:w="237" w:type="pct"/>
            <w:hideMark/>
          </w:tcPr>
          <w:p w14:paraId="345E8A8C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555" w:type="pct"/>
            <w:hideMark/>
          </w:tcPr>
          <w:p w14:paraId="29F5E46B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Severe/both</w:t>
            </w:r>
          </w:p>
        </w:tc>
        <w:tc>
          <w:tcPr>
            <w:tcW w:w="355" w:type="pct"/>
            <w:hideMark/>
          </w:tcPr>
          <w:p w14:paraId="5948A241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Surgery (repair 81.8%, replacement 18.2%)</w:t>
            </w:r>
          </w:p>
        </w:tc>
        <w:tc>
          <w:tcPr>
            <w:tcW w:w="618" w:type="pct"/>
            <w:hideMark/>
          </w:tcPr>
          <w:p w14:paraId="52857918" w14:textId="77777777" w:rsidR="0048757D" w:rsidRPr="00A608C5" w:rsidRDefault="0048757D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608C5">
              <w:rPr>
                <w:rFonts w:ascii="Times New Roman" w:hAnsi="Times New Roman" w:cs="Times New Roman"/>
              </w:rPr>
              <w:t>Interobserver: absolute difference 0.7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 xml:space="preserve">0.7; </w:t>
            </w:r>
          </w:p>
          <w:p w14:paraId="6583739F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proofErr w:type="spellStart"/>
            <w:r w:rsidRPr="00A608C5">
              <w:rPr>
                <w:rFonts w:ascii="Times New Roman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hAnsi="Times New Roman" w:cs="Times New Roman"/>
              </w:rPr>
              <w:t>: absolute difference 0.4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363" w:type="pct"/>
            <w:hideMark/>
          </w:tcPr>
          <w:p w14:paraId="7EF775CC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66 ± 7</w:t>
            </w:r>
          </w:p>
        </w:tc>
        <w:tc>
          <w:tcPr>
            <w:tcW w:w="290" w:type="pct"/>
            <w:hideMark/>
          </w:tcPr>
          <w:p w14:paraId="766F078C" w14:textId="77777777" w:rsidR="0048757D" w:rsidRPr="00A608C5" w:rsidRDefault="0048757D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608C5">
              <w:rPr>
                <w:rFonts w:ascii="Times New Roman" w:hAnsi="Times New Roman" w:cs="Times New Roman"/>
              </w:rPr>
              <w:t>LVESD: 36 ± 6.1 (mm);</w:t>
            </w:r>
          </w:p>
          <w:p w14:paraId="1C816A31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proofErr w:type="spellStart"/>
            <w:r w:rsidRPr="00A608C5">
              <w:rPr>
                <w:rFonts w:ascii="Times New Roman" w:hAnsi="Times New Roman" w:cs="Times New Roman"/>
              </w:rPr>
              <w:t>LVESDi</w:t>
            </w:r>
            <w:proofErr w:type="spellEnd"/>
            <w:r w:rsidRPr="00A608C5">
              <w:rPr>
                <w:rFonts w:ascii="Times New Roman" w:hAnsi="Times New Roman" w:cs="Times New Roman"/>
              </w:rPr>
              <w:t>: 19.7 ± 3.6 (mm/m</w:t>
            </w:r>
            <w:r w:rsidRPr="00A608C5">
              <w:rPr>
                <w:rFonts w:ascii="Times New Roman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hAnsi="Times New Roman" w:cs="Times New Roman"/>
              </w:rPr>
              <w:t>);</w:t>
            </w:r>
          </w:p>
        </w:tc>
        <w:tc>
          <w:tcPr>
            <w:tcW w:w="405" w:type="pct"/>
            <w:shd w:val="clear" w:color="auto" w:fill="FFE599"/>
            <w:hideMark/>
          </w:tcPr>
          <w:p w14:paraId="2BD395AC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LVEF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&lt;50%</w:t>
            </w:r>
          </w:p>
        </w:tc>
        <w:tc>
          <w:tcPr>
            <w:tcW w:w="327" w:type="pct"/>
            <w:shd w:val="clear" w:color="auto" w:fill="FFE599"/>
            <w:hideMark/>
          </w:tcPr>
          <w:p w14:paraId="6F219FFA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6 ± 1 months</w:t>
            </w:r>
          </w:p>
        </w:tc>
        <w:tc>
          <w:tcPr>
            <w:tcW w:w="467" w:type="pct"/>
            <w:shd w:val="clear" w:color="auto" w:fill="FFE599"/>
            <w:hideMark/>
          </w:tcPr>
          <w:p w14:paraId="7803385F" w14:textId="77777777" w:rsidR="0048757D" w:rsidRPr="00A608C5" w:rsidRDefault="0048757D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608C5">
              <w:rPr>
                <w:rFonts w:ascii="Times New Roman" w:hAnsi="Times New Roman" w:cs="Times New Roman"/>
              </w:rPr>
              <w:t>Larger LVESD on univariate linear regression analysis was associated with worse post-operative LV function (r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 xml:space="preserve">= </w:t>
            </w:r>
            <w:r w:rsidRPr="00A608C5">
              <w:rPr>
                <w:rFonts w:ascii="Times New Roman" w:eastAsia="等线" w:hAnsi="Times New Roman" w:cs="Times New Roma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 xml:space="preserve">0.46,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hAnsi="Times New Roman" w:cs="Times New Roman"/>
              </w:rPr>
              <w:t xml:space="preserve"> &lt;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 xml:space="preserve">0.001); </w:t>
            </w:r>
          </w:p>
          <w:p w14:paraId="2E968CC6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proofErr w:type="spellStart"/>
            <w:r w:rsidRPr="00A608C5">
              <w:rPr>
                <w:rFonts w:ascii="Times New Roman" w:hAnsi="Times New Roman" w:cs="Times New Roman"/>
              </w:rPr>
              <w:t>LVESDi</w:t>
            </w:r>
            <w:proofErr w:type="spellEnd"/>
            <w:r w:rsidRPr="00A608C5">
              <w:rPr>
                <w:rFonts w:ascii="Times New Roman" w:hAnsi="Times New Roman" w:cs="Times New Roman"/>
              </w:rPr>
              <w:t xml:space="preserve"> ≥22 mm/m</w:t>
            </w:r>
            <w:r w:rsidRPr="00A608C5">
              <w:rPr>
                <w:rFonts w:ascii="Times New Roman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hAnsi="Times New Roman" w:cs="Times New Roman"/>
              </w:rPr>
              <w:t xml:space="preserve"> on multivariate logistic regression was associated with post-operative LV dysfunction (OR 4.2 [1.4</w:t>
            </w:r>
            <w:r w:rsidRPr="00A608C5">
              <w:rPr>
                <w:rFonts w:ascii="Times New Roman" w:eastAsia="等线" w:hAnsi="Times New Roman" w:cs="Times New Roma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 xml:space="preserve">13],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hAnsi="Times New Roman" w:cs="Times New Roman"/>
              </w:rPr>
              <w:t xml:space="preserve"> 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lastRenderedPageBreak/>
              <w:t xml:space="preserve">0.02). </w:t>
            </w:r>
          </w:p>
        </w:tc>
        <w:tc>
          <w:tcPr>
            <w:tcW w:w="384" w:type="pct"/>
            <w:shd w:val="clear" w:color="auto" w:fill="FFE599"/>
            <w:hideMark/>
          </w:tcPr>
          <w:p w14:paraId="60A34FEF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proofErr w:type="spellStart"/>
            <w:r w:rsidRPr="00A608C5">
              <w:rPr>
                <w:rFonts w:ascii="Times New Roman" w:hAnsi="Times New Roman" w:cs="Times New Roman"/>
              </w:rPr>
              <w:lastRenderedPageBreak/>
              <w:t>LVESDi</w:t>
            </w:r>
            <w:proofErr w:type="spellEnd"/>
            <w:r w:rsidRPr="00A608C5">
              <w:rPr>
                <w:rFonts w:ascii="Times New Roman" w:hAnsi="Times New Roman" w:cs="Times New Roman"/>
              </w:rPr>
              <w:t xml:space="preserve"> cut-off value 22 mm/m</w:t>
            </w:r>
            <w:r w:rsidRPr="00A608C5">
              <w:rPr>
                <w:rFonts w:ascii="Times New Roman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hAnsi="Times New Roman" w:cs="Times New Roman"/>
              </w:rPr>
              <w:t xml:space="preserve"> to predict LV dysfunction with a sensitivity of 53% and a specificity of 78% (AUC 0.71).</w:t>
            </w:r>
          </w:p>
        </w:tc>
      </w:tr>
      <w:tr w:rsidR="00B65A1C" w:rsidRPr="00A608C5" w14:paraId="26414BC4" w14:textId="77777777" w:rsidTr="004D5406">
        <w:trPr>
          <w:trHeight w:val="1258"/>
        </w:trPr>
        <w:tc>
          <w:tcPr>
            <w:tcW w:w="492" w:type="pct"/>
            <w:hideMark/>
          </w:tcPr>
          <w:p w14:paraId="1ACF4F93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Witkowski </w:t>
            </w:r>
            <w:r w:rsidRPr="00A608C5">
              <w:rPr>
                <w:rFonts w:ascii="Times New Roman" w:hAnsi="Times New Roman" w:cs="Times New Roman"/>
                <w:i/>
              </w:rPr>
              <w:t>et al</w:t>
            </w:r>
            <w:r w:rsidRPr="00A608C5">
              <w:rPr>
                <w:rFonts w:ascii="Times New Roman" w:hAnsi="Times New Roman" w:cs="Times New Roman"/>
                <w:iCs/>
              </w:rPr>
              <w:t>.</w:t>
            </w:r>
            <w:r w:rsidRPr="00A608C5">
              <w:rPr>
                <w:rFonts w:ascii="Times New Roman" w:hAnsi="Times New Roman" w:cs="Times New Roman"/>
              </w:rPr>
              <w:t xml:space="preserve"> </w:t>
            </w:r>
            <w:r w:rsidRPr="00A608C5">
              <w:rPr>
                <w:rFonts w:ascii="Times New Roman" w:hAnsi="Times New Roman" w:cs="Times New Roman"/>
                <w:noProof/>
              </w:rPr>
              <w:t>[20]</w:t>
            </w:r>
            <w:r w:rsidRPr="00A608C5">
              <w:rPr>
                <w:rFonts w:ascii="Times New Roman" w:hAnsi="Times New Roman" w:cs="Times New Roman"/>
              </w:rPr>
              <w:t xml:space="preserve">, 2013,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 xml:space="preserve">Eur Heart J Cardiovasc Imaging </w:t>
            </w:r>
          </w:p>
        </w:tc>
        <w:tc>
          <w:tcPr>
            <w:tcW w:w="337" w:type="pct"/>
            <w:hideMark/>
          </w:tcPr>
          <w:p w14:paraId="1E2C7C44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233</w:t>
            </w:r>
          </w:p>
        </w:tc>
        <w:tc>
          <w:tcPr>
            <w:tcW w:w="170" w:type="pct"/>
            <w:hideMark/>
          </w:tcPr>
          <w:p w14:paraId="2BA80995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61 ± 12</w:t>
            </w:r>
          </w:p>
        </w:tc>
        <w:tc>
          <w:tcPr>
            <w:tcW w:w="237" w:type="pct"/>
            <w:hideMark/>
          </w:tcPr>
          <w:p w14:paraId="68845A8A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555" w:type="pct"/>
            <w:hideMark/>
          </w:tcPr>
          <w:p w14:paraId="38924FED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Moderate to severe/both</w:t>
            </w:r>
          </w:p>
        </w:tc>
        <w:tc>
          <w:tcPr>
            <w:tcW w:w="355" w:type="pct"/>
            <w:hideMark/>
          </w:tcPr>
          <w:p w14:paraId="6011113C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Surgery (repair 100%)</w:t>
            </w:r>
          </w:p>
        </w:tc>
        <w:tc>
          <w:tcPr>
            <w:tcW w:w="618" w:type="pct"/>
            <w:hideMark/>
          </w:tcPr>
          <w:p w14:paraId="09CF1858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363" w:type="pct"/>
            <w:hideMark/>
          </w:tcPr>
          <w:p w14:paraId="68E5B0DF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66 ± 9</w:t>
            </w:r>
          </w:p>
        </w:tc>
        <w:tc>
          <w:tcPr>
            <w:tcW w:w="290" w:type="pct"/>
            <w:hideMark/>
          </w:tcPr>
          <w:p w14:paraId="4EBF5119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31 ± 6</w:t>
            </w:r>
          </w:p>
        </w:tc>
        <w:tc>
          <w:tcPr>
            <w:tcW w:w="405" w:type="pct"/>
            <w:shd w:val="clear" w:color="auto" w:fill="FFE599"/>
            <w:hideMark/>
          </w:tcPr>
          <w:p w14:paraId="1C97101D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LVEF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&lt;50%</w:t>
            </w:r>
          </w:p>
        </w:tc>
        <w:tc>
          <w:tcPr>
            <w:tcW w:w="327" w:type="pct"/>
            <w:shd w:val="clear" w:color="auto" w:fill="FFE599"/>
            <w:hideMark/>
          </w:tcPr>
          <w:p w14:paraId="6A51EED1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34 ± 20 months (2.8 ± 1.7 years)</w:t>
            </w:r>
          </w:p>
        </w:tc>
        <w:tc>
          <w:tcPr>
            <w:tcW w:w="467" w:type="pct"/>
            <w:shd w:val="clear" w:color="auto" w:fill="FFE599"/>
            <w:hideMark/>
          </w:tcPr>
          <w:p w14:paraId="6443B04D" w14:textId="77777777" w:rsidR="0048757D" w:rsidRPr="00A608C5" w:rsidRDefault="0048757D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608C5">
              <w:rPr>
                <w:rFonts w:ascii="Times New Roman" w:hAnsi="Times New Roman" w:cs="Times New Roman"/>
              </w:rPr>
              <w:t>Larger LVESD on multivariate linear regression analysis was associated with poorer post-operative LV function (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hAnsi="Times New Roman" w:cs="Times New Roman"/>
              </w:rPr>
              <w:t xml:space="preserve"> &lt;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 xml:space="preserve">0.001 of all models); </w:t>
            </w:r>
          </w:p>
          <w:p w14:paraId="13CF54CA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LVESD ≥40 mm on multivariate logistic regression was associated with post-operative LV dysfunction (OR 6.71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[1.91</w:t>
            </w:r>
            <w:r w:rsidRPr="00A608C5">
              <w:rPr>
                <w:rFonts w:ascii="Times New Roman" w:eastAsia="等线" w:hAnsi="Times New Roman" w:cs="Times New Roma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 xml:space="preserve">23.52],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hAnsi="Times New Roman" w:cs="Times New Roman"/>
              </w:rPr>
              <w:t xml:space="preserve"> 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 xml:space="preserve">0.003). </w:t>
            </w:r>
          </w:p>
        </w:tc>
        <w:tc>
          <w:tcPr>
            <w:tcW w:w="384" w:type="pct"/>
            <w:shd w:val="clear" w:color="auto" w:fill="FFE599"/>
            <w:hideMark/>
          </w:tcPr>
          <w:p w14:paraId="13F4828E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NA</w:t>
            </w:r>
          </w:p>
        </w:tc>
      </w:tr>
      <w:tr w:rsidR="00B65A1C" w:rsidRPr="00A608C5" w14:paraId="650A3E62" w14:textId="77777777" w:rsidTr="004D5406">
        <w:trPr>
          <w:trHeight w:val="833"/>
        </w:trPr>
        <w:tc>
          <w:tcPr>
            <w:tcW w:w="492" w:type="pct"/>
            <w:hideMark/>
          </w:tcPr>
          <w:p w14:paraId="3204714D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Kitai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[19]</w:t>
            </w:r>
            <w:r w:rsidRPr="00A608C5">
              <w:rPr>
                <w:rFonts w:ascii="Times New Roman" w:eastAsia="等线" w:hAnsi="Times New Roman" w:cs="Times New Roman"/>
              </w:rPr>
              <w:t>, 2014,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J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t>Thorac</w:t>
            </w:r>
            <w:proofErr w:type="spellEnd"/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Cardiovasc Surg</w:t>
            </w:r>
          </w:p>
        </w:tc>
        <w:tc>
          <w:tcPr>
            <w:tcW w:w="337" w:type="pct"/>
            <w:hideMark/>
          </w:tcPr>
          <w:p w14:paraId="6F7B5B4E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473</w:t>
            </w:r>
          </w:p>
        </w:tc>
        <w:tc>
          <w:tcPr>
            <w:tcW w:w="170" w:type="pct"/>
            <w:hideMark/>
          </w:tcPr>
          <w:p w14:paraId="6A6AB259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57 ± 14</w:t>
            </w:r>
          </w:p>
        </w:tc>
        <w:tc>
          <w:tcPr>
            <w:tcW w:w="237" w:type="pct"/>
            <w:hideMark/>
          </w:tcPr>
          <w:p w14:paraId="1A48F9A5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45</w:t>
            </w:r>
          </w:p>
        </w:tc>
        <w:tc>
          <w:tcPr>
            <w:tcW w:w="555" w:type="pct"/>
            <w:hideMark/>
          </w:tcPr>
          <w:p w14:paraId="7C9DE556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Severe/both</w:t>
            </w:r>
          </w:p>
        </w:tc>
        <w:tc>
          <w:tcPr>
            <w:tcW w:w="355" w:type="pct"/>
            <w:hideMark/>
          </w:tcPr>
          <w:p w14:paraId="50740F80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100%)</w:t>
            </w:r>
          </w:p>
        </w:tc>
        <w:tc>
          <w:tcPr>
            <w:tcW w:w="618" w:type="pct"/>
            <w:hideMark/>
          </w:tcPr>
          <w:p w14:paraId="0F8373B3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363" w:type="pct"/>
            <w:hideMark/>
          </w:tcPr>
          <w:p w14:paraId="40FA5778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64 ± 10</w:t>
            </w:r>
          </w:p>
        </w:tc>
        <w:tc>
          <w:tcPr>
            <w:tcW w:w="290" w:type="pct"/>
            <w:hideMark/>
          </w:tcPr>
          <w:p w14:paraId="5EFA6E55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35 ± 8</w:t>
            </w:r>
          </w:p>
        </w:tc>
        <w:tc>
          <w:tcPr>
            <w:tcW w:w="405" w:type="pct"/>
            <w:shd w:val="clear" w:color="auto" w:fill="FFE599"/>
            <w:hideMark/>
          </w:tcPr>
          <w:p w14:paraId="4867A79E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LVEF &lt;50%</w:t>
            </w:r>
          </w:p>
        </w:tc>
        <w:tc>
          <w:tcPr>
            <w:tcW w:w="327" w:type="pct"/>
            <w:shd w:val="clear" w:color="auto" w:fill="FFE599"/>
            <w:hideMark/>
          </w:tcPr>
          <w:p w14:paraId="4B963216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 years</w:t>
            </w:r>
          </w:p>
        </w:tc>
        <w:tc>
          <w:tcPr>
            <w:tcW w:w="467" w:type="pct"/>
            <w:shd w:val="clear" w:color="auto" w:fill="FFE599"/>
            <w:hideMark/>
          </w:tcPr>
          <w:p w14:paraId="5C0C6017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Larger LVESD on multivariate Cox survival analysis was independent predictor of post-operative LV dysfunction (OR 1.11 [1.05–1.17],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0.001).</w:t>
            </w:r>
          </w:p>
        </w:tc>
        <w:tc>
          <w:tcPr>
            <w:tcW w:w="384" w:type="pct"/>
            <w:shd w:val="clear" w:color="auto" w:fill="FFE599"/>
            <w:hideMark/>
          </w:tcPr>
          <w:p w14:paraId="61CF33FC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LVESD cut-off value 39 mm or greater to predict LV dysfunction (AUC 0.724 [0.650–0.799],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0.001).</w:t>
            </w:r>
          </w:p>
        </w:tc>
      </w:tr>
      <w:tr w:rsidR="00B65A1C" w:rsidRPr="00A608C5" w14:paraId="6B20DDDB" w14:textId="77777777" w:rsidTr="004D5406">
        <w:trPr>
          <w:trHeight w:val="1110"/>
        </w:trPr>
        <w:tc>
          <w:tcPr>
            <w:tcW w:w="492" w:type="pct"/>
            <w:hideMark/>
          </w:tcPr>
          <w:p w14:paraId="55082EC2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Candan </w:t>
            </w:r>
            <w:r w:rsidRPr="00A608C5">
              <w:rPr>
                <w:rFonts w:ascii="Times New Roman" w:hAnsi="Times New Roman" w:cs="Times New Roman"/>
                <w:i/>
              </w:rPr>
              <w:t>et al.</w:t>
            </w:r>
            <w:r w:rsidRPr="00A608C5">
              <w:rPr>
                <w:rFonts w:ascii="Times New Roman" w:hAnsi="Times New Roman" w:cs="Times New Roman"/>
              </w:rPr>
              <w:t xml:space="preserve"> </w:t>
            </w:r>
            <w:r w:rsidRPr="00A608C5">
              <w:rPr>
                <w:rFonts w:ascii="Times New Roman" w:hAnsi="Times New Roman" w:cs="Times New Roman"/>
                <w:noProof/>
              </w:rPr>
              <w:t>[18]</w:t>
            </w:r>
            <w:r w:rsidRPr="00A608C5">
              <w:rPr>
                <w:rFonts w:ascii="Times New Roman" w:hAnsi="Times New Roman" w:cs="Times New Roman"/>
              </w:rPr>
              <w:t xml:space="preserve">, 2017,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Echocardiography</w:t>
            </w:r>
          </w:p>
        </w:tc>
        <w:tc>
          <w:tcPr>
            <w:tcW w:w="337" w:type="pct"/>
            <w:hideMark/>
          </w:tcPr>
          <w:p w14:paraId="35F6BDAA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70" w:type="pct"/>
            <w:hideMark/>
          </w:tcPr>
          <w:p w14:paraId="55D6FFE5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46.7 ± 13</w:t>
            </w:r>
          </w:p>
        </w:tc>
        <w:tc>
          <w:tcPr>
            <w:tcW w:w="237" w:type="pct"/>
            <w:hideMark/>
          </w:tcPr>
          <w:p w14:paraId="3423C591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555" w:type="pct"/>
            <w:hideMark/>
          </w:tcPr>
          <w:p w14:paraId="5B5F0931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Severe/asymptomatic</w:t>
            </w:r>
          </w:p>
        </w:tc>
        <w:tc>
          <w:tcPr>
            <w:tcW w:w="355" w:type="pct"/>
            <w:hideMark/>
          </w:tcPr>
          <w:p w14:paraId="67F07B82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Surgery (repair 79%, replacement 21%)</w:t>
            </w:r>
          </w:p>
        </w:tc>
        <w:tc>
          <w:tcPr>
            <w:tcW w:w="618" w:type="pct"/>
            <w:hideMark/>
          </w:tcPr>
          <w:p w14:paraId="0FBF1AD9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363" w:type="pct"/>
            <w:hideMark/>
          </w:tcPr>
          <w:p w14:paraId="3175AA89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65.2 ± 8</w:t>
            </w:r>
          </w:p>
        </w:tc>
        <w:tc>
          <w:tcPr>
            <w:tcW w:w="290" w:type="pct"/>
            <w:hideMark/>
          </w:tcPr>
          <w:p w14:paraId="0A1C09FD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34.7 ± 8.1</w:t>
            </w:r>
          </w:p>
        </w:tc>
        <w:tc>
          <w:tcPr>
            <w:tcW w:w="405" w:type="pct"/>
            <w:shd w:val="clear" w:color="auto" w:fill="FFE599"/>
            <w:hideMark/>
          </w:tcPr>
          <w:p w14:paraId="70B7D592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LVEF &lt;50%</w:t>
            </w:r>
          </w:p>
        </w:tc>
        <w:tc>
          <w:tcPr>
            <w:tcW w:w="327" w:type="pct"/>
            <w:shd w:val="clear" w:color="auto" w:fill="FFE599"/>
            <w:hideMark/>
          </w:tcPr>
          <w:p w14:paraId="578937C0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6 months</w:t>
            </w:r>
          </w:p>
        </w:tc>
        <w:tc>
          <w:tcPr>
            <w:tcW w:w="467" w:type="pct"/>
            <w:shd w:val="clear" w:color="auto" w:fill="FFE599"/>
            <w:hideMark/>
          </w:tcPr>
          <w:p w14:paraId="462CA860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Larger LVESD on univariate linear regression analysis was associated with poorer post-operative LVEF (r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 xml:space="preserve">= </w:t>
            </w:r>
            <w:r w:rsidRPr="00A608C5">
              <w:rPr>
                <w:rFonts w:ascii="Times New Roman" w:eastAsia="等线" w:hAnsi="Times New Roman" w:cs="Times New Roma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 xml:space="preserve">0.59;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&lt;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 xml:space="preserve">0.001); </w:t>
            </w:r>
          </w:p>
          <w:p w14:paraId="3A444CBB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LVESD on multivariate logistic regression analysis was associated with post-</w:t>
            </w:r>
            <w:r w:rsidRPr="00A608C5">
              <w:rPr>
                <w:rFonts w:ascii="Times New Roman" w:hAnsi="Times New Roman" w:cs="Times New Roman"/>
              </w:rPr>
              <w:lastRenderedPageBreak/>
              <w:t xml:space="preserve">operative LV dysfunction (adjusted OR 5.3 [1.6–17.8],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0.006).</w:t>
            </w:r>
          </w:p>
        </w:tc>
        <w:tc>
          <w:tcPr>
            <w:tcW w:w="384" w:type="pct"/>
            <w:shd w:val="clear" w:color="auto" w:fill="FFE599"/>
            <w:hideMark/>
          </w:tcPr>
          <w:p w14:paraId="69408450" w14:textId="77777777" w:rsidR="0048757D" w:rsidRPr="00A608C5" w:rsidRDefault="0048757D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lastRenderedPageBreak/>
              <w:t>NA</w:t>
            </w:r>
          </w:p>
        </w:tc>
      </w:tr>
      <w:tr w:rsidR="00B65A1C" w:rsidRPr="00A608C5" w14:paraId="62C5278D" w14:textId="77777777" w:rsidTr="004D5406">
        <w:trPr>
          <w:trHeight w:val="555"/>
        </w:trPr>
        <w:tc>
          <w:tcPr>
            <w:tcW w:w="492" w:type="pct"/>
            <w:vMerge w:val="restart"/>
            <w:hideMark/>
          </w:tcPr>
          <w:p w14:paraId="66EC10DE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Zhou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[16]</w:t>
            </w:r>
            <w:r w:rsidRPr="00A608C5">
              <w:rPr>
                <w:rFonts w:ascii="Times New Roman" w:eastAsia="等线" w:hAnsi="Times New Roman" w:cs="Times New Roman"/>
              </w:rPr>
              <w:t xml:space="preserve">, 2018,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Ann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t>Thorac</w:t>
            </w:r>
            <w:proofErr w:type="spellEnd"/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Surg</w:t>
            </w:r>
          </w:p>
        </w:tc>
        <w:tc>
          <w:tcPr>
            <w:tcW w:w="337" w:type="pct"/>
            <w:vMerge w:val="restart"/>
            <w:hideMark/>
          </w:tcPr>
          <w:p w14:paraId="09500DA9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1903</w:t>
            </w:r>
          </w:p>
        </w:tc>
        <w:tc>
          <w:tcPr>
            <w:tcW w:w="170" w:type="pct"/>
            <w:vMerge w:val="restart"/>
            <w:hideMark/>
          </w:tcPr>
          <w:p w14:paraId="5F28CD48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54.2 ± 13.1</w:t>
            </w:r>
          </w:p>
        </w:tc>
        <w:tc>
          <w:tcPr>
            <w:tcW w:w="237" w:type="pct"/>
            <w:vMerge w:val="restart"/>
            <w:hideMark/>
          </w:tcPr>
          <w:p w14:paraId="3B582889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31</w:t>
            </w:r>
          </w:p>
        </w:tc>
        <w:tc>
          <w:tcPr>
            <w:tcW w:w="555" w:type="pct"/>
            <w:vMerge w:val="restart"/>
            <w:hideMark/>
          </w:tcPr>
          <w:p w14:paraId="4017E065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Severe/both</w:t>
            </w:r>
          </w:p>
        </w:tc>
        <w:tc>
          <w:tcPr>
            <w:tcW w:w="355" w:type="pct"/>
            <w:vMerge w:val="restart"/>
            <w:hideMark/>
          </w:tcPr>
          <w:p w14:paraId="6F084740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100%)</w:t>
            </w:r>
          </w:p>
        </w:tc>
        <w:tc>
          <w:tcPr>
            <w:tcW w:w="618" w:type="pct"/>
            <w:vMerge w:val="restart"/>
            <w:hideMark/>
          </w:tcPr>
          <w:p w14:paraId="2BA243CF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363" w:type="pct"/>
            <w:vMerge w:val="restart"/>
            <w:hideMark/>
          </w:tcPr>
          <w:p w14:paraId="0B1022DC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65.8 ± 7.1</w:t>
            </w:r>
          </w:p>
        </w:tc>
        <w:tc>
          <w:tcPr>
            <w:tcW w:w="290" w:type="pct"/>
            <w:vMerge w:val="restart"/>
            <w:hideMark/>
          </w:tcPr>
          <w:p w14:paraId="0516106A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36.3 ± 6.4</w:t>
            </w:r>
          </w:p>
        </w:tc>
        <w:tc>
          <w:tcPr>
            <w:tcW w:w="405" w:type="pct"/>
            <w:shd w:val="clear" w:color="auto" w:fill="FFB9B9"/>
            <w:hideMark/>
          </w:tcPr>
          <w:p w14:paraId="3A8078B7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All-cause mortality</w:t>
            </w:r>
          </w:p>
        </w:tc>
        <w:tc>
          <w:tcPr>
            <w:tcW w:w="327" w:type="pct"/>
            <w:shd w:val="clear" w:color="auto" w:fill="FFB9B9"/>
            <w:hideMark/>
          </w:tcPr>
          <w:p w14:paraId="6DA3E5E3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3.8 ± 2.7 years</w:t>
            </w:r>
          </w:p>
        </w:tc>
        <w:tc>
          <w:tcPr>
            <w:tcW w:w="467" w:type="pct"/>
            <w:shd w:val="clear" w:color="auto" w:fill="FFB9B9"/>
            <w:hideMark/>
          </w:tcPr>
          <w:p w14:paraId="43B71466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LVESD &gt;40 mm on multivariate Cox survival analysis was associated with higher post-operative all-cause mortality (HR 6.78 [2.88–15.73],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0.001).</w:t>
            </w:r>
          </w:p>
        </w:tc>
        <w:tc>
          <w:tcPr>
            <w:tcW w:w="384" w:type="pct"/>
            <w:shd w:val="clear" w:color="auto" w:fill="FFB9B9"/>
            <w:hideMark/>
          </w:tcPr>
          <w:p w14:paraId="61966C49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</w:tr>
      <w:tr w:rsidR="00B65A1C" w:rsidRPr="00A608C5" w14:paraId="3B816E8B" w14:textId="77777777" w:rsidTr="004D5406">
        <w:trPr>
          <w:trHeight w:val="833"/>
        </w:trPr>
        <w:tc>
          <w:tcPr>
            <w:tcW w:w="492" w:type="pct"/>
            <w:vMerge/>
            <w:hideMark/>
          </w:tcPr>
          <w:p w14:paraId="408B2FCD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37" w:type="pct"/>
            <w:vMerge/>
            <w:hideMark/>
          </w:tcPr>
          <w:p w14:paraId="36B5B4AC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70" w:type="pct"/>
            <w:vMerge/>
            <w:hideMark/>
          </w:tcPr>
          <w:p w14:paraId="73E10538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7" w:type="pct"/>
            <w:vMerge/>
            <w:hideMark/>
          </w:tcPr>
          <w:p w14:paraId="1A923446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555" w:type="pct"/>
            <w:vMerge/>
            <w:hideMark/>
          </w:tcPr>
          <w:p w14:paraId="75EC2FE0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55" w:type="pct"/>
            <w:vMerge/>
            <w:hideMark/>
          </w:tcPr>
          <w:p w14:paraId="00F5AB66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618" w:type="pct"/>
            <w:vMerge/>
            <w:hideMark/>
          </w:tcPr>
          <w:p w14:paraId="6BBD27D1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63" w:type="pct"/>
            <w:vMerge/>
            <w:hideMark/>
          </w:tcPr>
          <w:p w14:paraId="52AD6CDE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90" w:type="pct"/>
            <w:vMerge/>
            <w:hideMark/>
          </w:tcPr>
          <w:p w14:paraId="62367443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05" w:type="pct"/>
            <w:shd w:val="clear" w:color="auto" w:fill="D9D9D9"/>
            <w:hideMark/>
          </w:tcPr>
          <w:p w14:paraId="5E171298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Recurrent MR</w:t>
            </w:r>
          </w:p>
        </w:tc>
        <w:tc>
          <w:tcPr>
            <w:tcW w:w="327" w:type="pct"/>
            <w:shd w:val="clear" w:color="auto" w:fill="D9D9D9"/>
            <w:hideMark/>
          </w:tcPr>
          <w:p w14:paraId="36312C68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3.8 ± 2.7 years</w:t>
            </w:r>
          </w:p>
        </w:tc>
        <w:tc>
          <w:tcPr>
            <w:tcW w:w="467" w:type="pct"/>
            <w:shd w:val="clear" w:color="auto" w:fill="D9D9D9"/>
            <w:hideMark/>
          </w:tcPr>
          <w:p w14:paraId="17816DCC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LVESD &gt;40mm on univariate Cox survival analysis was associated with more frequent recurrent MR (HR 2.83 [1.51–3.74],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0.001), but on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multivariate Cox survival analysis, LVESD &gt;40 mm was not associated with recurrent MR. </w:t>
            </w:r>
          </w:p>
        </w:tc>
        <w:tc>
          <w:tcPr>
            <w:tcW w:w="384" w:type="pct"/>
            <w:shd w:val="clear" w:color="auto" w:fill="D9D9D9"/>
            <w:hideMark/>
          </w:tcPr>
          <w:p w14:paraId="5B5DE0AF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</w:tr>
      <w:tr w:rsidR="00B65A1C" w:rsidRPr="00A608C5" w14:paraId="79D8F402" w14:textId="77777777" w:rsidTr="004D5406">
        <w:trPr>
          <w:trHeight w:val="1537"/>
        </w:trPr>
        <w:tc>
          <w:tcPr>
            <w:tcW w:w="492" w:type="pct"/>
            <w:hideMark/>
          </w:tcPr>
          <w:p w14:paraId="6F7AA395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Li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[14]</w:t>
            </w:r>
            <w:r w:rsidRPr="00A608C5">
              <w:rPr>
                <w:rFonts w:ascii="Times New Roman" w:eastAsia="等线" w:hAnsi="Times New Roman" w:cs="Times New Roman"/>
              </w:rPr>
              <w:t xml:space="preserve">, 2020,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J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t>Cardiothorac</w:t>
            </w:r>
            <w:proofErr w:type="spellEnd"/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Surg</w:t>
            </w:r>
          </w:p>
        </w:tc>
        <w:tc>
          <w:tcPr>
            <w:tcW w:w="337" w:type="pct"/>
            <w:hideMark/>
          </w:tcPr>
          <w:p w14:paraId="4EE28A35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322</w:t>
            </w:r>
          </w:p>
        </w:tc>
        <w:tc>
          <w:tcPr>
            <w:tcW w:w="170" w:type="pct"/>
            <w:hideMark/>
          </w:tcPr>
          <w:p w14:paraId="63DCEF7D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52.7 ± 12.7</w:t>
            </w:r>
          </w:p>
        </w:tc>
        <w:tc>
          <w:tcPr>
            <w:tcW w:w="237" w:type="pct"/>
            <w:hideMark/>
          </w:tcPr>
          <w:p w14:paraId="2DDC7F41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22</w:t>
            </w:r>
          </w:p>
        </w:tc>
        <w:tc>
          <w:tcPr>
            <w:tcW w:w="555" w:type="pct"/>
            <w:hideMark/>
          </w:tcPr>
          <w:p w14:paraId="7F0AA937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Severe/both and patients with LV dysfunction (LVEF &lt;60% and LVESD &gt;40 mm)</w:t>
            </w:r>
          </w:p>
        </w:tc>
        <w:tc>
          <w:tcPr>
            <w:tcW w:w="355" w:type="pct"/>
            <w:hideMark/>
          </w:tcPr>
          <w:p w14:paraId="570AA38E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100%)</w:t>
            </w:r>
          </w:p>
        </w:tc>
        <w:tc>
          <w:tcPr>
            <w:tcW w:w="618" w:type="pct"/>
            <w:hideMark/>
          </w:tcPr>
          <w:p w14:paraId="4E317319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363" w:type="pct"/>
            <w:hideMark/>
          </w:tcPr>
          <w:p w14:paraId="5A19713A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58.7 ± 7.3</w:t>
            </w:r>
          </w:p>
        </w:tc>
        <w:tc>
          <w:tcPr>
            <w:tcW w:w="290" w:type="pct"/>
            <w:hideMark/>
          </w:tcPr>
          <w:p w14:paraId="1D19B489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43.9 ± 5.9</w:t>
            </w:r>
          </w:p>
        </w:tc>
        <w:tc>
          <w:tcPr>
            <w:tcW w:w="405" w:type="pct"/>
            <w:shd w:val="clear" w:color="auto" w:fill="FFE599"/>
            <w:hideMark/>
          </w:tcPr>
          <w:p w14:paraId="7E2FA5E9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Any decrease in LVEF </w:t>
            </w:r>
          </w:p>
        </w:tc>
        <w:tc>
          <w:tcPr>
            <w:tcW w:w="327" w:type="pct"/>
            <w:shd w:val="clear" w:color="auto" w:fill="FFE599"/>
            <w:hideMark/>
          </w:tcPr>
          <w:p w14:paraId="04FCDA0D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3.1 ± 2.6 years</w:t>
            </w:r>
          </w:p>
        </w:tc>
        <w:tc>
          <w:tcPr>
            <w:tcW w:w="467" w:type="pct"/>
            <w:shd w:val="clear" w:color="auto" w:fill="FFE599"/>
            <w:hideMark/>
          </w:tcPr>
          <w:p w14:paraId="7345E8AE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LVESD ≥45 mm on multivariate logistic regression was associated with post-operative deteriorated LV function (OR 2.95 [1.63–5.34],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0.001).</w:t>
            </w:r>
          </w:p>
        </w:tc>
        <w:tc>
          <w:tcPr>
            <w:tcW w:w="384" w:type="pct"/>
            <w:shd w:val="clear" w:color="auto" w:fill="FFE599"/>
            <w:hideMark/>
          </w:tcPr>
          <w:p w14:paraId="5BFC51BF" w14:textId="77777777" w:rsidR="0048757D" w:rsidRPr="00A608C5" w:rsidRDefault="0048757D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LVESD cut-off value 44.5 mm to predict deteriorated LV function (AUC 0.643 [0.563–0.724]).</w:t>
            </w:r>
          </w:p>
        </w:tc>
      </w:tr>
    </w:tbl>
    <w:p w14:paraId="1315F8F3" w14:textId="77777777" w:rsidR="0048757D" w:rsidRPr="00A608C5" w:rsidRDefault="0048757D" w:rsidP="0048757D">
      <w:pPr>
        <w:pStyle w:val="Tablefooter"/>
        <w:rPr>
          <w:rFonts w:eastAsia="等线"/>
        </w:rPr>
      </w:pPr>
      <w:r w:rsidRPr="00A608C5">
        <w:rPr>
          <w:rFonts w:eastAsia="等线"/>
        </w:rPr>
        <w:t xml:space="preserve">The Cell colors conform with Fig. 1. LVESD, left ventricular end-systolic diameter; </w:t>
      </w:r>
      <w:proofErr w:type="spellStart"/>
      <w:r w:rsidRPr="00A608C5">
        <w:rPr>
          <w:rFonts w:eastAsia="等线"/>
        </w:rPr>
        <w:t>LVESDi</w:t>
      </w:r>
      <w:proofErr w:type="spellEnd"/>
      <w:r w:rsidRPr="00A608C5">
        <w:rPr>
          <w:rFonts w:eastAsia="等线"/>
        </w:rPr>
        <w:t>, left ventricular end-systolic diameter index; LV, left ventricle; LVEF, left ventricular ejection fraction; ICC, intraclass correlation coefficients; CV, coefficient of variation; NA, not available; AUC, area under curve; ACC/AHA, American College of Cardiology/American Heart Association; MR, mitral regurgitation; OR, odds ratio; HR, hazard ratio.</w:t>
      </w:r>
    </w:p>
    <w:p w14:paraId="6A0CB813" w14:textId="77777777" w:rsidR="00B91225" w:rsidRDefault="00B91225" w:rsidP="005475D7">
      <w:pPr>
        <w:pStyle w:val="Tablefooter"/>
        <w:rPr>
          <w:rFonts w:eastAsiaTheme="minorEastAsia"/>
          <w:lang w:eastAsia="zh-CN"/>
        </w:rPr>
      </w:pPr>
    </w:p>
    <w:p w14:paraId="74EDEB8E" w14:textId="77777777" w:rsidR="00D138DB" w:rsidRPr="00D138DB" w:rsidRDefault="00D138DB" w:rsidP="00D138DB">
      <w:pPr>
        <w:rPr>
          <w:lang w:bidi="en-US"/>
        </w:rPr>
      </w:pPr>
    </w:p>
    <w:p w14:paraId="203EED80" w14:textId="56549895" w:rsidR="00B65A1C" w:rsidRPr="00A608C5" w:rsidRDefault="00390531" w:rsidP="00B65A1C">
      <w:pPr>
        <w:pStyle w:val="Tablecaption"/>
        <w:spacing w:before="240" w:after="240"/>
        <w:rPr>
          <w:szCs w:val="21"/>
        </w:rPr>
      </w:pPr>
      <w:r w:rsidRPr="00A608C5">
        <w:rPr>
          <w:rFonts w:eastAsiaTheme="minorEastAsia"/>
          <w:szCs w:val="21"/>
        </w:rPr>
        <w:t xml:space="preserve">Supplementary </w:t>
      </w:r>
      <w:r w:rsidR="00B65A1C" w:rsidRPr="00A608C5">
        <w:rPr>
          <w:szCs w:val="21"/>
        </w:rPr>
        <w:t>Table</w:t>
      </w:r>
      <w:r w:rsidR="00B65A1C" w:rsidRPr="00A608C5">
        <w:rPr>
          <w:rFonts w:eastAsiaTheme="minorEastAsia"/>
          <w:szCs w:val="21"/>
        </w:rPr>
        <w:t xml:space="preserve"> </w:t>
      </w:r>
      <w:r w:rsidR="00B65A1C" w:rsidRPr="00A608C5">
        <w:rPr>
          <w:szCs w:val="21"/>
        </w:rPr>
        <w:t>2. Description of included studies of left ventricular ejection fraction.</w:t>
      </w:r>
    </w:p>
    <w:tbl>
      <w:tblPr>
        <w:tblStyle w:val="11"/>
        <w:tblW w:w="5000" w:type="pct"/>
        <w:tblLook w:val="04A0" w:firstRow="1" w:lastRow="0" w:firstColumn="1" w:lastColumn="0" w:noHBand="0" w:noVBand="1"/>
      </w:tblPr>
      <w:tblGrid>
        <w:gridCol w:w="1202"/>
        <w:gridCol w:w="1054"/>
        <w:gridCol w:w="757"/>
        <w:gridCol w:w="1048"/>
        <w:gridCol w:w="1742"/>
        <w:gridCol w:w="1083"/>
        <w:gridCol w:w="2254"/>
        <w:gridCol w:w="827"/>
        <w:gridCol w:w="935"/>
        <w:gridCol w:w="1137"/>
        <w:gridCol w:w="1546"/>
        <w:gridCol w:w="1201"/>
      </w:tblGrid>
      <w:tr w:rsidR="00B65A1C" w:rsidRPr="00A608C5" w14:paraId="11102BED" w14:textId="77777777" w:rsidTr="004D5406">
        <w:trPr>
          <w:trHeight w:val="848"/>
        </w:trPr>
        <w:tc>
          <w:tcPr>
            <w:tcW w:w="408" w:type="pct"/>
            <w:hideMark/>
          </w:tcPr>
          <w:p w14:paraId="292A1221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First Author [Ref.];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Year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Published;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Journal</w:t>
            </w:r>
          </w:p>
        </w:tc>
        <w:tc>
          <w:tcPr>
            <w:tcW w:w="358" w:type="pct"/>
            <w:hideMark/>
          </w:tcPr>
          <w:p w14:paraId="4E065288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Total Number of Participa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nts</w:t>
            </w:r>
          </w:p>
        </w:tc>
        <w:tc>
          <w:tcPr>
            <w:tcW w:w="317" w:type="pct"/>
            <w:noWrap/>
            <w:hideMark/>
          </w:tcPr>
          <w:p w14:paraId="6398FD60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Age</w:t>
            </w:r>
          </w:p>
        </w:tc>
        <w:tc>
          <w:tcPr>
            <w:tcW w:w="356" w:type="pct"/>
            <w:noWrap/>
            <w:hideMark/>
          </w:tcPr>
          <w:p w14:paraId="7F3D4122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Female (%)</w:t>
            </w:r>
          </w:p>
        </w:tc>
        <w:tc>
          <w:tcPr>
            <w:tcW w:w="593" w:type="pct"/>
            <w:hideMark/>
          </w:tcPr>
          <w:p w14:paraId="6BF8BFD1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Population (severity/symptom)</w:t>
            </w:r>
          </w:p>
        </w:tc>
        <w:tc>
          <w:tcPr>
            <w:tcW w:w="368" w:type="pct"/>
            <w:hideMark/>
          </w:tcPr>
          <w:p w14:paraId="40E3A88A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</w:t>
            </w:r>
          </w:p>
        </w:tc>
        <w:tc>
          <w:tcPr>
            <w:tcW w:w="644" w:type="pct"/>
            <w:hideMark/>
          </w:tcPr>
          <w:p w14:paraId="78C59A75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Reproducibility (interobserver/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405" w:type="pct"/>
            <w:hideMark/>
          </w:tcPr>
          <w:p w14:paraId="4FC38306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Baseline LVEF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(%)</w:t>
            </w:r>
          </w:p>
        </w:tc>
        <w:tc>
          <w:tcPr>
            <w:tcW w:w="369" w:type="pct"/>
            <w:hideMark/>
          </w:tcPr>
          <w:p w14:paraId="1A865539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Outcomes</w:t>
            </w:r>
          </w:p>
        </w:tc>
        <w:tc>
          <w:tcPr>
            <w:tcW w:w="376" w:type="pct"/>
            <w:hideMark/>
          </w:tcPr>
          <w:p w14:paraId="2E802F98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Follow-up</w:t>
            </w:r>
          </w:p>
        </w:tc>
        <w:tc>
          <w:tcPr>
            <w:tcW w:w="398" w:type="pct"/>
            <w:hideMark/>
          </w:tcPr>
          <w:p w14:paraId="06AEA36D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Association Between LVEF and Outcomes</w:t>
            </w:r>
          </w:p>
        </w:tc>
        <w:tc>
          <w:tcPr>
            <w:tcW w:w="408" w:type="pct"/>
            <w:hideMark/>
          </w:tcPr>
          <w:p w14:paraId="74C051D4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Receiver-Operating Characteristic Curve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Analysis</w:t>
            </w:r>
          </w:p>
        </w:tc>
      </w:tr>
      <w:tr w:rsidR="00B65A1C" w:rsidRPr="00A608C5" w14:paraId="34368D83" w14:textId="77777777" w:rsidTr="004D5406">
        <w:trPr>
          <w:trHeight w:val="833"/>
        </w:trPr>
        <w:tc>
          <w:tcPr>
            <w:tcW w:w="408" w:type="pct"/>
            <w:hideMark/>
          </w:tcPr>
          <w:p w14:paraId="3471EAF4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Song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[23]</w:t>
            </w:r>
            <w:r w:rsidRPr="00A608C5">
              <w:rPr>
                <w:rFonts w:ascii="Times New Roman" w:eastAsia="等线" w:hAnsi="Times New Roman" w:cs="Times New Roman"/>
              </w:rPr>
              <w:t>, 2011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Annals of Thoracis Surgery</w:t>
            </w:r>
          </w:p>
        </w:tc>
        <w:tc>
          <w:tcPr>
            <w:tcW w:w="358" w:type="pct"/>
            <w:noWrap/>
            <w:hideMark/>
          </w:tcPr>
          <w:p w14:paraId="114F73E7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147</w:t>
            </w:r>
          </w:p>
        </w:tc>
        <w:tc>
          <w:tcPr>
            <w:tcW w:w="317" w:type="pct"/>
            <w:noWrap/>
            <w:hideMark/>
          </w:tcPr>
          <w:p w14:paraId="301E0F8E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48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15</w:t>
            </w:r>
          </w:p>
        </w:tc>
        <w:tc>
          <w:tcPr>
            <w:tcW w:w="356" w:type="pct"/>
            <w:noWrap/>
            <w:hideMark/>
          </w:tcPr>
          <w:p w14:paraId="0C477BA1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39</w:t>
            </w:r>
          </w:p>
        </w:tc>
        <w:tc>
          <w:tcPr>
            <w:tcW w:w="593" w:type="pct"/>
            <w:noWrap/>
            <w:hideMark/>
          </w:tcPr>
          <w:p w14:paraId="2D5E7614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Severe/both</w:t>
            </w:r>
          </w:p>
        </w:tc>
        <w:tc>
          <w:tcPr>
            <w:tcW w:w="368" w:type="pct"/>
            <w:hideMark/>
          </w:tcPr>
          <w:p w14:paraId="1BE4A5A6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100%)</w:t>
            </w:r>
          </w:p>
        </w:tc>
        <w:tc>
          <w:tcPr>
            <w:tcW w:w="644" w:type="pct"/>
            <w:hideMark/>
          </w:tcPr>
          <w:p w14:paraId="2DB3969D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Interobserver: ICC 0.962 (</w:t>
            </w:r>
            <w:r w:rsidRPr="00A608C5">
              <w:rPr>
                <w:rFonts w:ascii="Times New Roman" w:eastAsia="等线" w:hAnsi="Times New Roman" w:cs="Times New Roman"/>
                <w:i/>
                <w:iCs/>
                <w:lang w:eastAsia="zh-CN"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0.001), CV 4.3%;</w:t>
            </w:r>
          </w:p>
          <w:p w14:paraId="5DA5DF8C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NA</w:t>
            </w:r>
          </w:p>
        </w:tc>
        <w:tc>
          <w:tcPr>
            <w:tcW w:w="405" w:type="pct"/>
            <w:noWrap/>
            <w:hideMark/>
          </w:tcPr>
          <w:p w14:paraId="3F7DE7E2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63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6.5</w:t>
            </w:r>
          </w:p>
        </w:tc>
        <w:tc>
          <w:tcPr>
            <w:tcW w:w="369" w:type="pct"/>
            <w:shd w:val="clear" w:color="auto" w:fill="FFE599"/>
            <w:hideMark/>
          </w:tcPr>
          <w:p w14:paraId="5C35A3C3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LVEF</w:t>
            </w:r>
          </w:p>
        </w:tc>
        <w:tc>
          <w:tcPr>
            <w:tcW w:w="376" w:type="pct"/>
            <w:shd w:val="clear" w:color="auto" w:fill="FFE599"/>
            <w:hideMark/>
          </w:tcPr>
          <w:p w14:paraId="10D867CE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&gt;3 months</w:t>
            </w:r>
          </w:p>
        </w:tc>
        <w:tc>
          <w:tcPr>
            <w:tcW w:w="398" w:type="pct"/>
            <w:shd w:val="clear" w:color="auto" w:fill="FFE599"/>
            <w:hideMark/>
          </w:tcPr>
          <w:p w14:paraId="5912F5E4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LVEF on multivariate linear regression model was associated with post-operative LV function (β = 0.191 [0.035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0.348],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= 0.017).</w:t>
            </w:r>
          </w:p>
        </w:tc>
        <w:tc>
          <w:tcPr>
            <w:tcW w:w="408" w:type="pct"/>
            <w:shd w:val="clear" w:color="auto" w:fill="FFE599"/>
            <w:hideMark/>
          </w:tcPr>
          <w:p w14:paraId="4770248A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</w:tr>
      <w:tr w:rsidR="00B65A1C" w:rsidRPr="00A608C5" w14:paraId="601D954B" w14:textId="77777777" w:rsidTr="004D5406">
        <w:trPr>
          <w:trHeight w:val="4749"/>
        </w:trPr>
        <w:tc>
          <w:tcPr>
            <w:tcW w:w="408" w:type="pct"/>
            <w:hideMark/>
          </w:tcPr>
          <w:p w14:paraId="2BDFAA17" w14:textId="77777777" w:rsidR="00B65A1C" w:rsidRPr="00A608C5" w:rsidRDefault="00B65A1C" w:rsidP="004D5406">
            <w:pPr>
              <w:pStyle w:val="Tablebody"/>
              <w:rPr>
                <w:rFonts w:ascii="Times New Roman" w:hAnsi="Times New Roman" w:cs="Times New Roman"/>
              </w:rPr>
            </w:pPr>
            <w:proofErr w:type="spellStart"/>
            <w:r w:rsidRPr="00A608C5">
              <w:rPr>
                <w:rFonts w:ascii="Times New Roman" w:hAnsi="Times New Roman" w:cs="Times New Roman"/>
              </w:rPr>
              <w:t>Tribouilloy</w:t>
            </w:r>
            <w:proofErr w:type="spellEnd"/>
            <w:r w:rsidRPr="00A608C5">
              <w:rPr>
                <w:rFonts w:ascii="Times New Roman" w:hAnsi="Times New Roman" w:cs="Times New Roman"/>
              </w:rPr>
              <w:t xml:space="preserve"> </w:t>
            </w:r>
            <w:r w:rsidRPr="00A608C5">
              <w:rPr>
                <w:rFonts w:ascii="Times New Roman" w:hAnsi="Times New Roman" w:cs="Times New Roman"/>
                <w:i/>
              </w:rPr>
              <w:t>et al.</w:t>
            </w:r>
            <w:r w:rsidRPr="00A608C5">
              <w:rPr>
                <w:rFonts w:ascii="Times New Roman" w:hAnsi="Times New Roman" w:cs="Times New Roman"/>
              </w:rPr>
              <w:t xml:space="preserve"> </w:t>
            </w:r>
            <w:r w:rsidRPr="00A608C5">
              <w:rPr>
                <w:rFonts w:ascii="Times New Roman" w:hAnsi="Times New Roman" w:cs="Times New Roman"/>
                <w:noProof/>
              </w:rPr>
              <w:t>[22]</w:t>
            </w:r>
            <w:r w:rsidRPr="00A608C5">
              <w:rPr>
                <w:rFonts w:ascii="Times New Roman" w:hAnsi="Times New Roman" w:cs="Times New Roman"/>
              </w:rPr>
              <w:t xml:space="preserve">, 2011,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 xml:space="preserve">Eur J </w:t>
            </w:r>
            <w:proofErr w:type="spellStart"/>
            <w:r w:rsidRPr="00A608C5">
              <w:rPr>
                <w:rFonts w:ascii="Times New Roman" w:hAnsi="Times New Roman" w:cs="Times New Roman"/>
                <w:i/>
                <w:iCs/>
              </w:rPr>
              <w:t>Echocardiogr</w:t>
            </w:r>
            <w:proofErr w:type="spellEnd"/>
          </w:p>
        </w:tc>
        <w:tc>
          <w:tcPr>
            <w:tcW w:w="358" w:type="pct"/>
            <w:hideMark/>
          </w:tcPr>
          <w:p w14:paraId="3E8D037B" w14:textId="77777777" w:rsidR="00B65A1C" w:rsidRPr="00A608C5" w:rsidRDefault="00B65A1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335</w:t>
            </w:r>
          </w:p>
        </w:tc>
        <w:tc>
          <w:tcPr>
            <w:tcW w:w="317" w:type="pct"/>
            <w:noWrap/>
            <w:hideMark/>
          </w:tcPr>
          <w:p w14:paraId="42CB5854" w14:textId="77777777" w:rsidR="00B65A1C" w:rsidRPr="00A608C5" w:rsidRDefault="00B65A1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65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56" w:type="pct"/>
            <w:hideMark/>
          </w:tcPr>
          <w:p w14:paraId="0E0875C5" w14:textId="77777777" w:rsidR="00B65A1C" w:rsidRPr="00A608C5" w:rsidRDefault="00B65A1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593" w:type="pct"/>
            <w:hideMark/>
          </w:tcPr>
          <w:p w14:paraId="759AC594" w14:textId="77777777" w:rsidR="00B65A1C" w:rsidRPr="00A608C5" w:rsidRDefault="00B65A1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Severe/both</w:t>
            </w:r>
          </w:p>
        </w:tc>
        <w:tc>
          <w:tcPr>
            <w:tcW w:w="368" w:type="pct"/>
            <w:hideMark/>
          </w:tcPr>
          <w:p w14:paraId="4D9AB5C0" w14:textId="77777777" w:rsidR="00B65A1C" w:rsidRPr="00A608C5" w:rsidRDefault="00B65A1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Surgery (repair 100%)</w:t>
            </w:r>
          </w:p>
        </w:tc>
        <w:tc>
          <w:tcPr>
            <w:tcW w:w="644" w:type="pct"/>
            <w:hideMark/>
          </w:tcPr>
          <w:p w14:paraId="433B71AC" w14:textId="77777777" w:rsidR="00B65A1C" w:rsidRPr="00A608C5" w:rsidRDefault="00B65A1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405" w:type="pct"/>
            <w:noWrap/>
            <w:hideMark/>
          </w:tcPr>
          <w:p w14:paraId="5A84B50A" w14:textId="77777777" w:rsidR="00B65A1C" w:rsidRPr="00A608C5" w:rsidRDefault="00B65A1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68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69" w:type="pct"/>
            <w:shd w:val="clear" w:color="auto" w:fill="FFE599"/>
            <w:hideMark/>
          </w:tcPr>
          <w:p w14:paraId="30222D81" w14:textId="77777777" w:rsidR="00B65A1C" w:rsidRPr="00A608C5" w:rsidRDefault="00B65A1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LVEF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&lt;50%</w:t>
            </w:r>
          </w:p>
        </w:tc>
        <w:tc>
          <w:tcPr>
            <w:tcW w:w="376" w:type="pct"/>
            <w:shd w:val="clear" w:color="auto" w:fill="FFE599"/>
            <w:hideMark/>
          </w:tcPr>
          <w:p w14:paraId="2A3884C8" w14:textId="77777777" w:rsidR="00B65A1C" w:rsidRPr="00A608C5" w:rsidRDefault="00B65A1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10.8 (9.1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>12.0) months</w:t>
            </w:r>
          </w:p>
        </w:tc>
        <w:tc>
          <w:tcPr>
            <w:tcW w:w="398" w:type="pct"/>
            <w:shd w:val="clear" w:color="auto" w:fill="FFE599"/>
            <w:hideMark/>
          </w:tcPr>
          <w:p w14:paraId="554ABB1B" w14:textId="77777777" w:rsidR="00B65A1C" w:rsidRPr="00A608C5" w:rsidRDefault="00B65A1C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608C5">
              <w:rPr>
                <w:rFonts w:ascii="Times New Roman" w:hAnsi="Times New Roman" w:cs="Times New Roman"/>
              </w:rPr>
              <w:t xml:space="preserve">Less LVEF as continuous variable on multivariate logistic regression was associated with post-operative LV dysfunction (adjusted OR 1.02 [1.01–1.04] per 1% decrement,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0.04).</w:t>
            </w:r>
          </w:p>
          <w:p w14:paraId="2EF8DB78" w14:textId="77777777" w:rsidR="00B65A1C" w:rsidRPr="00A608C5" w:rsidRDefault="00B65A1C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608C5">
              <w:rPr>
                <w:rFonts w:ascii="Times New Roman" w:hAnsi="Times New Roman" w:cs="Times New Roman"/>
              </w:rPr>
              <w:t xml:space="preserve">LVEF &lt;64% or/and LVESD ≥37 mm as categorical variable on </w:t>
            </w:r>
            <w:r w:rsidRPr="00A608C5">
              <w:rPr>
                <w:rFonts w:ascii="Times New Roman" w:hAnsi="Times New Roman" w:cs="Times New Roman"/>
              </w:rPr>
              <w:lastRenderedPageBreak/>
              <w:t xml:space="preserve">multivariate logistic regression were associated with post-operative LV dysfunction (OR 2.63 [1.29–5.40],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0.008; OR 3,78 [1.88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 xml:space="preserve">7.63],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&lt;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0.001).</w:t>
            </w:r>
          </w:p>
          <w:p w14:paraId="1C084A36" w14:textId="77777777" w:rsidR="00B65A1C" w:rsidRPr="00A608C5" w:rsidRDefault="00B65A1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Incremental prognostic value of LVEF &lt;64% or/and LVESD ≥37 mm was demonstrated (AUC 0.64</w:t>
            </w:r>
            <w:r w:rsidRPr="00A608C5">
              <w:rPr>
                <w:rFonts w:ascii="Times New Roman" w:eastAsia="等线" w:hAnsi="Times New Roman" w:cs="Times New Roman"/>
              </w:rPr>
              <w:t>→</w:t>
            </w:r>
            <w:r w:rsidRPr="00A608C5">
              <w:rPr>
                <w:rFonts w:ascii="Times New Roman" w:hAnsi="Times New Roman" w:cs="Times New Roman"/>
              </w:rPr>
              <w:t>0.74</w:t>
            </w:r>
            <w:r w:rsidRPr="00A608C5">
              <w:rPr>
                <w:rFonts w:ascii="Times New Roman" w:eastAsia="等线" w:hAnsi="Times New Roman" w:cs="Times New Roman"/>
              </w:rPr>
              <w:t>→</w:t>
            </w:r>
            <w:r w:rsidRPr="00A608C5">
              <w:rPr>
                <w:rFonts w:ascii="Times New Roman" w:hAnsi="Times New Roman" w:cs="Times New Roman"/>
              </w:rPr>
              <w:t xml:space="preserve">0.83,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hAnsi="Times New Roman" w:cs="Times New Roman"/>
              </w:rPr>
              <w:t xml:space="preserve"> &lt; 0.001).</w:t>
            </w:r>
          </w:p>
        </w:tc>
        <w:tc>
          <w:tcPr>
            <w:tcW w:w="408" w:type="pct"/>
            <w:shd w:val="clear" w:color="auto" w:fill="FFE599"/>
            <w:hideMark/>
          </w:tcPr>
          <w:p w14:paraId="0513B544" w14:textId="77777777" w:rsidR="00B65A1C" w:rsidRPr="00A608C5" w:rsidRDefault="00B65A1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lastRenderedPageBreak/>
              <w:t>LVEF cut-off value 64% or less to predict LV dysfunction (AUC 0.69 [0.58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>0.76]).</w:t>
            </w:r>
          </w:p>
        </w:tc>
      </w:tr>
      <w:tr w:rsidR="00B65A1C" w:rsidRPr="00A608C5" w14:paraId="540D9B9B" w14:textId="77777777" w:rsidTr="004D5406">
        <w:trPr>
          <w:trHeight w:val="1388"/>
        </w:trPr>
        <w:tc>
          <w:tcPr>
            <w:tcW w:w="408" w:type="pct"/>
            <w:hideMark/>
          </w:tcPr>
          <w:p w14:paraId="69F542CC" w14:textId="77777777" w:rsidR="00B65A1C" w:rsidRPr="00A608C5" w:rsidRDefault="00B65A1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Kitai </w:t>
            </w:r>
            <w:r w:rsidRPr="00A608C5">
              <w:rPr>
                <w:rFonts w:ascii="Times New Roman" w:hAnsi="Times New Roman" w:cs="Times New Roman"/>
                <w:i/>
              </w:rPr>
              <w:t>et al.</w:t>
            </w:r>
            <w:r w:rsidRPr="00A608C5">
              <w:rPr>
                <w:rFonts w:ascii="Times New Roman" w:hAnsi="Times New Roman" w:cs="Times New Roman"/>
              </w:rPr>
              <w:t xml:space="preserve"> </w:t>
            </w:r>
            <w:r w:rsidRPr="00A608C5">
              <w:rPr>
                <w:rFonts w:ascii="Times New Roman" w:hAnsi="Times New Roman" w:cs="Times New Roman"/>
                <w:noProof/>
              </w:rPr>
              <w:t>[19]</w:t>
            </w:r>
            <w:r w:rsidRPr="00A608C5">
              <w:rPr>
                <w:rFonts w:ascii="Times New Roman" w:hAnsi="Times New Roman" w:cs="Times New Roman"/>
              </w:rPr>
              <w:t>, 2014,</w:t>
            </w:r>
            <w:r w:rsidRPr="00A608C5">
              <w:rPr>
                <w:rFonts w:ascii="Times New Roman" w:hAnsi="Times New Roman" w:cs="Times New Roman"/>
                <w:i/>
                <w:iCs/>
              </w:rPr>
              <w:t xml:space="preserve"> J </w:t>
            </w:r>
            <w:proofErr w:type="spellStart"/>
            <w:r w:rsidRPr="00A608C5">
              <w:rPr>
                <w:rFonts w:ascii="Times New Roman" w:hAnsi="Times New Roman" w:cs="Times New Roman"/>
                <w:i/>
                <w:iCs/>
              </w:rPr>
              <w:t>Thorac</w:t>
            </w:r>
            <w:proofErr w:type="spellEnd"/>
            <w:r w:rsidRPr="00A608C5">
              <w:rPr>
                <w:rFonts w:ascii="Times New Roman" w:hAnsi="Times New Roman" w:cs="Times New Roman"/>
                <w:i/>
                <w:iCs/>
              </w:rPr>
              <w:t xml:space="preserve"> Cardiovasc Surg</w:t>
            </w:r>
          </w:p>
        </w:tc>
        <w:tc>
          <w:tcPr>
            <w:tcW w:w="358" w:type="pct"/>
            <w:noWrap/>
            <w:hideMark/>
          </w:tcPr>
          <w:p w14:paraId="0110832D" w14:textId="77777777" w:rsidR="00B65A1C" w:rsidRPr="00A608C5" w:rsidRDefault="00B65A1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473</w:t>
            </w:r>
          </w:p>
        </w:tc>
        <w:tc>
          <w:tcPr>
            <w:tcW w:w="317" w:type="pct"/>
            <w:hideMark/>
          </w:tcPr>
          <w:p w14:paraId="7184FA82" w14:textId="77777777" w:rsidR="00B65A1C" w:rsidRPr="00A608C5" w:rsidRDefault="00B65A1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57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56" w:type="pct"/>
            <w:noWrap/>
            <w:hideMark/>
          </w:tcPr>
          <w:p w14:paraId="158B5108" w14:textId="77777777" w:rsidR="00B65A1C" w:rsidRPr="00A608C5" w:rsidRDefault="00B65A1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593" w:type="pct"/>
            <w:hideMark/>
          </w:tcPr>
          <w:p w14:paraId="1CB04C0B" w14:textId="77777777" w:rsidR="00B65A1C" w:rsidRPr="00A608C5" w:rsidRDefault="00B65A1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Severe/both</w:t>
            </w:r>
          </w:p>
        </w:tc>
        <w:tc>
          <w:tcPr>
            <w:tcW w:w="368" w:type="pct"/>
            <w:hideMark/>
          </w:tcPr>
          <w:p w14:paraId="3261F4F3" w14:textId="77777777" w:rsidR="00B65A1C" w:rsidRPr="00A608C5" w:rsidRDefault="00B65A1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Surgery (repair 100%)</w:t>
            </w:r>
          </w:p>
        </w:tc>
        <w:tc>
          <w:tcPr>
            <w:tcW w:w="644" w:type="pct"/>
            <w:hideMark/>
          </w:tcPr>
          <w:p w14:paraId="72FED588" w14:textId="77777777" w:rsidR="00B65A1C" w:rsidRPr="00A608C5" w:rsidRDefault="00B65A1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405" w:type="pct"/>
            <w:hideMark/>
          </w:tcPr>
          <w:p w14:paraId="3552B8A5" w14:textId="77777777" w:rsidR="00B65A1C" w:rsidRPr="00A608C5" w:rsidRDefault="00B65A1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64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69" w:type="pct"/>
            <w:shd w:val="clear" w:color="auto" w:fill="FFE599"/>
            <w:hideMark/>
          </w:tcPr>
          <w:p w14:paraId="41825DB2" w14:textId="77777777" w:rsidR="00B65A1C" w:rsidRPr="00A608C5" w:rsidRDefault="00B65A1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LVEF &lt;50%</w:t>
            </w:r>
          </w:p>
        </w:tc>
        <w:tc>
          <w:tcPr>
            <w:tcW w:w="376" w:type="pct"/>
            <w:shd w:val="clear" w:color="auto" w:fill="FFE599"/>
            <w:noWrap/>
            <w:hideMark/>
          </w:tcPr>
          <w:p w14:paraId="415141A4" w14:textId="77777777" w:rsidR="00B65A1C" w:rsidRPr="00A608C5" w:rsidRDefault="00B65A1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3 years</w:t>
            </w:r>
          </w:p>
        </w:tc>
        <w:tc>
          <w:tcPr>
            <w:tcW w:w="398" w:type="pct"/>
            <w:shd w:val="clear" w:color="auto" w:fill="FFE599"/>
            <w:hideMark/>
          </w:tcPr>
          <w:p w14:paraId="65501175" w14:textId="77777777" w:rsidR="00B65A1C" w:rsidRPr="00A608C5" w:rsidRDefault="00B65A1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Less LVEF on multivariate Cox survival analysis was associated with post-operative LV dysfunction (OR 0.93 [0.90–0.96],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hAnsi="Times New Roman" w:cs="Times New Roman"/>
              </w:rPr>
              <w:t xml:space="preserve"> &lt;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0.001).</w:t>
            </w:r>
          </w:p>
        </w:tc>
        <w:tc>
          <w:tcPr>
            <w:tcW w:w="408" w:type="pct"/>
            <w:shd w:val="clear" w:color="auto" w:fill="FFE599"/>
            <w:hideMark/>
          </w:tcPr>
          <w:p w14:paraId="4BBAB063" w14:textId="77777777" w:rsidR="00B65A1C" w:rsidRPr="00A608C5" w:rsidRDefault="00B65A1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LVEF cut-off value 63% or less to predict LV dysfunction (AUC 0.725 [0.652–0.798],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hAnsi="Times New Roman" w:cs="Times New Roman"/>
              </w:rPr>
              <w:t xml:space="preserve"> &lt;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0.001).</w:t>
            </w:r>
          </w:p>
        </w:tc>
      </w:tr>
      <w:tr w:rsidR="00B65A1C" w:rsidRPr="00A608C5" w14:paraId="11B0E6C9" w14:textId="77777777" w:rsidTr="004D5406">
        <w:trPr>
          <w:trHeight w:val="1665"/>
        </w:trPr>
        <w:tc>
          <w:tcPr>
            <w:tcW w:w="408" w:type="pct"/>
            <w:hideMark/>
          </w:tcPr>
          <w:p w14:paraId="29177AC0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Machado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[27]</w:t>
            </w:r>
            <w:r w:rsidRPr="00A608C5">
              <w:rPr>
                <w:rFonts w:ascii="Times New Roman" w:eastAsia="等线" w:hAnsi="Times New Roman" w:cs="Times New Roman"/>
              </w:rPr>
              <w:t xml:space="preserve">, 2014,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Cardiovasc Ultrasound</w:t>
            </w:r>
          </w:p>
        </w:tc>
        <w:tc>
          <w:tcPr>
            <w:tcW w:w="358" w:type="pct"/>
            <w:noWrap/>
            <w:hideMark/>
          </w:tcPr>
          <w:p w14:paraId="04CCF1BE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62</w:t>
            </w:r>
          </w:p>
        </w:tc>
        <w:tc>
          <w:tcPr>
            <w:tcW w:w="317" w:type="pct"/>
            <w:hideMark/>
          </w:tcPr>
          <w:p w14:paraId="4562BF45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52.5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1.3</w:t>
            </w:r>
          </w:p>
        </w:tc>
        <w:tc>
          <w:tcPr>
            <w:tcW w:w="356" w:type="pct"/>
            <w:noWrap/>
            <w:hideMark/>
          </w:tcPr>
          <w:p w14:paraId="78508B36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40</w:t>
            </w:r>
          </w:p>
        </w:tc>
        <w:tc>
          <w:tcPr>
            <w:tcW w:w="593" w:type="pct"/>
            <w:noWrap/>
            <w:hideMark/>
          </w:tcPr>
          <w:p w14:paraId="44F98BF4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Severe/both</w:t>
            </w:r>
          </w:p>
        </w:tc>
        <w:tc>
          <w:tcPr>
            <w:tcW w:w="368" w:type="pct"/>
            <w:hideMark/>
          </w:tcPr>
          <w:p w14:paraId="347AFADD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54.8%, replacement 45.2%)</w:t>
            </w:r>
          </w:p>
        </w:tc>
        <w:tc>
          <w:tcPr>
            <w:tcW w:w="644" w:type="pct"/>
            <w:hideMark/>
          </w:tcPr>
          <w:p w14:paraId="6CF6C759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Interobserver: ICC 0.97 (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0.0001), CV 8.7% (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0.10);</w:t>
            </w:r>
          </w:p>
          <w:p w14:paraId="524AA415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ICC 0.98 (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0.0001), CV 9.3% (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0.10).</w:t>
            </w:r>
          </w:p>
        </w:tc>
        <w:tc>
          <w:tcPr>
            <w:tcW w:w="405" w:type="pct"/>
            <w:hideMark/>
          </w:tcPr>
          <w:p w14:paraId="1485921F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66.1 ± 7.5</w:t>
            </w:r>
          </w:p>
        </w:tc>
        <w:tc>
          <w:tcPr>
            <w:tcW w:w="369" w:type="pct"/>
            <w:shd w:val="clear" w:color="auto" w:fill="C5E0B3"/>
            <w:hideMark/>
          </w:tcPr>
          <w:p w14:paraId="63437697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LARR: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reduction ≥25%</w:t>
            </w:r>
          </w:p>
        </w:tc>
        <w:tc>
          <w:tcPr>
            <w:tcW w:w="376" w:type="pct"/>
            <w:shd w:val="clear" w:color="auto" w:fill="C5E0B3"/>
            <w:noWrap/>
            <w:hideMark/>
          </w:tcPr>
          <w:p w14:paraId="2E297C10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2</w:t>
            </w: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10 months</w:t>
            </w:r>
          </w:p>
        </w:tc>
        <w:tc>
          <w:tcPr>
            <w:tcW w:w="398" w:type="pct"/>
            <w:shd w:val="clear" w:color="auto" w:fill="C5E0B3"/>
            <w:hideMark/>
          </w:tcPr>
          <w:p w14:paraId="0889394C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Larger LVEF on multivariate logistic regression analysis was associated with LARR (OR 1.086 [1.002–1.178]).</w:t>
            </w:r>
          </w:p>
        </w:tc>
        <w:tc>
          <w:tcPr>
            <w:tcW w:w="408" w:type="pct"/>
            <w:shd w:val="clear" w:color="auto" w:fill="C5E0B3"/>
            <w:hideMark/>
          </w:tcPr>
          <w:p w14:paraId="1367D707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LVEF cut-off value 63.5% to predict post-operative LARR with a sensitivity of 72% and specificity of 56%. </w:t>
            </w:r>
          </w:p>
        </w:tc>
      </w:tr>
      <w:tr w:rsidR="00B65A1C" w:rsidRPr="00A608C5" w14:paraId="7519E2A2" w14:textId="77777777" w:rsidTr="004D5406">
        <w:trPr>
          <w:trHeight w:val="766"/>
        </w:trPr>
        <w:tc>
          <w:tcPr>
            <w:tcW w:w="408" w:type="pct"/>
            <w:vMerge w:val="restart"/>
            <w:hideMark/>
          </w:tcPr>
          <w:p w14:paraId="4A926C2F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Zhou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[16]</w:t>
            </w:r>
            <w:r w:rsidRPr="00A608C5">
              <w:rPr>
                <w:rFonts w:ascii="Times New Roman" w:eastAsia="等线" w:hAnsi="Times New Roman" w:cs="Times New Roman"/>
              </w:rPr>
              <w:t>, 2018,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Ann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t>Thorac</w:t>
            </w:r>
            <w:proofErr w:type="spellEnd"/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Surg</w:t>
            </w:r>
          </w:p>
        </w:tc>
        <w:tc>
          <w:tcPr>
            <w:tcW w:w="358" w:type="pct"/>
            <w:vMerge w:val="restart"/>
            <w:hideMark/>
          </w:tcPr>
          <w:p w14:paraId="6E4D25A2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1903</w:t>
            </w:r>
          </w:p>
        </w:tc>
        <w:tc>
          <w:tcPr>
            <w:tcW w:w="317" w:type="pct"/>
            <w:vMerge w:val="restart"/>
            <w:hideMark/>
          </w:tcPr>
          <w:p w14:paraId="20A99A89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54.2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13.1</w:t>
            </w:r>
          </w:p>
        </w:tc>
        <w:tc>
          <w:tcPr>
            <w:tcW w:w="356" w:type="pct"/>
            <w:vMerge w:val="restart"/>
            <w:hideMark/>
          </w:tcPr>
          <w:p w14:paraId="259A35CA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31</w:t>
            </w:r>
          </w:p>
        </w:tc>
        <w:tc>
          <w:tcPr>
            <w:tcW w:w="593" w:type="pct"/>
            <w:vMerge w:val="restart"/>
            <w:hideMark/>
          </w:tcPr>
          <w:p w14:paraId="280E4CD1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Severe/both</w:t>
            </w:r>
          </w:p>
        </w:tc>
        <w:tc>
          <w:tcPr>
            <w:tcW w:w="368" w:type="pct"/>
            <w:vMerge w:val="restart"/>
            <w:hideMark/>
          </w:tcPr>
          <w:p w14:paraId="47A5BDE0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100%)</w:t>
            </w:r>
          </w:p>
        </w:tc>
        <w:tc>
          <w:tcPr>
            <w:tcW w:w="644" w:type="pct"/>
            <w:vMerge w:val="restart"/>
            <w:hideMark/>
          </w:tcPr>
          <w:p w14:paraId="3C720CF2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405" w:type="pct"/>
            <w:vMerge w:val="restart"/>
            <w:hideMark/>
          </w:tcPr>
          <w:p w14:paraId="7E678032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65.8 ± 7.1</w:t>
            </w:r>
          </w:p>
        </w:tc>
        <w:tc>
          <w:tcPr>
            <w:tcW w:w="369" w:type="pct"/>
            <w:shd w:val="clear" w:color="auto" w:fill="FFB9B9"/>
            <w:hideMark/>
          </w:tcPr>
          <w:p w14:paraId="63ADE7A9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All-cause mortality</w:t>
            </w:r>
          </w:p>
        </w:tc>
        <w:tc>
          <w:tcPr>
            <w:tcW w:w="376" w:type="pct"/>
            <w:shd w:val="clear" w:color="auto" w:fill="FFB9B9"/>
            <w:hideMark/>
          </w:tcPr>
          <w:p w14:paraId="219D3502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3.8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2.7 years</w:t>
            </w:r>
          </w:p>
        </w:tc>
        <w:tc>
          <w:tcPr>
            <w:tcW w:w="398" w:type="pct"/>
            <w:shd w:val="clear" w:color="auto" w:fill="FFB9B9"/>
            <w:hideMark/>
          </w:tcPr>
          <w:p w14:paraId="270755CF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LVEF &lt;60% on univariate Cox survival analysis was associated with all-cause mortality (HR 2.43 [1.10–5.36],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0.03), but on multivariate Cox survival analysis, LVEF &lt;60% was not associated with post-operative all-cause mortality.</w:t>
            </w:r>
          </w:p>
        </w:tc>
        <w:tc>
          <w:tcPr>
            <w:tcW w:w="408" w:type="pct"/>
            <w:shd w:val="clear" w:color="auto" w:fill="FFB9B9"/>
            <w:hideMark/>
          </w:tcPr>
          <w:p w14:paraId="5F73B5FF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</w:tr>
      <w:tr w:rsidR="00B65A1C" w:rsidRPr="00A608C5" w14:paraId="5998B821" w14:textId="77777777" w:rsidTr="004D5406">
        <w:trPr>
          <w:trHeight w:val="833"/>
        </w:trPr>
        <w:tc>
          <w:tcPr>
            <w:tcW w:w="408" w:type="pct"/>
            <w:vMerge/>
            <w:hideMark/>
          </w:tcPr>
          <w:p w14:paraId="7D184960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58" w:type="pct"/>
            <w:vMerge/>
            <w:hideMark/>
          </w:tcPr>
          <w:p w14:paraId="27C3D0B4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17" w:type="pct"/>
            <w:vMerge/>
            <w:hideMark/>
          </w:tcPr>
          <w:p w14:paraId="1E2A415D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56" w:type="pct"/>
            <w:vMerge/>
            <w:hideMark/>
          </w:tcPr>
          <w:p w14:paraId="561A5A8F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593" w:type="pct"/>
            <w:vMerge/>
            <w:hideMark/>
          </w:tcPr>
          <w:p w14:paraId="4C110E9E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68" w:type="pct"/>
            <w:vMerge/>
            <w:hideMark/>
          </w:tcPr>
          <w:p w14:paraId="456AA81A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644" w:type="pct"/>
            <w:vMerge/>
            <w:hideMark/>
          </w:tcPr>
          <w:p w14:paraId="27BFCC15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05" w:type="pct"/>
            <w:vMerge/>
            <w:hideMark/>
          </w:tcPr>
          <w:p w14:paraId="040504EB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69" w:type="pct"/>
            <w:shd w:val="clear" w:color="auto" w:fill="D9D9D9"/>
            <w:hideMark/>
          </w:tcPr>
          <w:p w14:paraId="4F9A6331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Recurrent MR</w:t>
            </w:r>
          </w:p>
        </w:tc>
        <w:tc>
          <w:tcPr>
            <w:tcW w:w="376" w:type="pct"/>
            <w:shd w:val="clear" w:color="auto" w:fill="D9D9D9"/>
            <w:hideMark/>
          </w:tcPr>
          <w:p w14:paraId="70DC3500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3.8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2.7 years</w:t>
            </w:r>
          </w:p>
        </w:tc>
        <w:tc>
          <w:tcPr>
            <w:tcW w:w="398" w:type="pct"/>
            <w:shd w:val="clear" w:color="auto" w:fill="D9D9D9"/>
            <w:hideMark/>
          </w:tcPr>
          <w:p w14:paraId="4AEA37E9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LVEF &lt;60% on multivariate Cox survival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analysis was independent predictor of recurrent MR (HR 4.01 [2.24–7.17],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0.001).</w:t>
            </w:r>
          </w:p>
        </w:tc>
        <w:tc>
          <w:tcPr>
            <w:tcW w:w="408" w:type="pct"/>
            <w:shd w:val="clear" w:color="auto" w:fill="D9D9D9"/>
            <w:hideMark/>
          </w:tcPr>
          <w:p w14:paraId="166FC9AD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</w:tr>
      <w:tr w:rsidR="00B65A1C" w:rsidRPr="00A608C5" w14:paraId="25929383" w14:textId="77777777" w:rsidTr="004D5406">
        <w:trPr>
          <w:trHeight w:val="1962"/>
        </w:trPr>
        <w:tc>
          <w:tcPr>
            <w:tcW w:w="408" w:type="pct"/>
            <w:hideMark/>
          </w:tcPr>
          <w:p w14:paraId="52DCB25D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Li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[14]</w:t>
            </w:r>
            <w:r w:rsidRPr="00A608C5">
              <w:rPr>
                <w:rFonts w:ascii="Times New Roman" w:eastAsia="等线" w:hAnsi="Times New Roman" w:cs="Times New Roman"/>
              </w:rPr>
              <w:t>, 2020,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J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t>Cardiothorac</w:t>
            </w:r>
            <w:proofErr w:type="spellEnd"/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Surg</w:t>
            </w:r>
          </w:p>
        </w:tc>
        <w:tc>
          <w:tcPr>
            <w:tcW w:w="358" w:type="pct"/>
            <w:noWrap/>
            <w:hideMark/>
          </w:tcPr>
          <w:p w14:paraId="77B37498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322</w:t>
            </w:r>
          </w:p>
        </w:tc>
        <w:tc>
          <w:tcPr>
            <w:tcW w:w="317" w:type="pct"/>
            <w:hideMark/>
          </w:tcPr>
          <w:p w14:paraId="3A8CF11E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52.7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12.7</w:t>
            </w:r>
          </w:p>
        </w:tc>
        <w:tc>
          <w:tcPr>
            <w:tcW w:w="356" w:type="pct"/>
            <w:noWrap/>
            <w:hideMark/>
          </w:tcPr>
          <w:p w14:paraId="4C0AD627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22</w:t>
            </w:r>
          </w:p>
        </w:tc>
        <w:tc>
          <w:tcPr>
            <w:tcW w:w="593" w:type="pct"/>
            <w:hideMark/>
          </w:tcPr>
          <w:p w14:paraId="56C6703B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Severe/both, and patients with LV dysfunction</w:t>
            </w:r>
          </w:p>
        </w:tc>
        <w:tc>
          <w:tcPr>
            <w:tcW w:w="368" w:type="pct"/>
            <w:hideMark/>
          </w:tcPr>
          <w:p w14:paraId="15CC6E03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100%)</w:t>
            </w:r>
          </w:p>
        </w:tc>
        <w:tc>
          <w:tcPr>
            <w:tcW w:w="644" w:type="pct"/>
            <w:hideMark/>
          </w:tcPr>
          <w:p w14:paraId="5EA5361D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405" w:type="pct"/>
            <w:hideMark/>
          </w:tcPr>
          <w:p w14:paraId="0319EC40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58.7 ± 7.3</w:t>
            </w:r>
          </w:p>
        </w:tc>
        <w:tc>
          <w:tcPr>
            <w:tcW w:w="369" w:type="pct"/>
            <w:shd w:val="clear" w:color="auto" w:fill="FFE599"/>
            <w:hideMark/>
          </w:tcPr>
          <w:p w14:paraId="14891471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Any decrease in LVEF </w:t>
            </w:r>
          </w:p>
        </w:tc>
        <w:tc>
          <w:tcPr>
            <w:tcW w:w="376" w:type="pct"/>
            <w:shd w:val="clear" w:color="auto" w:fill="FFE599"/>
            <w:hideMark/>
          </w:tcPr>
          <w:p w14:paraId="69E1E793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3.1 ± 2.6 years </w:t>
            </w:r>
          </w:p>
        </w:tc>
        <w:tc>
          <w:tcPr>
            <w:tcW w:w="398" w:type="pct"/>
            <w:shd w:val="clear" w:color="auto" w:fill="FFE599"/>
            <w:hideMark/>
          </w:tcPr>
          <w:p w14:paraId="1A7DEFE9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LVEF ≤52% on multivariate logistic regression was associated with post-operative deteriorated LV dysfunction (OR 2.79 [1.06–7.33],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0.04).</w:t>
            </w:r>
          </w:p>
        </w:tc>
        <w:tc>
          <w:tcPr>
            <w:tcW w:w="408" w:type="pct"/>
            <w:shd w:val="clear" w:color="auto" w:fill="FFE599"/>
            <w:hideMark/>
          </w:tcPr>
          <w:p w14:paraId="6C697AA2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LVEF cut-off value 52.5% to predict deteriorated LV function (AUC 0.578 [0.496</w:t>
            </w: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0.659]).</w:t>
            </w:r>
          </w:p>
        </w:tc>
      </w:tr>
      <w:tr w:rsidR="00B65A1C" w:rsidRPr="00A608C5" w14:paraId="6089B53B" w14:textId="77777777" w:rsidTr="004D5406">
        <w:trPr>
          <w:trHeight w:val="1110"/>
        </w:trPr>
        <w:tc>
          <w:tcPr>
            <w:tcW w:w="408" w:type="pct"/>
            <w:hideMark/>
          </w:tcPr>
          <w:p w14:paraId="0331C968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Nair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[12]</w:t>
            </w:r>
            <w:r w:rsidRPr="00A608C5">
              <w:rPr>
                <w:rFonts w:ascii="Times New Roman" w:eastAsia="等线" w:hAnsi="Times New Roman" w:cs="Times New Roman"/>
              </w:rPr>
              <w:t>, 2021,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Indian J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t>Thorac</w:t>
            </w:r>
            <w:proofErr w:type="spellEnd"/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Cardiovasc Surg</w:t>
            </w:r>
          </w:p>
        </w:tc>
        <w:tc>
          <w:tcPr>
            <w:tcW w:w="358" w:type="pct"/>
            <w:noWrap/>
            <w:hideMark/>
          </w:tcPr>
          <w:p w14:paraId="280852D4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244</w:t>
            </w:r>
          </w:p>
        </w:tc>
        <w:tc>
          <w:tcPr>
            <w:tcW w:w="317" w:type="pct"/>
            <w:hideMark/>
          </w:tcPr>
          <w:p w14:paraId="625E63C3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48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12.3</w:t>
            </w:r>
          </w:p>
        </w:tc>
        <w:tc>
          <w:tcPr>
            <w:tcW w:w="356" w:type="pct"/>
            <w:noWrap/>
            <w:hideMark/>
          </w:tcPr>
          <w:p w14:paraId="5A260B07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30</w:t>
            </w:r>
          </w:p>
        </w:tc>
        <w:tc>
          <w:tcPr>
            <w:tcW w:w="593" w:type="pct"/>
            <w:hideMark/>
          </w:tcPr>
          <w:p w14:paraId="0081E78F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Severe/both</w:t>
            </w:r>
          </w:p>
        </w:tc>
        <w:tc>
          <w:tcPr>
            <w:tcW w:w="368" w:type="pct"/>
            <w:hideMark/>
          </w:tcPr>
          <w:p w14:paraId="129D0E87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100%)</w:t>
            </w:r>
          </w:p>
        </w:tc>
        <w:tc>
          <w:tcPr>
            <w:tcW w:w="644" w:type="pct"/>
            <w:hideMark/>
          </w:tcPr>
          <w:p w14:paraId="2E42FFA7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405" w:type="pct"/>
            <w:hideMark/>
          </w:tcPr>
          <w:p w14:paraId="5B5667E5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&gt;60: 77.0%;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45–60: 12.7%: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35–44: 8.6%;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&lt;35: 1.6%.</w:t>
            </w:r>
          </w:p>
        </w:tc>
        <w:tc>
          <w:tcPr>
            <w:tcW w:w="369" w:type="pct"/>
            <w:shd w:val="clear" w:color="auto" w:fill="FFB9B9"/>
            <w:hideMark/>
          </w:tcPr>
          <w:p w14:paraId="1CDCA38F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In-hospital mortality</w:t>
            </w:r>
          </w:p>
        </w:tc>
        <w:tc>
          <w:tcPr>
            <w:tcW w:w="376" w:type="pct"/>
            <w:shd w:val="clear" w:color="auto" w:fill="FFB9B9"/>
            <w:hideMark/>
          </w:tcPr>
          <w:p w14:paraId="577B5B32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7.1 (5–25) days</w:t>
            </w:r>
          </w:p>
        </w:tc>
        <w:tc>
          <w:tcPr>
            <w:tcW w:w="398" w:type="pct"/>
            <w:shd w:val="clear" w:color="auto" w:fill="FFB9B9"/>
            <w:hideMark/>
          </w:tcPr>
          <w:p w14:paraId="32667A7C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LVEF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&lt;60% on multivariate logistic regression was associated with in-hospital mortality (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0.04).</w:t>
            </w:r>
          </w:p>
        </w:tc>
        <w:tc>
          <w:tcPr>
            <w:tcW w:w="408" w:type="pct"/>
            <w:shd w:val="clear" w:color="auto" w:fill="FFB9B9"/>
            <w:hideMark/>
          </w:tcPr>
          <w:p w14:paraId="2075C16A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</w:tr>
      <w:tr w:rsidR="00B65A1C" w:rsidRPr="00A608C5" w14:paraId="5312461D" w14:textId="77777777" w:rsidTr="004D5406">
        <w:trPr>
          <w:trHeight w:val="1395"/>
        </w:trPr>
        <w:tc>
          <w:tcPr>
            <w:tcW w:w="408" w:type="pct"/>
            <w:hideMark/>
          </w:tcPr>
          <w:p w14:paraId="1DFA7B57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Hu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[13]</w:t>
            </w:r>
            <w:r w:rsidRPr="00A608C5">
              <w:rPr>
                <w:rFonts w:ascii="Times New Roman" w:eastAsia="等线" w:hAnsi="Times New Roman" w:cs="Times New Roman"/>
              </w:rPr>
              <w:t>, 2021,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Ann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t>Thorac</w:t>
            </w:r>
            <w:proofErr w:type="spellEnd"/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Surg</w:t>
            </w:r>
          </w:p>
        </w:tc>
        <w:tc>
          <w:tcPr>
            <w:tcW w:w="358" w:type="pct"/>
            <w:noWrap/>
            <w:hideMark/>
          </w:tcPr>
          <w:p w14:paraId="2D5A8974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623</w:t>
            </w:r>
          </w:p>
        </w:tc>
        <w:tc>
          <w:tcPr>
            <w:tcW w:w="317" w:type="pct"/>
            <w:hideMark/>
          </w:tcPr>
          <w:p w14:paraId="0558009C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54.8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12.1</w:t>
            </w:r>
          </w:p>
        </w:tc>
        <w:tc>
          <w:tcPr>
            <w:tcW w:w="356" w:type="pct"/>
            <w:noWrap/>
            <w:hideMark/>
          </w:tcPr>
          <w:p w14:paraId="1C1C0F81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41</w:t>
            </w:r>
          </w:p>
        </w:tc>
        <w:tc>
          <w:tcPr>
            <w:tcW w:w="593" w:type="pct"/>
            <w:hideMark/>
          </w:tcPr>
          <w:p w14:paraId="7B8B8F7E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Severe/asymptomatic </w:t>
            </w:r>
          </w:p>
        </w:tc>
        <w:tc>
          <w:tcPr>
            <w:tcW w:w="368" w:type="pct"/>
            <w:hideMark/>
          </w:tcPr>
          <w:p w14:paraId="340CC77D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100%)</w:t>
            </w:r>
          </w:p>
        </w:tc>
        <w:tc>
          <w:tcPr>
            <w:tcW w:w="644" w:type="pct"/>
            <w:hideMark/>
          </w:tcPr>
          <w:p w14:paraId="694DE3D8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405" w:type="pct"/>
            <w:hideMark/>
          </w:tcPr>
          <w:p w14:paraId="6C2AC2B6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67.2 ± 5.1</w:t>
            </w:r>
          </w:p>
        </w:tc>
        <w:tc>
          <w:tcPr>
            <w:tcW w:w="369" w:type="pct"/>
            <w:shd w:val="clear" w:color="auto" w:fill="FFE599"/>
            <w:hideMark/>
          </w:tcPr>
          <w:p w14:paraId="3F7CB9E0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LVEF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&lt;50%</w:t>
            </w:r>
          </w:p>
        </w:tc>
        <w:tc>
          <w:tcPr>
            <w:tcW w:w="376" w:type="pct"/>
            <w:shd w:val="clear" w:color="auto" w:fill="FFE599"/>
            <w:noWrap/>
            <w:hideMark/>
          </w:tcPr>
          <w:p w14:paraId="2EF3A6A9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7–10 days</w:t>
            </w:r>
          </w:p>
        </w:tc>
        <w:tc>
          <w:tcPr>
            <w:tcW w:w="398" w:type="pct"/>
            <w:shd w:val="clear" w:color="auto" w:fill="FFE599"/>
            <w:hideMark/>
          </w:tcPr>
          <w:p w14:paraId="544D6488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Less LVEF on multivariate logistic regression was associated with post-operative LV dysfunction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(HR 0.933 [0.891–0.977],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0.003).</w:t>
            </w:r>
          </w:p>
        </w:tc>
        <w:tc>
          <w:tcPr>
            <w:tcW w:w="408" w:type="pct"/>
            <w:shd w:val="clear" w:color="auto" w:fill="FFE599"/>
            <w:hideMark/>
          </w:tcPr>
          <w:p w14:paraId="381685A8" w14:textId="77777777" w:rsidR="00B65A1C" w:rsidRPr="00A608C5" w:rsidRDefault="00B65A1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LVEF cut-off value 65% or less to predict LV dysfunction (AUC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0.765 [0.719–0.810];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0.001)</w:t>
            </w:r>
          </w:p>
        </w:tc>
      </w:tr>
    </w:tbl>
    <w:p w14:paraId="1BB3A90F" w14:textId="7F189655" w:rsidR="005475D7" w:rsidRPr="00A608C5" w:rsidRDefault="00B65A1C" w:rsidP="005475D7">
      <w:pPr>
        <w:pStyle w:val="Tablefooter"/>
        <w:rPr>
          <w:rFonts w:eastAsiaTheme="minorEastAsia"/>
          <w:lang w:eastAsia="zh-CN"/>
        </w:rPr>
      </w:pPr>
      <w:r w:rsidRPr="00A608C5">
        <w:lastRenderedPageBreak/>
        <w:t xml:space="preserve">The Cell colors conform with Fig. 1. LV, left ventricle; LVEF, left ventricular ejection fraction; </w:t>
      </w:r>
      <w:proofErr w:type="spellStart"/>
      <w:r w:rsidRPr="00A608C5">
        <w:t>LAVi</w:t>
      </w:r>
      <w:proofErr w:type="spellEnd"/>
      <w:r w:rsidRPr="00A608C5">
        <w:t>, left atrial volume index; LARR, left atria reverse remodeling; ICC, intraclass correlation coefficients; CV, coefficient of variation; NA, not available; AUC, area under curve; OR, odds ratio; HR, hazard ratio.</w:t>
      </w:r>
    </w:p>
    <w:p w14:paraId="7C4D9BA7" w14:textId="77777777" w:rsidR="00B65A1C" w:rsidRDefault="00B65A1C" w:rsidP="00B65A1C">
      <w:pPr>
        <w:ind w:firstLine="420"/>
        <w:rPr>
          <w:rFonts w:cs="Times New Roman"/>
          <w:sz w:val="21"/>
          <w:szCs w:val="21"/>
          <w:lang w:bidi="en-US"/>
        </w:rPr>
      </w:pPr>
    </w:p>
    <w:p w14:paraId="24FEBCA7" w14:textId="77777777" w:rsidR="00D138DB" w:rsidRPr="00A608C5" w:rsidRDefault="00D138DB" w:rsidP="00B65A1C">
      <w:pPr>
        <w:ind w:firstLine="420"/>
        <w:rPr>
          <w:rFonts w:cs="Times New Roman"/>
          <w:sz w:val="21"/>
          <w:szCs w:val="21"/>
          <w:lang w:bidi="en-US"/>
        </w:rPr>
      </w:pPr>
    </w:p>
    <w:p w14:paraId="49B8683B" w14:textId="2CD3F3A8" w:rsidR="005D35DC" w:rsidRPr="00A608C5" w:rsidRDefault="00DD50C2" w:rsidP="005D35DC">
      <w:pPr>
        <w:pStyle w:val="Tablecaption"/>
        <w:spacing w:before="240" w:after="240"/>
        <w:rPr>
          <w:szCs w:val="21"/>
        </w:rPr>
      </w:pPr>
      <w:r w:rsidRPr="00A608C5">
        <w:rPr>
          <w:rFonts w:eastAsiaTheme="minorEastAsia"/>
          <w:szCs w:val="21"/>
        </w:rPr>
        <w:t xml:space="preserve">Supplementary </w:t>
      </w:r>
      <w:r w:rsidR="005D35DC" w:rsidRPr="00A608C5">
        <w:rPr>
          <w:szCs w:val="21"/>
        </w:rPr>
        <w:t>Table 3. Description of included studies of left atrial size and function.</w:t>
      </w:r>
    </w:p>
    <w:tbl>
      <w:tblPr>
        <w:tblStyle w:val="11"/>
        <w:tblW w:w="5000" w:type="pct"/>
        <w:jc w:val="center"/>
        <w:tblLook w:val="04A0" w:firstRow="1" w:lastRow="0" w:firstColumn="1" w:lastColumn="0" w:noHBand="0" w:noVBand="1"/>
      </w:tblPr>
      <w:tblGrid>
        <w:gridCol w:w="1122"/>
        <w:gridCol w:w="993"/>
        <w:gridCol w:w="641"/>
        <w:gridCol w:w="701"/>
        <w:gridCol w:w="1605"/>
        <w:gridCol w:w="1048"/>
        <w:gridCol w:w="2172"/>
        <w:gridCol w:w="783"/>
        <w:gridCol w:w="1076"/>
        <w:gridCol w:w="1273"/>
        <w:gridCol w:w="1094"/>
        <w:gridCol w:w="1148"/>
        <w:gridCol w:w="1130"/>
      </w:tblGrid>
      <w:tr w:rsidR="005D35DC" w:rsidRPr="00A608C5" w14:paraId="2D9376D1" w14:textId="77777777" w:rsidTr="004D5406">
        <w:trPr>
          <w:trHeight w:val="848"/>
          <w:jc w:val="center"/>
        </w:trPr>
        <w:tc>
          <w:tcPr>
            <w:tcW w:w="394" w:type="pct"/>
            <w:hideMark/>
          </w:tcPr>
          <w:p w14:paraId="428381E4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First Author [Ref.];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Year Published;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Journal</w:t>
            </w:r>
          </w:p>
        </w:tc>
        <w:tc>
          <w:tcPr>
            <w:tcW w:w="391" w:type="pct"/>
            <w:hideMark/>
          </w:tcPr>
          <w:p w14:paraId="4A1AD53B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Total Number of Participants</w:t>
            </w:r>
          </w:p>
        </w:tc>
        <w:tc>
          <w:tcPr>
            <w:tcW w:w="309" w:type="pct"/>
            <w:hideMark/>
          </w:tcPr>
          <w:p w14:paraId="02730444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Age</w:t>
            </w:r>
          </w:p>
        </w:tc>
        <w:tc>
          <w:tcPr>
            <w:tcW w:w="244" w:type="pct"/>
            <w:hideMark/>
          </w:tcPr>
          <w:p w14:paraId="1177514A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Female (%)</w:t>
            </w:r>
          </w:p>
        </w:tc>
        <w:tc>
          <w:tcPr>
            <w:tcW w:w="566" w:type="pct"/>
            <w:hideMark/>
          </w:tcPr>
          <w:p w14:paraId="29763A49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Population (severity/symptom)</w:t>
            </w:r>
          </w:p>
        </w:tc>
        <w:tc>
          <w:tcPr>
            <w:tcW w:w="368" w:type="pct"/>
            <w:hideMark/>
          </w:tcPr>
          <w:p w14:paraId="37A6C80E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</w:t>
            </w:r>
          </w:p>
        </w:tc>
        <w:tc>
          <w:tcPr>
            <w:tcW w:w="439" w:type="pct"/>
            <w:hideMark/>
          </w:tcPr>
          <w:p w14:paraId="14558A25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Reproducibility (interobserver/</w:t>
            </w:r>
            <w:proofErr w:type="spellStart"/>
            <w:r w:rsidRPr="00A608C5">
              <w:rPr>
                <w:rFonts w:ascii="Times New Roman" w:eastAsia="等线" w:hAnsi="Times New Roman" w:cs="Times New Roman"/>
                <w:lang w:eastAsia="zh-CN"/>
              </w:rPr>
              <w:t>s</w:t>
            </w:r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280" w:type="pct"/>
            <w:hideMark/>
          </w:tcPr>
          <w:p w14:paraId="30A164BD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Baseline LVEF (%)</w:t>
            </w:r>
          </w:p>
        </w:tc>
        <w:tc>
          <w:tcPr>
            <w:tcW w:w="377" w:type="pct"/>
            <w:hideMark/>
          </w:tcPr>
          <w:p w14:paraId="3AA28273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Baseline LA size</w:t>
            </w:r>
          </w:p>
        </w:tc>
        <w:tc>
          <w:tcPr>
            <w:tcW w:w="448" w:type="pct"/>
            <w:hideMark/>
          </w:tcPr>
          <w:p w14:paraId="07733CD0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Outcomes</w:t>
            </w:r>
          </w:p>
        </w:tc>
        <w:tc>
          <w:tcPr>
            <w:tcW w:w="384" w:type="pct"/>
            <w:hideMark/>
          </w:tcPr>
          <w:p w14:paraId="6AF0B287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Follow-up</w:t>
            </w:r>
          </w:p>
        </w:tc>
        <w:tc>
          <w:tcPr>
            <w:tcW w:w="404" w:type="pct"/>
            <w:hideMark/>
          </w:tcPr>
          <w:p w14:paraId="2EFDE360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Association Between LA Size and Outcomes</w:t>
            </w:r>
          </w:p>
        </w:tc>
        <w:tc>
          <w:tcPr>
            <w:tcW w:w="397" w:type="pct"/>
            <w:hideMark/>
          </w:tcPr>
          <w:p w14:paraId="5D0896F1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Receiver-Operating Characteristic Curve Analysis</w:t>
            </w:r>
          </w:p>
        </w:tc>
      </w:tr>
      <w:tr w:rsidR="00DD50C2" w:rsidRPr="00A608C5" w14:paraId="3A528869" w14:textId="77777777" w:rsidTr="004D5406">
        <w:trPr>
          <w:trHeight w:val="833"/>
          <w:jc w:val="center"/>
        </w:trPr>
        <w:tc>
          <w:tcPr>
            <w:tcW w:w="394" w:type="pct"/>
            <w:hideMark/>
          </w:tcPr>
          <w:p w14:paraId="0D41EC8C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Antonini-Canterin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[41]</w:t>
            </w:r>
            <w:r w:rsidRPr="00A608C5">
              <w:rPr>
                <w:rFonts w:ascii="Times New Roman" w:eastAsia="等线" w:hAnsi="Times New Roman" w:cs="Times New Roman"/>
              </w:rPr>
              <w:t xml:space="preserve">, 2008,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Heart </w:t>
            </w:r>
          </w:p>
        </w:tc>
        <w:tc>
          <w:tcPr>
            <w:tcW w:w="391" w:type="pct"/>
            <w:hideMark/>
          </w:tcPr>
          <w:p w14:paraId="351C6850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79</w:t>
            </w:r>
          </w:p>
        </w:tc>
        <w:tc>
          <w:tcPr>
            <w:tcW w:w="309" w:type="pct"/>
            <w:hideMark/>
          </w:tcPr>
          <w:p w14:paraId="1DDA9A69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60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12</w:t>
            </w:r>
          </w:p>
        </w:tc>
        <w:tc>
          <w:tcPr>
            <w:tcW w:w="244" w:type="pct"/>
            <w:hideMark/>
          </w:tcPr>
          <w:p w14:paraId="66625D59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30</w:t>
            </w:r>
          </w:p>
        </w:tc>
        <w:tc>
          <w:tcPr>
            <w:tcW w:w="566" w:type="pct"/>
            <w:hideMark/>
          </w:tcPr>
          <w:p w14:paraId="66A409CE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Severe/symptomatic</w:t>
            </w:r>
          </w:p>
        </w:tc>
        <w:tc>
          <w:tcPr>
            <w:tcW w:w="368" w:type="pct"/>
            <w:hideMark/>
          </w:tcPr>
          <w:p w14:paraId="3E1901F2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100%)</w:t>
            </w:r>
          </w:p>
        </w:tc>
        <w:tc>
          <w:tcPr>
            <w:tcW w:w="439" w:type="pct"/>
            <w:hideMark/>
          </w:tcPr>
          <w:p w14:paraId="606C8025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Interobserver: absolute difference 3.1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0.8%;</w:t>
            </w:r>
          </w:p>
          <w:p w14:paraId="3D7D0679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NA</w:t>
            </w:r>
          </w:p>
        </w:tc>
        <w:tc>
          <w:tcPr>
            <w:tcW w:w="280" w:type="pct"/>
            <w:hideMark/>
          </w:tcPr>
          <w:p w14:paraId="006E338A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62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6</w:t>
            </w:r>
          </w:p>
        </w:tc>
        <w:tc>
          <w:tcPr>
            <w:tcW w:w="377" w:type="pct"/>
            <w:hideMark/>
          </w:tcPr>
          <w:p w14:paraId="1EBBF7F9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68 ± 22 (m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L</w:t>
            </w:r>
            <w:r w:rsidRPr="00A608C5">
              <w:rPr>
                <w:rFonts w:ascii="Times New Roman" w:eastAsia="等线" w:hAnsi="Times New Roman" w:cs="Times New Roman"/>
              </w:rPr>
              <w:t>/m</w:t>
            </w:r>
            <w:r w:rsidRPr="00A608C5">
              <w:rPr>
                <w:rFonts w:ascii="Times New Roman" w:eastAsia="等线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448" w:type="pct"/>
            <w:shd w:val="clear" w:color="auto" w:fill="C5E0B3"/>
            <w:hideMark/>
          </w:tcPr>
          <w:p w14:paraId="2C24BFD6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LARR: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reduction</w:t>
            </w:r>
          </w:p>
        </w:tc>
        <w:tc>
          <w:tcPr>
            <w:tcW w:w="384" w:type="pct"/>
            <w:shd w:val="clear" w:color="auto" w:fill="C5E0B3"/>
            <w:hideMark/>
          </w:tcPr>
          <w:p w14:paraId="18E03273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1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6 months</w:t>
            </w:r>
          </w:p>
        </w:tc>
        <w:tc>
          <w:tcPr>
            <w:tcW w:w="404" w:type="pct"/>
            <w:shd w:val="clear" w:color="auto" w:fill="C5E0B3"/>
            <w:hideMark/>
          </w:tcPr>
          <w:p w14:paraId="6BFC1C5C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Larger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on multivariate linear regression analysis was independently associated with more significant post-operative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reduction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(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0.001).</w:t>
            </w:r>
          </w:p>
        </w:tc>
        <w:tc>
          <w:tcPr>
            <w:tcW w:w="397" w:type="pct"/>
            <w:shd w:val="clear" w:color="auto" w:fill="C5E0B3"/>
            <w:hideMark/>
          </w:tcPr>
          <w:p w14:paraId="41D8EEEB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</w:tr>
      <w:tr w:rsidR="00DD50C2" w:rsidRPr="00A608C5" w14:paraId="0F7228C5" w14:textId="77777777" w:rsidTr="004D5406">
        <w:trPr>
          <w:trHeight w:val="1514"/>
          <w:jc w:val="center"/>
        </w:trPr>
        <w:tc>
          <w:tcPr>
            <w:tcW w:w="394" w:type="pct"/>
            <w:hideMark/>
          </w:tcPr>
          <w:p w14:paraId="0B47F239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Song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[44]</w:t>
            </w:r>
            <w:r w:rsidRPr="00A608C5">
              <w:rPr>
                <w:rFonts w:ascii="Times New Roman" w:eastAsia="等线" w:hAnsi="Times New Roman" w:cs="Times New Roman"/>
              </w:rPr>
              <w:t>, 2010,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Clin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t>Cardiol</w:t>
            </w:r>
            <w:proofErr w:type="spellEnd"/>
          </w:p>
        </w:tc>
        <w:tc>
          <w:tcPr>
            <w:tcW w:w="391" w:type="pct"/>
            <w:hideMark/>
          </w:tcPr>
          <w:p w14:paraId="62243285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85</w:t>
            </w:r>
          </w:p>
        </w:tc>
        <w:tc>
          <w:tcPr>
            <w:tcW w:w="309" w:type="pct"/>
            <w:hideMark/>
          </w:tcPr>
          <w:p w14:paraId="21B312E7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54.7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13.3</w:t>
            </w:r>
          </w:p>
        </w:tc>
        <w:tc>
          <w:tcPr>
            <w:tcW w:w="244" w:type="pct"/>
            <w:hideMark/>
          </w:tcPr>
          <w:p w14:paraId="6DE8E1AF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62</w:t>
            </w:r>
          </w:p>
        </w:tc>
        <w:tc>
          <w:tcPr>
            <w:tcW w:w="566" w:type="pct"/>
            <w:hideMark/>
          </w:tcPr>
          <w:p w14:paraId="1A26F881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Severe/both</w:t>
            </w:r>
          </w:p>
        </w:tc>
        <w:tc>
          <w:tcPr>
            <w:tcW w:w="368" w:type="pct"/>
            <w:hideMark/>
          </w:tcPr>
          <w:p w14:paraId="64181F23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100%)</w:t>
            </w:r>
          </w:p>
        </w:tc>
        <w:tc>
          <w:tcPr>
            <w:tcW w:w="439" w:type="pct"/>
            <w:hideMark/>
          </w:tcPr>
          <w:p w14:paraId="0C6F7D5A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280" w:type="pct"/>
            <w:hideMark/>
          </w:tcPr>
          <w:p w14:paraId="2C288DEF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58.5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9.3</w:t>
            </w:r>
          </w:p>
        </w:tc>
        <w:tc>
          <w:tcPr>
            <w:tcW w:w="377" w:type="pct"/>
            <w:hideMark/>
          </w:tcPr>
          <w:p w14:paraId="2AD9D20F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75.3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33.5 (mL/m</w:t>
            </w:r>
            <w:r w:rsidRPr="00A608C5">
              <w:rPr>
                <w:rFonts w:ascii="Times New Roman" w:eastAsia="等线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448" w:type="pct"/>
            <w:shd w:val="clear" w:color="auto" w:fill="C5E0B3"/>
            <w:hideMark/>
          </w:tcPr>
          <w:p w14:paraId="015C40D3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LARR: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reduction</w:t>
            </w:r>
          </w:p>
        </w:tc>
        <w:tc>
          <w:tcPr>
            <w:tcW w:w="384" w:type="pct"/>
            <w:shd w:val="clear" w:color="auto" w:fill="C5E0B3"/>
            <w:hideMark/>
          </w:tcPr>
          <w:p w14:paraId="4B2F9B0B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Immediately;</w:t>
            </w:r>
          </w:p>
          <w:p w14:paraId="7C5BDE45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 and 12 months after surgery.</w:t>
            </w:r>
          </w:p>
        </w:tc>
        <w:tc>
          <w:tcPr>
            <w:tcW w:w="404" w:type="pct"/>
            <w:shd w:val="clear" w:color="auto" w:fill="C5E0B3"/>
            <w:hideMark/>
          </w:tcPr>
          <w:p w14:paraId="6B6AEA3C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Larger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on multivariate linear regression analysis was independently associated with less significant post-operative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reduction (β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hAnsi="Times New Roman" w:cs="Times New Roman"/>
              </w:rPr>
              <w:t xml:space="preserve"> 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0.595,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0.001).</w:t>
            </w:r>
          </w:p>
        </w:tc>
        <w:tc>
          <w:tcPr>
            <w:tcW w:w="397" w:type="pct"/>
            <w:shd w:val="clear" w:color="auto" w:fill="C5E0B3"/>
            <w:hideMark/>
          </w:tcPr>
          <w:p w14:paraId="7FA8F2A9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</w:tr>
      <w:tr w:rsidR="00DD50C2" w:rsidRPr="00A608C5" w14:paraId="15E1EA7A" w14:textId="77777777" w:rsidTr="004D5406">
        <w:trPr>
          <w:trHeight w:val="1110"/>
          <w:jc w:val="center"/>
        </w:trPr>
        <w:tc>
          <w:tcPr>
            <w:tcW w:w="394" w:type="pct"/>
            <w:hideMark/>
          </w:tcPr>
          <w:p w14:paraId="2992CC48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Candan </w:t>
            </w:r>
            <w:r w:rsidRPr="00A608C5">
              <w:rPr>
                <w:rFonts w:ascii="Times New Roman" w:hAnsi="Times New Roman" w:cs="Times New Roman"/>
                <w:i/>
              </w:rPr>
              <w:t>et al.</w:t>
            </w:r>
            <w:r w:rsidRPr="00A608C5">
              <w:rPr>
                <w:rFonts w:ascii="Times New Roman" w:hAnsi="Times New Roman" w:cs="Times New Roman"/>
              </w:rPr>
              <w:t xml:space="preserve"> </w:t>
            </w:r>
            <w:r w:rsidRPr="00A608C5">
              <w:rPr>
                <w:rFonts w:ascii="Times New Roman" w:hAnsi="Times New Roman" w:cs="Times New Roman"/>
                <w:noProof/>
              </w:rPr>
              <w:t>[42]</w:t>
            </w:r>
            <w:r w:rsidRPr="00A608C5">
              <w:rPr>
                <w:rFonts w:ascii="Times New Roman" w:hAnsi="Times New Roman" w:cs="Times New Roman"/>
              </w:rPr>
              <w:t xml:space="preserve">, 2014,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 xml:space="preserve">Int J Cardiovasc Imaging </w:t>
            </w:r>
          </w:p>
        </w:tc>
        <w:tc>
          <w:tcPr>
            <w:tcW w:w="391" w:type="pct"/>
            <w:hideMark/>
          </w:tcPr>
          <w:p w14:paraId="7FB3C144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309" w:type="pct"/>
            <w:hideMark/>
          </w:tcPr>
          <w:p w14:paraId="2E0A491D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45.7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13.5</w:t>
            </w:r>
          </w:p>
        </w:tc>
        <w:tc>
          <w:tcPr>
            <w:tcW w:w="244" w:type="pct"/>
            <w:hideMark/>
          </w:tcPr>
          <w:p w14:paraId="5BA3974E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566" w:type="pct"/>
            <w:hideMark/>
          </w:tcPr>
          <w:p w14:paraId="2DF066E6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Severe/both</w:t>
            </w:r>
          </w:p>
        </w:tc>
        <w:tc>
          <w:tcPr>
            <w:tcW w:w="368" w:type="pct"/>
            <w:hideMark/>
          </w:tcPr>
          <w:p w14:paraId="7AA85E0B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Surgery (repair 56.6%, replacement 43.4%)</w:t>
            </w:r>
          </w:p>
        </w:tc>
        <w:tc>
          <w:tcPr>
            <w:tcW w:w="439" w:type="pct"/>
            <w:hideMark/>
          </w:tcPr>
          <w:p w14:paraId="282CB9B1" w14:textId="77777777" w:rsidR="005D35DC" w:rsidRPr="00A608C5" w:rsidRDefault="005D35DC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608C5">
              <w:rPr>
                <w:rFonts w:ascii="Times New Roman" w:hAnsi="Times New Roman" w:cs="Times New Roman"/>
              </w:rPr>
              <w:t xml:space="preserve">Interobserver: ICC 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>2.7% (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>1.9%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>7.3%);</w:t>
            </w:r>
          </w:p>
          <w:p w14:paraId="56DC9224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proofErr w:type="spellStart"/>
            <w:r w:rsidRPr="00A608C5">
              <w:rPr>
                <w:rFonts w:ascii="Times New Roman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hAnsi="Times New Roman" w:cs="Times New Roman"/>
              </w:rPr>
              <w:t>: ICC 0.90% (0.84%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>0.83);</w:t>
            </w:r>
          </w:p>
        </w:tc>
        <w:tc>
          <w:tcPr>
            <w:tcW w:w="280" w:type="pct"/>
            <w:hideMark/>
          </w:tcPr>
          <w:p w14:paraId="66DF5CEC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64.6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7.1</w:t>
            </w:r>
          </w:p>
        </w:tc>
        <w:tc>
          <w:tcPr>
            <w:tcW w:w="377" w:type="pct"/>
            <w:hideMark/>
          </w:tcPr>
          <w:p w14:paraId="21FCAE84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proofErr w:type="spellStart"/>
            <w:r w:rsidRPr="00A608C5">
              <w:rPr>
                <w:rFonts w:ascii="Times New Roman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hAnsi="Times New Roman" w:cs="Times New Roman"/>
              </w:rPr>
              <w:t>: 58.2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15.7 (mL/m</w:t>
            </w:r>
            <w:r w:rsidRPr="00A608C5">
              <w:rPr>
                <w:rFonts w:ascii="Times New Roman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48" w:type="pct"/>
            <w:shd w:val="clear" w:color="auto" w:fill="C5E0B3"/>
            <w:hideMark/>
          </w:tcPr>
          <w:p w14:paraId="75BFBD31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LARR: </w:t>
            </w:r>
            <w:proofErr w:type="spellStart"/>
            <w:r w:rsidRPr="00A608C5">
              <w:rPr>
                <w:rFonts w:ascii="Times New Roman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hAnsi="Times New Roman" w:cs="Times New Roman"/>
              </w:rPr>
              <w:t xml:space="preserve"> reduction</w:t>
            </w:r>
          </w:p>
        </w:tc>
        <w:tc>
          <w:tcPr>
            <w:tcW w:w="384" w:type="pct"/>
            <w:shd w:val="clear" w:color="auto" w:fill="C5E0B3"/>
            <w:hideMark/>
          </w:tcPr>
          <w:p w14:paraId="57C9E654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&gt;6 months</w:t>
            </w:r>
          </w:p>
        </w:tc>
        <w:tc>
          <w:tcPr>
            <w:tcW w:w="404" w:type="pct"/>
            <w:shd w:val="clear" w:color="auto" w:fill="C5E0B3"/>
            <w:hideMark/>
          </w:tcPr>
          <w:p w14:paraId="77960326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Larger </w:t>
            </w:r>
            <w:proofErr w:type="spellStart"/>
            <w:r w:rsidRPr="00A608C5">
              <w:rPr>
                <w:rFonts w:ascii="Times New Roman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hAnsi="Times New Roman" w:cs="Times New Roman"/>
              </w:rPr>
              <w:t xml:space="preserve"> on </w:t>
            </w:r>
            <w:proofErr w:type="spellStart"/>
            <w:r w:rsidRPr="00A608C5">
              <w:rPr>
                <w:rFonts w:ascii="Times New Roman" w:hAnsi="Times New Roman" w:cs="Times New Roman"/>
              </w:rPr>
              <w:t>multiva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>s</w:t>
            </w:r>
            <w:r w:rsidRPr="00A608C5">
              <w:rPr>
                <w:rFonts w:ascii="Times New Roman" w:hAnsi="Times New Roman" w:cs="Times New Roman"/>
              </w:rPr>
              <w:t>riate</w:t>
            </w:r>
            <w:proofErr w:type="spellEnd"/>
            <w:r w:rsidRPr="00A608C5">
              <w:rPr>
                <w:rFonts w:ascii="Times New Roman" w:hAnsi="Times New Roman" w:cs="Times New Roman"/>
              </w:rPr>
              <w:t xml:space="preserve"> linear regression analysis was associated with more significant post-operative </w:t>
            </w:r>
            <w:proofErr w:type="spellStart"/>
            <w:r w:rsidRPr="00A608C5">
              <w:rPr>
                <w:rFonts w:ascii="Times New Roman" w:hAnsi="Times New Roman" w:cs="Times New Roman"/>
              </w:rPr>
              <w:lastRenderedPageBreak/>
              <w:t>LAVi</w:t>
            </w:r>
            <w:proofErr w:type="spellEnd"/>
            <w:r w:rsidRPr="00A608C5">
              <w:rPr>
                <w:rFonts w:ascii="Times New Roman" w:hAnsi="Times New Roman" w:cs="Times New Roman"/>
              </w:rPr>
              <w:t xml:space="preserve"> reduction (β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 xml:space="preserve">0.64,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&lt;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 xml:space="preserve">0.001). </w:t>
            </w:r>
          </w:p>
        </w:tc>
        <w:tc>
          <w:tcPr>
            <w:tcW w:w="397" w:type="pct"/>
            <w:shd w:val="clear" w:color="auto" w:fill="C5E0B3"/>
            <w:hideMark/>
          </w:tcPr>
          <w:p w14:paraId="5103B274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lastRenderedPageBreak/>
              <w:t>NA</w:t>
            </w:r>
          </w:p>
        </w:tc>
      </w:tr>
      <w:tr w:rsidR="00DD50C2" w:rsidRPr="00A608C5" w14:paraId="67E4A3FF" w14:textId="77777777" w:rsidTr="004D5406">
        <w:trPr>
          <w:trHeight w:val="694"/>
          <w:jc w:val="center"/>
        </w:trPr>
        <w:tc>
          <w:tcPr>
            <w:tcW w:w="394" w:type="pct"/>
            <w:vMerge w:val="restart"/>
            <w:hideMark/>
          </w:tcPr>
          <w:p w14:paraId="16ED1819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Di Gioia </w:t>
            </w:r>
            <w:r w:rsidRPr="00A608C5">
              <w:rPr>
                <w:rFonts w:ascii="Times New Roman" w:hAnsi="Times New Roman" w:cs="Times New Roman"/>
                <w:i/>
              </w:rPr>
              <w:t>et al.</w:t>
            </w:r>
            <w:r w:rsidRPr="00A608C5">
              <w:rPr>
                <w:rFonts w:ascii="Times New Roman" w:hAnsi="Times New Roman" w:cs="Times New Roman"/>
              </w:rPr>
              <w:t xml:space="preserve"> </w:t>
            </w:r>
            <w:r w:rsidRPr="00A608C5">
              <w:rPr>
                <w:rFonts w:ascii="Times New Roman" w:hAnsi="Times New Roman" w:cs="Times New Roman"/>
                <w:noProof/>
              </w:rPr>
              <w:t>[40]</w:t>
            </w:r>
            <w:r w:rsidRPr="00A608C5">
              <w:rPr>
                <w:rFonts w:ascii="Times New Roman" w:hAnsi="Times New Roman" w:cs="Times New Roman"/>
              </w:rPr>
              <w:t xml:space="preserve">, 2017,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 xml:space="preserve">Int J </w:t>
            </w:r>
            <w:proofErr w:type="spellStart"/>
            <w:r w:rsidRPr="00A608C5">
              <w:rPr>
                <w:rFonts w:ascii="Times New Roman" w:hAnsi="Times New Roman" w:cs="Times New Roman"/>
                <w:i/>
                <w:iCs/>
              </w:rPr>
              <w:t>Cardiol</w:t>
            </w:r>
            <w:proofErr w:type="spellEnd"/>
          </w:p>
        </w:tc>
        <w:tc>
          <w:tcPr>
            <w:tcW w:w="391" w:type="pct"/>
            <w:vMerge w:val="restart"/>
            <w:hideMark/>
          </w:tcPr>
          <w:p w14:paraId="20C23F64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134</w:t>
            </w:r>
          </w:p>
        </w:tc>
        <w:tc>
          <w:tcPr>
            <w:tcW w:w="309" w:type="pct"/>
            <w:vMerge w:val="restart"/>
            <w:hideMark/>
          </w:tcPr>
          <w:p w14:paraId="57069DAB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59.6 ± 3.3</w:t>
            </w:r>
          </w:p>
        </w:tc>
        <w:tc>
          <w:tcPr>
            <w:tcW w:w="244" w:type="pct"/>
            <w:vMerge w:val="restart"/>
            <w:hideMark/>
          </w:tcPr>
          <w:p w14:paraId="33DB87C2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566" w:type="pct"/>
            <w:vMerge w:val="restart"/>
            <w:hideMark/>
          </w:tcPr>
          <w:p w14:paraId="07F3E0C4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Severe/both</w:t>
            </w:r>
          </w:p>
        </w:tc>
        <w:tc>
          <w:tcPr>
            <w:tcW w:w="368" w:type="pct"/>
            <w:vMerge w:val="restart"/>
            <w:hideMark/>
          </w:tcPr>
          <w:p w14:paraId="32027707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Surgery (repair 87.3%, replacement 12.7%)</w:t>
            </w:r>
          </w:p>
        </w:tc>
        <w:tc>
          <w:tcPr>
            <w:tcW w:w="439" w:type="pct"/>
            <w:vMerge w:val="restart"/>
            <w:hideMark/>
          </w:tcPr>
          <w:p w14:paraId="239D0762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80" w:type="pct"/>
            <w:vMerge w:val="restart"/>
            <w:hideMark/>
          </w:tcPr>
          <w:p w14:paraId="5A310B26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60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77" w:type="pct"/>
            <w:vMerge w:val="restart"/>
            <w:hideMark/>
          </w:tcPr>
          <w:p w14:paraId="268594C3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proofErr w:type="spellStart"/>
            <w:r w:rsidRPr="00A608C5">
              <w:rPr>
                <w:rFonts w:ascii="Times New Roman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hAnsi="Times New Roman" w:cs="Times New Roman"/>
              </w:rPr>
              <w:t>: 50.7 ± 3.5 (mL/m</w:t>
            </w:r>
            <w:r w:rsidRPr="00A608C5">
              <w:rPr>
                <w:rFonts w:ascii="Times New Roman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48" w:type="pct"/>
            <w:shd w:val="clear" w:color="auto" w:fill="D9D9D9"/>
            <w:hideMark/>
          </w:tcPr>
          <w:p w14:paraId="6DA8BC27" w14:textId="77777777" w:rsidR="005D35DC" w:rsidRPr="00A608C5" w:rsidRDefault="005D35DC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608C5">
              <w:rPr>
                <w:rFonts w:ascii="Times New Roman" w:hAnsi="Times New Roman" w:cs="Times New Roman"/>
              </w:rPr>
              <w:t>Early post-operative atrial fibrillation, late atrial fibrillation</w:t>
            </w:r>
          </w:p>
        </w:tc>
        <w:tc>
          <w:tcPr>
            <w:tcW w:w="384" w:type="pct"/>
            <w:shd w:val="clear" w:color="auto" w:fill="D9D9D9"/>
            <w:hideMark/>
          </w:tcPr>
          <w:p w14:paraId="7D4710A9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within 2 weeks and more than 2 weeks after surgery</w:t>
            </w:r>
          </w:p>
        </w:tc>
        <w:tc>
          <w:tcPr>
            <w:tcW w:w="404" w:type="pct"/>
            <w:shd w:val="clear" w:color="auto" w:fill="D9D9D9"/>
            <w:hideMark/>
          </w:tcPr>
          <w:p w14:paraId="2A572433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Larger </w:t>
            </w:r>
            <w:proofErr w:type="spellStart"/>
            <w:r w:rsidRPr="00A608C5">
              <w:rPr>
                <w:rFonts w:ascii="Times New Roman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hAnsi="Times New Roman" w:cs="Times New Roman"/>
              </w:rPr>
              <w:t xml:space="preserve"> on multivariate logistic regression analysis was associated with more frequent early atrial fibrillation (OR 1.03 [1.00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 xml:space="preserve">1.06];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0.01) and late post-operative atrial fibrillation (HR 1.03 [1.00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 xml:space="preserve">1.06],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 xml:space="preserve">0.02). </w:t>
            </w:r>
          </w:p>
        </w:tc>
        <w:tc>
          <w:tcPr>
            <w:tcW w:w="397" w:type="pct"/>
            <w:shd w:val="clear" w:color="auto" w:fill="D9D9D9"/>
            <w:hideMark/>
          </w:tcPr>
          <w:p w14:paraId="6C14754B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NA</w:t>
            </w:r>
          </w:p>
        </w:tc>
      </w:tr>
      <w:tr w:rsidR="00DD50C2" w:rsidRPr="00A608C5" w14:paraId="353E1F14" w14:textId="77777777" w:rsidTr="004D5406">
        <w:trPr>
          <w:trHeight w:val="1665"/>
          <w:jc w:val="center"/>
        </w:trPr>
        <w:tc>
          <w:tcPr>
            <w:tcW w:w="394" w:type="pct"/>
            <w:vMerge/>
            <w:hideMark/>
          </w:tcPr>
          <w:p w14:paraId="49746140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91" w:type="pct"/>
            <w:vMerge/>
            <w:hideMark/>
          </w:tcPr>
          <w:p w14:paraId="10C3B882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09" w:type="pct"/>
            <w:vMerge/>
            <w:hideMark/>
          </w:tcPr>
          <w:p w14:paraId="3F8A080D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244" w:type="pct"/>
            <w:vMerge/>
            <w:hideMark/>
          </w:tcPr>
          <w:p w14:paraId="2D63B6BC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566" w:type="pct"/>
            <w:vMerge/>
            <w:hideMark/>
          </w:tcPr>
          <w:p w14:paraId="6566263B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68" w:type="pct"/>
            <w:vMerge/>
            <w:hideMark/>
          </w:tcPr>
          <w:p w14:paraId="1AD5A0C5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439" w:type="pct"/>
            <w:vMerge/>
            <w:hideMark/>
          </w:tcPr>
          <w:p w14:paraId="1085584C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280" w:type="pct"/>
            <w:vMerge/>
            <w:hideMark/>
          </w:tcPr>
          <w:p w14:paraId="66990DF6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77" w:type="pct"/>
            <w:vMerge/>
            <w:hideMark/>
          </w:tcPr>
          <w:p w14:paraId="18B9729B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448" w:type="pct"/>
            <w:shd w:val="clear" w:color="auto" w:fill="C5E0B3"/>
            <w:hideMark/>
          </w:tcPr>
          <w:p w14:paraId="1D6E6ECA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LARR and LV reverse remodeling: </w:t>
            </w:r>
            <w:proofErr w:type="spellStart"/>
            <w:r w:rsidRPr="00A608C5">
              <w:rPr>
                <w:rFonts w:ascii="Times New Roman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hAnsi="Times New Roman" w:cs="Times New Roman"/>
              </w:rPr>
              <w:t xml:space="preserve"> reduction &gt;15% and any reduction of LV mass</w:t>
            </w:r>
          </w:p>
        </w:tc>
        <w:tc>
          <w:tcPr>
            <w:tcW w:w="384" w:type="pct"/>
            <w:shd w:val="clear" w:color="auto" w:fill="C5E0B3"/>
            <w:hideMark/>
          </w:tcPr>
          <w:p w14:paraId="309D03FD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42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16 months (3.5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1.3 years)</w:t>
            </w:r>
          </w:p>
        </w:tc>
        <w:tc>
          <w:tcPr>
            <w:tcW w:w="404" w:type="pct"/>
            <w:shd w:val="clear" w:color="auto" w:fill="C5E0B3"/>
            <w:hideMark/>
          </w:tcPr>
          <w:p w14:paraId="12AEDB20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Larger </w:t>
            </w:r>
            <w:proofErr w:type="spellStart"/>
            <w:r w:rsidRPr="00A608C5">
              <w:rPr>
                <w:rFonts w:ascii="Times New Roman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hAnsi="Times New Roman" w:cs="Times New Roman"/>
              </w:rPr>
              <w:t xml:space="preserve"> on multivariate logistic regression analysis was associated with more frequent atrial and ventricular reverse remodeling (OR 1.04 [1.01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 xml:space="preserve">1.07],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 xml:space="preserve">0.01). </w:t>
            </w:r>
          </w:p>
        </w:tc>
        <w:tc>
          <w:tcPr>
            <w:tcW w:w="397" w:type="pct"/>
            <w:shd w:val="clear" w:color="auto" w:fill="C5E0B3"/>
            <w:hideMark/>
          </w:tcPr>
          <w:p w14:paraId="591928C6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NA</w:t>
            </w:r>
          </w:p>
        </w:tc>
      </w:tr>
      <w:tr w:rsidR="00DD50C2" w:rsidRPr="00A608C5" w14:paraId="6A82FB0D" w14:textId="77777777" w:rsidTr="004D5406">
        <w:trPr>
          <w:trHeight w:val="1665"/>
          <w:jc w:val="center"/>
        </w:trPr>
        <w:tc>
          <w:tcPr>
            <w:tcW w:w="394" w:type="pct"/>
            <w:vMerge w:val="restart"/>
            <w:hideMark/>
          </w:tcPr>
          <w:p w14:paraId="2B3B125E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Kim </w:t>
            </w:r>
            <w:r w:rsidRPr="00A608C5">
              <w:rPr>
                <w:rFonts w:ascii="Times New Roman" w:hAnsi="Times New Roman" w:cs="Times New Roman"/>
                <w:i/>
              </w:rPr>
              <w:t>et al.</w:t>
            </w:r>
            <w:r w:rsidRPr="00A608C5">
              <w:rPr>
                <w:rFonts w:ascii="Times New Roman" w:hAnsi="Times New Roman" w:cs="Times New Roman"/>
              </w:rPr>
              <w:t xml:space="preserve"> </w:t>
            </w:r>
            <w:r w:rsidRPr="00A608C5">
              <w:rPr>
                <w:rFonts w:ascii="Times New Roman" w:hAnsi="Times New Roman" w:cs="Times New Roman"/>
                <w:noProof/>
              </w:rPr>
              <w:t>[39]</w:t>
            </w:r>
            <w:r w:rsidRPr="00A608C5">
              <w:rPr>
                <w:rFonts w:ascii="Times New Roman" w:hAnsi="Times New Roman" w:cs="Times New Roman"/>
              </w:rPr>
              <w:t xml:space="preserve">, 2018,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JACC Cardiovasc Imaging</w:t>
            </w:r>
          </w:p>
        </w:tc>
        <w:tc>
          <w:tcPr>
            <w:tcW w:w="391" w:type="pct"/>
            <w:vMerge w:val="restart"/>
            <w:hideMark/>
          </w:tcPr>
          <w:p w14:paraId="143C5A4C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506</w:t>
            </w:r>
          </w:p>
        </w:tc>
        <w:tc>
          <w:tcPr>
            <w:tcW w:w="309" w:type="pct"/>
            <w:vMerge w:val="restart"/>
            <w:hideMark/>
          </w:tcPr>
          <w:p w14:paraId="6A60C749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58.5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13.7</w:t>
            </w:r>
          </w:p>
        </w:tc>
        <w:tc>
          <w:tcPr>
            <w:tcW w:w="244" w:type="pct"/>
            <w:vMerge w:val="restart"/>
            <w:hideMark/>
          </w:tcPr>
          <w:p w14:paraId="1DCA25C5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566" w:type="pct"/>
            <w:vMerge w:val="restart"/>
            <w:hideMark/>
          </w:tcPr>
          <w:p w14:paraId="6F17BFC5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Severe/both</w:t>
            </w:r>
          </w:p>
        </w:tc>
        <w:tc>
          <w:tcPr>
            <w:tcW w:w="368" w:type="pct"/>
            <w:vMerge w:val="restart"/>
            <w:hideMark/>
          </w:tcPr>
          <w:p w14:paraId="7D24D429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Surgery (repair 75%, replacement 25%)</w:t>
            </w:r>
          </w:p>
        </w:tc>
        <w:tc>
          <w:tcPr>
            <w:tcW w:w="439" w:type="pct"/>
            <w:vMerge w:val="restart"/>
            <w:hideMark/>
          </w:tcPr>
          <w:p w14:paraId="08EC22CE" w14:textId="77777777" w:rsidR="005D35DC" w:rsidRPr="00A608C5" w:rsidRDefault="005D35DC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608C5">
              <w:rPr>
                <w:rFonts w:ascii="Times New Roman" w:hAnsi="Times New Roman" w:cs="Times New Roman"/>
              </w:rPr>
              <w:t xml:space="preserve">Interobserver: ICC 0.96; </w:t>
            </w:r>
          </w:p>
          <w:p w14:paraId="660000B1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proofErr w:type="spellStart"/>
            <w:r w:rsidRPr="00A608C5">
              <w:rPr>
                <w:rFonts w:ascii="Times New Roman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hAnsi="Times New Roman" w:cs="Times New Roman"/>
              </w:rPr>
              <w:t>: NA</w:t>
            </w:r>
          </w:p>
        </w:tc>
        <w:tc>
          <w:tcPr>
            <w:tcW w:w="280" w:type="pct"/>
            <w:vMerge w:val="restart"/>
            <w:hideMark/>
          </w:tcPr>
          <w:p w14:paraId="2927678F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59.9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8.2</w:t>
            </w:r>
          </w:p>
        </w:tc>
        <w:tc>
          <w:tcPr>
            <w:tcW w:w="377" w:type="pct"/>
            <w:vMerge w:val="restart"/>
            <w:hideMark/>
          </w:tcPr>
          <w:p w14:paraId="67BCA9F2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LA dimension: 56.4 ± 2.0 (mm)</w:t>
            </w:r>
          </w:p>
        </w:tc>
        <w:tc>
          <w:tcPr>
            <w:tcW w:w="448" w:type="pct"/>
            <w:shd w:val="clear" w:color="auto" w:fill="BDD6EE"/>
            <w:hideMark/>
          </w:tcPr>
          <w:p w14:paraId="4BD09051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Cardiac events (cardiac death, worsening heart failure, reoperation for failure of MV surgery)</w:t>
            </w:r>
          </w:p>
        </w:tc>
        <w:tc>
          <w:tcPr>
            <w:tcW w:w="384" w:type="pct"/>
            <w:shd w:val="clear" w:color="auto" w:fill="BDD6EE"/>
            <w:hideMark/>
          </w:tcPr>
          <w:p w14:paraId="1B3D4061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3.5 (1.3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>6.3) years</w:t>
            </w:r>
          </w:p>
        </w:tc>
        <w:tc>
          <w:tcPr>
            <w:tcW w:w="404" w:type="pct"/>
            <w:shd w:val="clear" w:color="auto" w:fill="BDD6EE"/>
            <w:hideMark/>
          </w:tcPr>
          <w:p w14:paraId="17DB919F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Larger LA dimension on multivariate Cox analysis was associated with more frequent cardiac events (HR 1.034 [1.006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 xml:space="preserve">1.063],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lastRenderedPageBreak/>
              <w:t xml:space="preserve">0.019). </w:t>
            </w:r>
          </w:p>
        </w:tc>
        <w:tc>
          <w:tcPr>
            <w:tcW w:w="397" w:type="pct"/>
            <w:shd w:val="clear" w:color="auto" w:fill="BDD6EE"/>
            <w:hideMark/>
          </w:tcPr>
          <w:p w14:paraId="5D6E4612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lastRenderedPageBreak/>
              <w:t>NA</w:t>
            </w:r>
          </w:p>
        </w:tc>
      </w:tr>
      <w:tr w:rsidR="00DD50C2" w:rsidRPr="00A608C5" w14:paraId="32A67BAF" w14:textId="77777777" w:rsidTr="004D5406">
        <w:trPr>
          <w:trHeight w:val="833"/>
          <w:jc w:val="center"/>
        </w:trPr>
        <w:tc>
          <w:tcPr>
            <w:tcW w:w="394" w:type="pct"/>
            <w:vMerge/>
            <w:hideMark/>
          </w:tcPr>
          <w:p w14:paraId="3DE60BBF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91" w:type="pct"/>
            <w:vMerge/>
            <w:hideMark/>
          </w:tcPr>
          <w:p w14:paraId="3D5D790D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09" w:type="pct"/>
            <w:vMerge/>
            <w:hideMark/>
          </w:tcPr>
          <w:p w14:paraId="45F9B952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244" w:type="pct"/>
            <w:vMerge/>
            <w:hideMark/>
          </w:tcPr>
          <w:p w14:paraId="18475137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566" w:type="pct"/>
            <w:vMerge/>
            <w:hideMark/>
          </w:tcPr>
          <w:p w14:paraId="030356F8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68" w:type="pct"/>
            <w:vMerge/>
            <w:hideMark/>
          </w:tcPr>
          <w:p w14:paraId="322C0D1C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439" w:type="pct"/>
            <w:vMerge/>
            <w:hideMark/>
          </w:tcPr>
          <w:p w14:paraId="5EFFBAAC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280" w:type="pct"/>
            <w:vMerge/>
            <w:hideMark/>
          </w:tcPr>
          <w:p w14:paraId="13A93E9D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77" w:type="pct"/>
            <w:vMerge/>
            <w:hideMark/>
          </w:tcPr>
          <w:p w14:paraId="5ED3D69D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448" w:type="pct"/>
            <w:shd w:val="clear" w:color="auto" w:fill="FFB9B9"/>
            <w:hideMark/>
          </w:tcPr>
          <w:p w14:paraId="7FDD2D1B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All-cause mortality</w:t>
            </w:r>
          </w:p>
        </w:tc>
        <w:tc>
          <w:tcPr>
            <w:tcW w:w="384" w:type="pct"/>
            <w:shd w:val="clear" w:color="auto" w:fill="FFB9B9"/>
            <w:hideMark/>
          </w:tcPr>
          <w:p w14:paraId="63187079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3.5 (1.3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>6.3) years</w:t>
            </w:r>
          </w:p>
        </w:tc>
        <w:tc>
          <w:tcPr>
            <w:tcW w:w="404" w:type="pct"/>
            <w:shd w:val="clear" w:color="auto" w:fill="FFB9B9"/>
            <w:hideMark/>
          </w:tcPr>
          <w:p w14:paraId="3B9FC1FA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Larger LA dimension on multivariate Cox analysis was associated with all-cause mortality (HR 1.031 [1.005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 xml:space="preserve">1.058],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 xml:space="preserve">0.019). </w:t>
            </w:r>
          </w:p>
        </w:tc>
        <w:tc>
          <w:tcPr>
            <w:tcW w:w="397" w:type="pct"/>
            <w:shd w:val="clear" w:color="auto" w:fill="FFB9B9"/>
            <w:hideMark/>
          </w:tcPr>
          <w:p w14:paraId="7AE15C7F" w14:textId="77777777" w:rsidR="005D35DC" w:rsidRPr="00A608C5" w:rsidRDefault="005D35DC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NA</w:t>
            </w:r>
          </w:p>
        </w:tc>
      </w:tr>
      <w:tr w:rsidR="00DD50C2" w:rsidRPr="00A608C5" w14:paraId="0C8B76E1" w14:textId="77777777" w:rsidTr="004D5406">
        <w:trPr>
          <w:trHeight w:val="7406"/>
          <w:jc w:val="center"/>
        </w:trPr>
        <w:tc>
          <w:tcPr>
            <w:tcW w:w="394" w:type="pct"/>
            <w:hideMark/>
          </w:tcPr>
          <w:p w14:paraId="37E3B2AE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lastRenderedPageBreak/>
              <w:t>Essayagh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[38]</w:t>
            </w:r>
            <w:r w:rsidRPr="00A608C5">
              <w:rPr>
                <w:rFonts w:ascii="Times New Roman" w:eastAsia="等线" w:hAnsi="Times New Roman" w:cs="Times New Roman"/>
              </w:rPr>
              <w:t>, 2019,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J Am Coll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t>Cardiol</w:t>
            </w:r>
            <w:proofErr w:type="spellEnd"/>
          </w:p>
        </w:tc>
        <w:tc>
          <w:tcPr>
            <w:tcW w:w="391" w:type="pct"/>
            <w:hideMark/>
          </w:tcPr>
          <w:p w14:paraId="354A8957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5769 (1405 patients underwent mitral valve surgery)</w:t>
            </w:r>
          </w:p>
        </w:tc>
        <w:tc>
          <w:tcPr>
            <w:tcW w:w="309" w:type="pct"/>
            <w:hideMark/>
          </w:tcPr>
          <w:p w14:paraId="07839711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63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16</w:t>
            </w:r>
          </w:p>
        </w:tc>
        <w:tc>
          <w:tcPr>
            <w:tcW w:w="244" w:type="pct"/>
            <w:hideMark/>
          </w:tcPr>
          <w:p w14:paraId="5E470D17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47</w:t>
            </w:r>
          </w:p>
        </w:tc>
        <w:tc>
          <w:tcPr>
            <w:tcW w:w="566" w:type="pct"/>
            <w:hideMark/>
          </w:tcPr>
          <w:p w14:paraId="66CE01BF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All patients with a diagnosis of degenerative mitral disease</w:t>
            </w:r>
          </w:p>
        </w:tc>
        <w:tc>
          <w:tcPr>
            <w:tcW w:w="368" w:type="pct"/>
            <w:hideMark/>
          </w:tcPr>
          <w:p w14:paraId="0825E6CA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24% (repair 92%, replacement 8%) + conservative (76%)</w:t>
            </w:r>
          </w:p>
        </w:tc>
        <w:tc>
          <w:tcPr>
            <w:tcW w:w="439" w:type="pct"/>
            <w:hideMark/>
          </w:tcPr>
          <w:p w14:paraId="3113842A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280" w:type="pct"/>
            <w:hideMark/>
          </w:tcPr>
          <w:p w14:paraId="54C1FC40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63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8</w:t>
            </w:r>
          </w:p>
        </w:tc>
        <w:tc>
          <w:tcPr>
            <w:tcW w:w="377" w:type="pct"/>
            <w:hideMark/>
          </w:tcPr>
          <w:p w14:paraId="30F6F78C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Overall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43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24 (mL/m</w:t>
            </w:r>
            <w:r w:rsidRPr="0059525F">
              <w:rPr>
                <w:rFonts w:ascii="Times New Roman" w:eastAsia="等线" w:hAnsi="Times New Roman" w:cs="Times New Roman"/>
                <w:vertAlign w:val="superscript"/>
              </w:rPr>
              <w:t>2</w:t>
            </w:r>
            <w:r w:rsidRPr="0059525F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448" w:type="pct"/>
            <w:shd w:val="clear" w:color="auto" w:fill="FFB9B9"/>
            <w:hideMark/>
          </w:tcPr>
          <w:p w14:paraId="0D83769A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Post-operative survival (secondary endpoints)</w:t>
            </w:r>
          </w:p>
        </w:tc>
        <w:tc>
          <w:tcPr>
            <w:tcW w:w="384" w:type="pct"/>
            <w:shd w:val="clear" w:color="auto" w:fill="FFB9B9"/>
            <w:hideMark/>
          </w:tcPr>
          <w:p w14:paraId="0769A307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6.8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3.1 years</w:t>
            </w:r>
          </w:p>
        </w:tc>
        <w:tc>
          <w:tcPr>
            <w:tcW w:w="404" w:type="pct"/>
            <w:shd w:val="clear" w:color="auto" w:fill="FFB9B9"/>
            <w:hideMark/>
          </w:tcPr>
          <w:p w14:paraId="7A9FF60B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For the subgroup after mitral surgery: Higher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on univariate Cox survival analysis was associated with higher mortality (As continuous variable: HR 1.08 [1.04–1.13], </w:t>
            </w:r>
            <w:r w:rsidRPr="00A608C5">
              <w:rPr>
                <w:rFonts w:ascii="Times New Roman" w:eastAsia="等线" w:hAnsi="Times New Roman" w:cs="Times New Roman"/>
                <w:i/>
                <w:iCs/>
                <w:lang w:eastAsia="zh-CN"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0.0002 per 10 m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L</w:t>
            </w:r>
            <w:r w:rsidRPr="00A608C5">
              <w:rPr>
                <w:rFonts w:ascii="Times New Roman" w:eastAsia="等线" w:hAnsi="Times New Roman" w:cs="Times New Roman"/>
              </w:rPr>
              <w:t>/m</w:t>
            </w:r>
            <w:r w:rsidRPr="00A608C5">
              <w:rPr>
                <w:rFonts w:ascii="Times New Roman" w:eastAsia="等线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eastAsia="等线" w:hAnsi="Times New Roman" w:cs="Times New Roman"/>
              </w:rPr>
              <w:t xml:space="preserve">; As categorical variable defined in previous studies of mitral diseases: HR 1.65 [1.10–2.55], </w:t>
            </w:r>
            <w:r w:rsidRPr="00A608C5">
              <w:rPr>
                <w:rFonts w:ascii="Times New Roman" w:eastAsia="等线" w:hAnsi="Times New Roman" w:cs="Times New Roman"/>
                <w:i/>
                <w:iCs/>
                <w:lang w:eastAsia="zh-CN"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0.02 for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≥60 mL/m</w:t>
            </w:r>
            <w:r w:rsidRPr="00A608C5">
              <w:rPr>
                <w:rFonts w:ascii="Times New Roman" w:eastAsia="等线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eastAsia="等线" w:hAnsi="Times New Roman" w:cs="Times New Roman"/>
              </w:rPr>
              <w:t xml:space="preserve"> vs. &lt;40 mL/m</w:t>
            </w:r>
            <w:r w:rsidRPr="00A608C5">
              <w:rPr>
                <w:rFonts w:ascii="Times New Roman" w:eastAsia="等线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eastAsia="等线" w:hAnsi="Times New Roman" w:cs="Times New Roman"/>
              </w:rPr>
              <w:t xml:space="preserve"> and HR 1.75 [1.23–2.52], </w:t>
            </w:r>
            <w:r w:rsidRPr="00A608C5">
              <w:rPr>
                <w:rFonts w:ascii="Times New Roman" w:eastAsia="等线" w:hAnsi="Times New Roman" w:cs="Times New Roman"/>
                <w:i/>
                <w:iCs/>
                <w:lang w:eastAsia="zh-CN"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0.0017 vs.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40 to 59 mL/m</w:t>
            </w:r>
            <w:r w:rsidRPr="00A608C5">
              <w:rPr>
                <w:rFonts w:ascii="Times New Roman" w:eastAsia="等线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eastAsia="等线" w:hAnsi="Times New Roman" w:cs="Times New Roman"/>
              </w:rPr>
              <w:t>).</w:t>
            </w:r>
          </w:p>
          <w:p w14:paraId="65AEEE2B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Higher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on multivariate Cox survival analysis as continuous variable was associated with higher mortality (HR 1.05 [1.00–1.11], </w:t>
            </w:r>
            <w:r w:rsidRPr="00A608C5">
              <w:rPr>
                <w:rFonts w:ascii="Times New Roman" w:eastAsia="等线" w:hAnsi="Times New Roman" w:cs="Times New Roman"/>
                <w:i/>
                <w:iCs/>
                <w:lang w:eastAsia="zh-CN"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0.05 per 10 mL/m</w:t>
            </w:r>
            <w:r w:rsidRPr="00A608C5">
              <w:rPr>
                <w:rFonts w:ascii="Times New Roman" w:eastAsia="等线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eastAsia="等线" w:hAnsi="Times New Roman" w:cs="Times New Roman"/>
              </w:rPr>
              <w:t xml:space="preserve">); as categorical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variable was not associated with mortality (the link between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and mortality was significant [log-rank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&lt; 0.0026] but not large and was mostly for severe LA enlargement [10-year survival 85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3% vs. 86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2% and 75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3% for LAVI &lt;40, 40 to 59, and ≥60 mL/m</w:t>
            </w:r>
            <w:r w:rsidRPr="0059525F">
              <w:rPr>
                <w:rFonts w:ascii="Times New Roman" w:eastAsia="等线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eastAsia="等线" w:hAnsi="Times New Roman" w:cs="Times New Roman"/>
              </w:rPr>
              <w:t xml:space="preserve">, respectively;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0.0026]).</w:t>
            </w:r>
          </w:p>
          <w:p w14:paraId="02F3D04D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Incremental prognostic value of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was demonstrated (</w:t>
            </w:r>
            <w:r w:rsidRPr="00A608C5">
              <w:rPr>
                <w:rFonts w:ascii="Times New Roman" w:eastAsia="等线" w:hAnsi="Times New Roman" w:cs="Times New Roman"/>
                <w:i/>
                <w:iCs/>
                <w:lang w:eastAsia="zh-CN"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0.05 per 10 m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L</w:t>
            </w:r>
            <w:r w:rsidRPr="00A608C5">
              <w:rPr>
                <w:rFonts w:ascii="Times New Roman" w:eastAsia="等线" w:hAnsi="Times New Roman" w:cs="Times New Roman"/>
              </w:rPr>
              <w:t>/m</w:t>
            </w:r>
            <w:r w:rsidRPr="00A608C5">
              <w:rPr>
                <w:rFonts w:ascii="Times New Roman" w:eastAsia="等线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eastAsia="等线" w:hAnsi="Times New Roman" w:cs="Times New Roman"/>
              </w:rPr>
              <w:t>).</w:t>
            </w:r>
          </w:p>
        </w:tc>
        <w:tc>
          <w:tcPr>
            <w:tcW w:w="397" w:type="pct"/>
            <w:shd w:val="clear" w:color="auto" w:fill="FFB9B9"/>
            <w:hideMark/>
          </w:tcPr>
          <w:p w14:paraId="5E8AC3EE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</w:tr>
      <w:tr w:rsidR="00DD50C2" w:rsidRPr="00A608C5" w14:paraId="3844FB1C" w14:textId="77777777" w:rsidTr="004D5406">
        <w:trPr>
          <w:trHeight w:val="1253"/>
          <w:jc w:val="center"/>
        </w:trPr>
        <w:tc>
          <w:tcPr>
            <w:tcW w:w="394" w:type="pct"/>
            <w:hideMark/>
          </w:tcPr>
          <w:p w14:paraId="5D5C520E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Szymanski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[37]</w:t>
            </w:r>
            <w:r w:rsidRPr="00A608C5">
              <w:rPr>
                <w:rFonts w:ascii="Times New Roman" w:eastAsia="等线" w:hAnsi="Times New Roman" w:cs="Times New Roman"/>
              </w:rPr>
              <w:t xml:space="preserve">, 2019,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Cardiology</w:t>
            </w:r>
          </w:p>
        </w:tc>
        <w:tc>
          <w:tcPr>
            <w:tcW w:w="391" w:type="pct"/>
            <w:hideMark/>
          </w:tcPr>
          <w:p w14:paraId="39C4C564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305</w:t>
            </w:r>
          </w:p>
        </w:tc>
        <w:tc>
          <w:tcPr>
            <w:tcW w:w="309" w:type="pct"/>
            <w:hideMark/>
          </w:tcPr>
          <w:p w14:paraId="4CD57328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62.6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0.2</w:t>
            </w:r>
          </w:p>
        </w:tc>
        <w:tc>
          <w:tcPr>
            <w:tcW w:w="244" w:type="pct"/>
            <w:hideMark/>
          </w:tcPr>
          <w:p w14:paraId="33AF999A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37</w:t>
            </w:r>
          </w:p>
        </w:tc>
        <w:tc>
          <w:tcPr>
            <w:tcW w:w="566" w:type="pct"/>
            <w:hideMark/>
          </w:tcPr>
          <w:p w14:paraId="72A47B24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severe/both</w:t>
            </w:r>
          </w:p>
        </w:tc>
        <w:tc>
          <w:tcPr>
            <w:tcW w:w="368" w:type="pct"/>
            <w:hideMark/>
          </w:tcPr>
          <w:p w14:paraId="2B14F7E2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100%)</w:t>
            </w:r>
          </w:p>
        </w:tc>
        <w:tc>
          <w:tcPr>
            <w:tcW w:w="439" w:type="pct"/>
            <w:hideMark/>
          </w:tcPr>
          <w:p w14:paraId="5E7670D7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Interobserver: ICC 0.94; </w:t>
            </w:r>
          </w:p>
          <w:p w14:paraId="00D3DCD9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ICC 0.96</w:t>
            </w:r>
          </w:p>
        </w:tc>
        <w:tc>
          <w:tcPr>
            <w:tcW w:w="280" w:type="pct"/>
            <w:hideMark/>
          </w:tcPr>
          <w:p w14:paraId="5ACC2428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67.9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0.8</w:t>
            </w:r>
          </w:p>
        </w:tc>
        <w:tc>
          <w:tcPr>
            <w:tcW w:w="377" w:type="pct"/>
            <w:hideMark/>
          </w:tcPr>
          <w:p w14:paraId="6493FCA1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LA area: 29.4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5.4 (cm</w:t>
            </w:r>
            <w:r w:rsidRPr="00A608C5">
              <w:rPr>
                <w:rFonts w:ascii="Times New Roman" w:eastAsia="等线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448" w:type="pct"/>
            <w:shd w:val="clear" w:color="auto" w:fill="FFB9B9"/>
            <w:hideMark/>
          </w:tcPr>
          <w:p w14:paraId="1C4F9996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All-cause mortality</w:t>
            </w:r>
          </w:p>
        </w:tc>
        <w:tc>
          <w:tcPr>
            <w:tcW w:w="384" w:type="pct"/>
            <w:shd w:val="clear" w:color="auto" w:fill="FFB9B9"/>
            <w:hideMark/>
          </w:tcPr>
          <w:p w14:paraId="34C3D4F4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8.2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3.4 years</w:t>
            </w:r>
          </w:p>
        </w:tc>
        <w:tc>
          <w:tcPr>
            <w:tcW w:w="404" w:type="pct"/>
            <w:shd w:val="clear" w:color="auto" w:fill="FFB9B9"/>
            <w:hideMark/>
          </w:tcPr>
          <w:p w14:paraId="57CD56BA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Larger LA area (&gt;30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cm</w:t>
            </w:r>
            <w:r w:rsidRPr="00A608C5">
              <w:rPr>
                <w:rFonts w:ascii="Times New Roman" w:eastAsia="等线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eastAsia="等线" w:hAnsi="Times New Roman" w:cs="Times New Roman"/>
              </w:rPr>
              <w:t xml:space="preserve">) on multivariable Cox survival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analysis was associated with higher mortality compared to LA area ≤25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cm</w:t>
            </w:r>
            <w:r w:rsidRPr="00A608C5">
              <w:rPr>
                <w:rFonts w:ascii="Times New Roman" w:eastAsia="等线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eastAsia="等线" w:hAnsi="Times New Roman" w:cs="Times New Roman"/>
              </w:rPr>
              <w:t xml:space="preserve"> (adjusted HR 2.20 [1.03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4.90],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0.042).</w:t>
            </w:r>
          </w:p>
        </w:tc>
        <w:tc>
          <w:tcPr>
            <w:tcW w:w="397" w:type="pct"/>
            <w:shd w:val="clear" w:color="auto" w:fill="FFB9B9"/>
            <w:hideMark/>
          </w:tcPr>
          <w:p w14:paraId="7B84FF59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</w:tr>
      <w:tr w:rsidR="00DD50C2" w:rsidRPr="00A608C5" w14:paraId="31AEB4BE" w14:textId="77777777" w:rsidTr="004D5406">
        <w:trPr>
          <w:trHeight w:val="1110"/>
          <w:jc w:val="center"/>
        </w:trPr>
        <w:tc>
          <w:tcPr>
            <w:tcW w:w="394" w:type="pct"/>
            <w:vMerge w:val="restart"/>
            <w:hideMark/>
          </w:tcPr>
          <w:p w14:paraId="49622BBA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Balachandran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[43]</w:t>
            </w:r>
            <w:r w:rsidRPr="00A608C5">
              <w:rPr>
                <w:rFonts w:ascii="Times New Roman" w:eastAsia="等线" w:hAnsi="Times New Roman" w:cs="Times New Roman"/>
              </w:rPr>
              <w:t xml:space="preserve">, 2020,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J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t>Thorac</w:t>
            </w:r>
            <w:proofErr w:type="spellEnd"/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Cardiovasc Surg</w:t>
            </w:r>
          </w:p>
        </w:tc>
        <w:tc>
          <w:tcPr>
            <w:tcW w:w="391" w:type="pct"/>
            <w:vMerge w:val="restart"/>
            <w:hideMark/>
          </w:tcPr>
          <w:p w14:paraId="56344E25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720</w:t>
            </w:r>
          </w:p>
        </w:tc>
        <w:tc>
          <w:tcPr>
            <w:tcW w:w="309" w:type="pct"/>
            <w:vMerge w:val="restart"/>
            <w:hideMark/>
          </w:tcPr>
          <w:p w14:paraId="2FA6B789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61.1 (52.7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69.1)</w:t>
            </w:r>
          </w:p>
        </w:tc>
        <w:tc>
          <w:tcPr>
            <w:tcW w:w="244" w:type="pct"/>
            <w:vMerge w:val="restart"/>
            <w:hideMark/>
          </w:tcPr>
          <w:p w14:paraId="29DBD14C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28</w:t>
            </w:r>
          </w:p>
        </w:tc>
        <w:tc>
          <w:tcPr>
            <w:tcW w:w="566" w:type="pct"/>
            <w:vMerge w:val="restart"/>
            <w:hideMark/>
          </w:tcPr>
          <w:p w14:paraId="70F911DF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severe/both</w:t>
            </w:r>
          </w:p>
        </w:tc>
        <w:tc>
          <w:tcPr>
            <w:tcW w:w="368" w:type="pct"/>
            <w:vMerge w:val="restart"/>
            <w:hideMark/>
          </w:tcPr>
          <w:p w14:paraId="1E2F79DF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100%)</w:t>
            </w:r>
          </w:p>
        </w:tc>
        <w:tc>
          <w:tcPr>
            <w:tcW w:w="439" w:type="pct"/>
            <w:vMerge w:val="restart"/>
            <w:hideMark/>
          </w:tcPr>
          <w:p w14:paraId="1E631C2E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280" w:type="pct"/>
            <w:vMerge w:val="restart"/>
            <w:hideMark/>
          </w:tcPr>
          <w:p w14:paraId="5B3CE514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62 (58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65)</w:t>
            </w:r>
          </w:p>
        </w:tc>
        <w:tc>
          <w:tcPr>
            <w:tcW w:w="377" w:type="pct"/>
            <w:vMerge w:val="restart"/>
            <w:hideMark/>
          </w:tcPr>
          <w:p w14:paraId="4A2D1E56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54.0 (44.0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66.0) (mL/m</w:t>
            </w:r>
            <w:r w:rsidRPr="00A608C5">
              <w:rPr>
                <w:rFonts w:ascii="Times New Roman" w:eastAsia="等线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448" w:type="pct"/>
            <w:shd w:val="clear" w:color="auto" w:fill="C5E0B3"/>
            <w:hideMark/>
          </w:tcPr>
          <w:p w14:paraId="3FF19C90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LARR: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reduction</w:t>
            </w:r>
          </w:p>
        </w:tc>
        <w:tc>
          <w:tcPr>
            <w:tcW w:w="384" w:type="pct"/>
            <w:shd w:val="clear" w:color="auto" w:fill="C5E0B3"/>
            <w:hideMark/>
          </w:tcPr>
          <w:p w14:paraId="3310198E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4.5 (0.1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21.8) months</w:t>
            </w:r>
          </w:p>
        </w:tc>
        <w:tc>
          <w:tcPr>
            <w:tcW w:w="404" w:type="pct"/>
            <w:shd w:val="clear" w:color="auto" w:fill="C5E0B3"/>
            <w:hideMark/>
          </w:tcPr>
          <w:p w14:paraId="0BB11CE1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Larger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on multivariable repeated-measures analysis was associated with greater LARR despite their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level remaining the highest (worst) post-operativel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y (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0.001).</w:t>
            </w:r>
          </w:p>
        </w:tc>
        <w:tc>
          <w:tcPr>
            <w:tcW w:w="397" w:type="pct"/>
            <w:shd w:val="clear" w:color="auto" w:fill="C5E0B3"/>
            <w:hideMark/>
          </w:tcPr>
          <w:p w14:paraId="24AD915F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</w:tr>
      <w:tr w:rsidR="00DD50C2" w:rsidRPr="00A608C5" w14:paraId="27574EF5" w14:textId="77777777" w:rsidTr="004D5406">
        <w:trPr>
          <w:trHeight w:val="833"/>
          <w:jc w:val="center"/>
        </w:trPr>
        <w:tc>
          <w:tcPr>
            <w:tcW w:w="394" w:type="pct"/>
            <w:vMerge/>
            <w:hideMark/>
          </w:tcPr>
          <w:p w14:paraId="16589E97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91" w:type="pct"/>
            <w:vMerge/>
            <w:hideMark/>
          </w:tcPr>
          <w:p w14:paraId="60C8B7DB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09" w:type="pct"/>
            <w:vMerge/>
            <w:hideMark/>
          </w:tcPr>
          <w:p w14:paraId="0F4244D2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44" w:type="pct"/>
            <w:vMerge/>
            <w:hideMark/>
          </w:tcPr>
          <w:p w14:paraId="7C56F438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566" w:type="pct"/>
            <w:vMerge/>
            <w:hideMark/>
          </w:tcPr>
          <w:p w14:paraId="2EE3F092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68" w:type="pct"/>
            <w:vMerge/>
            <w:hideMark/>
          </w:tcPr>
          <w:p w14:paraId="7990DDFD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39" w:type="pct"/>
            <w:vMerge/>
            <w:hideMark/>
          </w:tcPr>
          <w:p w14:paraId="45A121A7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80" w:type="pct"/>
            <w:vMerge/>
            <w:hideMark/>
          </w:tcPr>
          <w:p w14:paraId="5194EF7D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77" w:type="pct"/>
            <w:vMerge/>
            <w:hideMark/>
          </w:tcPr>
          <w:p w14:paraId="59B476DC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48" w:type="pct"/>
            <w:shd w:val="clear" w:color="auto" w:fill="D9D9D9"/>
            <w:hideMark/>
          </w:tcPr>
          <w:p w14:paraId="7B40B7B3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Atrial fibrillation</w:t>
            </w:r>
          </w:p>
        </w:tc>
        <w:tc>
          <w:tcPr>
            <w:tcW w:w="384" w:type="pct"/>
            <w:shd w:val="clear" w:color="auto" w:fill="D9D9D9"/>
            <w:hideMark/>
          </w:tcPr>
          <w:p w14:paraId="7CD44FCD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&lt;1 months</w:t>
            </w:r>
          </w:p>
        </w:tc>
        <w:tc>
          <w:tcPr>
            <w:tcW w:w="404" w:type="pct"/>
            <w:shd w:val="clear" w:color="auto" w:fill="D9D9D9"/>
            <w:hideMark/>
          </w:tcPr>
          <w:p w14:paraId="78065C63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Larger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on a flexibly fitted logistic regression model was associated with more frequent early post-operative atrial fibrillation (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0.030).</w:t>
            </w:r>
          </w:p>
        </w:tc>
        <w:tc>
          <w:tcPr>
            <w:tcW w:w="397" w:type="pct"/>
            <w:shd w:val="clear" w:color="auto" w:fill="D9D9D9"/>
            <w:hideMark/>
          </w:tcPr>
          <w:p w14:paraId="271337FB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</w:tr>
      <w:tr w:rsidR="00DD50C2" w:rsidRPr="00A608C5" w14:paraId="4B2C59AC" w14:textId="77777777" w:rsidTr="004D5406">
        <w:trPr>
          <w:trHeight w:val="1725"/>
          <w:jc w:val="center"/>
        </w:trPr>
        <w:tc>
          <w:tcPr>
            <w:tcW w:w="394" w:type="pct"/>
            <w:vMerge/>
            <w:hideMark/>
          </w:tcPr>
          <w:p w14:paraId="5B7CDE60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91" w:type="pct"/>
            <w:vMerge/>
            <w:hideMark/>
          </w:tcPr>
          <w:p w14:paraId="606BECC1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09" w:type="pct"/>
            <w:vMerge/>
            <w:hideMark/>
          </w:tcPr>
          <w:p w14:paraId="276686D3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44" w:type="pct"/>
            <w:vMerge/>
            <w:hideMark/>
          </w:tcPr>
          <w:p w14:paraId="234F16E9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566" w:type="pct"/>
            <w:vMerge/>
            <w:hideMark/>
          </w:tcPr>
          <w:p w14:paraId="2C2E9C59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68" w:type="pct"/>
            <w:vMerge/>
            <w:hideMark/>
          </w:tcPr>
          <w:p w14:paraId="1330C28C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39" w:type="pct"/>
            <w:vMerge/>
            <w:hideMark/>
          </w:tcPr>
          <w:p w14:paraId="50A441E3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80" w:type="pct"/>
            <w:vMerge/>
            <w:hideMark/>
          </w:tcPr>
          <w:p w14:paraId="488070D0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77" w:type="pct"/>
            <w:vMerge/>
            <w:hideMark/>
          </w:tcPr>
          <w:p w14:paraId="0274C31E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48" w:type="pct"/>
            <w:shd w:val="clear" w:color="auto" w:fill="FFB9B9"/>
            <w:hideMark/>
          </w:tcPr>
          <w:p w14:paraId="546E0A6C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Mortality</w:t>
            </w:r>
          </w:p>
        </w:tc>
        <w:tc>
          <w:tcPr>
            <w:tcW w:w="384" w:type="pct"/>
            <w:shd w:val="clear" w:color="auto" w:fill="FFB9B9"/>
            <w:hideMark/>
          </w:tcPr>
          <w:p w14:paraId="1C92B7BE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4.6 (3.3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5.9) years</w:t>
            </w:r>
          </w:p>
        </w:tc>
        <w:tc>
          <w:tcPr>
            <w:tcW w:w="404" w:type="pct"/>
            <w:shd w:val="clear" w:color="auto" w:fill="FFB9B9"/>
            <w:hideMark/>
          </w:tcPr>
          <w:p w14:paraId="439FAAB9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Baseline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on Cox survival analysis was not associated with long-term mortality statistically (adjusted HR 2.35 [0.88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6.27],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0.077), but a potential association was suggested.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&gt;50 m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L</w:t>
            </w:r>
            <w:r w:rsidRPr="00A608C5">
              <w:rPr>
                <w:rFonts w:ascii="Times New Roman" w:eastAsia="等线" w:hAnsi="Times New Roman" w:cs="Times New Roman"/>
              </w:rPr>
              <w:t>/m</w:t>
            </w:r>
            <w:r w:rsidRPr="00A608C5">
              <w:rPr>
                <w:rFonts w:ascii="Times New Roman" w:eastAsia="等线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eastAsia="等线" w:hAnsi="Times New Roman" w:cs="Times New Roman"/>
              </w:rPr>
              <w:t xml:space="preserve"> and &lt;40 m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L</w:t>
            </w:r>
            <w:r w:rsidRPr="00A608C5">
              <w:rPr>
                <w:rFonts w:ascii="Times New Roman" w:eastAsia="等线" w:hAnsi="Times New Roman" w:cs="Times New Roman"/>
              </w:rPr>
              <w:t>/m</w:t>
            </w:r>
            <w:r w:rsidRPr="00A608C5">
              <w:rPr>
                <w:rFonts w:ascii="Times New Roman" w:eastAsia="等线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eastAsia="等线" w:hAnsi="Times New Roman" w:cs="Times New Roman"/>
              </w:rPr>
              <w:t xml:space="preserve"> on graphical exploration were associated with higher risk of 5-year mortality.  </w:t>
            </w:r>
          </w:p>
        </w:tc>
        <w:tc>
          <w:tcPr>
            <w:tcW w:w="397" w:type="pct"/>
            <w:shd w:val="clear" w:color="auto" w:fill="FFB9B9"/>
            <w:hideMark/>
          </w:tcPr>
          <w:p w14:paraId="5F65459C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</w:tr>
      <w:tr w:rsidR="00DD50C2" w:rsidRPr="00A608C5" w14:paraId="615F7752" w14:textId="77777777" w:rsidTr="004D5406">
        <w:trPr>
          <w:trHeight w:val="842"/>
          <w:jc w:val="center"/>
        </w:trPr>
        <w:tc>
          <w:tcPr>
            <w:tcW w:w="394" w:type="pct"/>
            <w:hideMark/>
          </w:tcPr>
          <w:p w14:paraId="7F78F9D1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Hu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[13]</w:t>
            </w:r>
            <w:r w:rsidRPr="00A608C5">
              <w:rPr>
                <w:rFonts w:ascii="Times New Roman" w:eastAsia="等线" w:hAnsi="Times New Roman" w:cs="Times New Roman"/>
              </w:rPr>
              <w:t xml:space="preserve">, 2021,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Ann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t>Thorac</w:t>
            </w:r>
            <w:proofErr w:type="spellEnd"/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Surg</w:t>
            </w:r>
          </w:p>
        </w:tc>
        <w:tc>
          <w:tcPr>
            <w:tcW w:w="391" w:type="pct"/>
            <w:hideMark/>
          </w:tcPr>
          <w:p w14:paraId="5F14BB10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623</w:t>
            </w:r>
          </w:p>
        </w:tc>
        <w:tc>
          <w:tcPr>
            <w:tcW w:w="309" w:type="pct"/>
            <w:hideMark/>
          </w:tcPr>
          <w:p w14:paraId="395943A2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54.8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12.1</w:t>
            </w:r>
          </w:p>
        </w:tc>
        <w:tc>
          <w:tcPr>
            <w:tcW w:w="244" w:type="pct"/>
            <w:hideMark/>
          </w:tcPr>
          <w:p w14:paraId="30846A21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41</w:t>
            </w:r>
          </w:p>
        </w:tc>
        <w:tc>
          <w:tcPr>
            <w:tcW w:w="566" w:type="pct"/>
            <w:hideMark/>
          </w:tcPr>
          <w:p w14:paraId="62E84A61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severe/asymptomatic</w:t>
            </w:r>
          </w:p>
        </w:tc>
        <w:tc>
          <w:tcPr>
            <w:tcW w:w="368" w:type="pct"/>
            <w:hideMark/>
          </w:tcPr>
          <w:p w14:paraId="047A55A4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100%)</w:t>
            </w:r>
          </w:p>
        </w:tc>
        <w:tc>
          <w:tcPr>
            <w:tcW w:w="439" w:type="pct"/>
            <w:hideMark/>
          </w:tcPr>
          <w:p w14:paraId="6434255B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280" w:type="pct"/>
            <w:hideMark/>
          </w:tcPr>
          <w:p w14:paraId="3F89F76A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67.2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5.1</w:t>
            </w:r>
          </w:p>
        </w:tc>
        <w:tc>
          <w:tcPr>
            <w:tcW w:w="377" w:type="pct"/>
            <w:hideMark/>
          </w:tcPr>
          <w:p w14:paraId="2AE571CE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51.2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3.5 (mL/m</w:t>
            </w:r>
            <w:r w:rsidRPr="00A608C5">
              <w:rPr>
                <w:rFonts w:ascii="Times New Roman" w:eastAsia="等线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448" w:type="pct"/>
            <w:shd w:val="clear" w:color="auto" w:fill="FFE599"/>
            <w:hideMark/>
          </w:tcPr>
          <w:p w14:paraId="3F4BAC93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LVEF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&lt;50%</w:t>
            </w:r>
          </w:p>
        </w:tc>
        <w:tc>
          <w:tcPr>
            <w:tcW w:w="384" w:type="pct"/>
            <w:shd w:val="clear" w:color="auto" w:fill="FFE599"/>
            <w:hideMark/>
          </w:tcPr>
          <w:p w14:paraId="55285AD8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7 to 10 days</w:t>
            </w:r>
          </w:p>
        </w:tc>
        <w:tc>
          <w:tcPr>
            <w:tcW w:w="404" w:type="pct"/>
            <w:shd w:val="clear" w:color="auto" w:fill="FFE599"/>
            <w:hideMark/>
          </w:tcPr>
          <w:p w14:paraId="0831E956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Larger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on multivariate logistic regression was associated with post-operative LV dysfunction (HR 1.212 [1.106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1.329],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0.001).</w:t>
            </w:r>
          </w:p>
        </w:tc>
        <w:tc>
          <w:tcPr>
            <w:tcW w:w="397" w:type="pct"/>
            <w:shd w:val="clear" w:color="auto" w:fill="FFE599"/>
            <w:hideMark/>
          </w:tcPr>
          <w:p w14:paraId="7DD14C0D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lastRenderedPageBreak/>
              <w:t>LAVi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cut-off value 53 m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L</w:t>
            </w:r>
            <w:r w:rsidRPr="00A608C5">
              <w:rPr>
                <w:rFonts w:ascii="Times New Roman" w:eastAsia="等线" w:hAnsi="Times New Roman" w:cs="Times New Roman"/>
              </w:rPr>
              <w:t>/m</w:t>
            </w:r>
            <w:r w:rsidRPr="00A608C5">
              <w:rPr>
                <w:rFonts w:ascii="Times New Roman" w:eastAsia="等线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eastAsia="等线" w:hAnsi="Times New Roman" w:cs="Times New Roman"/>
              </w:rPr>
              <w:t xml:space="preserve"> to predict LV dysfunction (AUC 0.733 [0.683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0.784];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0.001).</w:t>
            </w:r>
          </w:p>
        </w:tc>
      </w:tr>
      <w:tr w:rsidR="00DD50C2" w:rsidRPr="00A608C5" w14:paraId="06EB267E" w14:textId="77777777" w:rsidTr="004D5406">
        <w:trPr>
          <w:trHeight w:val="3893"/>
          <w:jc w:val="center"/>
        </w:trPr>
        <w:tc>
          <w:tcPr>
            <w:tcW w:w="394" w:type="pct"/>
            <w:hideMark/>
          </w:tcPr>
          <w:p w14:paraId="26717482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lastRenderedPageBreak/>
              <w:t>Essayagh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[48]</w:t>
            </w:r>
            <w:r w:rsidRPr="00A608C5">
              <w:rPr>
                <w:rFonts w:ascii="Times New Roman" w:eastAsia="等线" w:hAnsi="Times New Roman" w:cs="Times New Roman"/>
              </w:rPr>
              <w:t>, 2022,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J Am Heart Assoc</w:t>
            </w:r>
          </w:p>
        </w:tc>
        <w:tc>
          <w:tcPr>
            <w:tcW w:w="391" w:type="pct"/>
            <w:hideMark/>
          </w:tcPr>
          <w:p w14:paraId="698F7265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4792 (1106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patients underwent mitral valve surgery)</w:t>
            </w:r>
          </w:p>
        </w:tc>
        <w:tc>
          <w:tcPr>
            <w:tcW w:w="309" w:type="pct"/>
            <w:hideMark/>
          </w:tcPr>
          <w:p w14:paraId="3F247E5C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61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16</w:t>
            </w:r>
          </w:p>
        </w:tc>
        <w:tc>
          <w:tcPr>
            <w:tcW w:w="244" w:type="pct"/>
            <w:hideMark/>
          </w:tcPr>
          <w:p w14:paraId="761057F3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48</w:t>
            </w:r>
          </w:p>
        </w:tc>
        <w:tc>
          <w:tcPr>
            <w:tcW w:w="566" w:type="pct"/>
            <w:hideMark/>
          </w:tcPr>
          <w:p w14:paraId="6C0AFEE2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both/both</w:t>
            </w:r>
          </w:p>
        </w:tc>
        <w:tc>
          <w:tcPr>
            <w:tcW w:w="368" w:type="pct"/>
            <w:hideMark/>
          </w:tcPr>
          <w:p w14:paraId="7CE11CCF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24% (repair 94%, replacement 6%) + conservative (76%)</w:t>
            </w:r>
          </w:p>
        </w:tc>
        <w:tc>
          <w:tcPr>
            <w:tcW w:w="439" w:type="pct"/>
            <w:hideMark/>
          </w:tcPr>
          <w:p w14:paraId="631B2303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280" w:type="pct"/>
            <w:hideMark/>
          </w:tcPr>
          <w:p w14:paraId="231B26FF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63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7</w:t>
            </w:r>
          </w:p>
        </w:tc>
        <w:tc>
          <w:tcPr>
            <w:tcW w:w="377" w:type="pct"/>
            <w:hideMark/>
          </w:tcPr>
          <w:p w14:paraId="63B3D69B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LA coupling index: 5.8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3.7 (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LAVi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/tissue Doppler imaging a′)</w:t>
            </w:r>
          </w:p>
        </w:tc>
        <w:tc>
          <w:tcPr>
            <w:tcW w:w="448" w:type="pct"/>
            <w:shd w:val="clear" w:color="auto" w:fill="FFB9B9"/>
            <w:hideMark/>
          </w:tcPr>
          <w:p w14:paraId="053CED93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Post-operative survival (secondary endpoints)</w:t>
            </w:r>
          </w:p>
        </w:tc>
        <w:tc>
          <w:tcPr>
            <w:tcW w:w="384" w:type="pct"/>
            <w:shd w:val="clear" w:color="auto" w:fill="FFB9B9"/>
            <w:hideMark/>
          </w:tcPr>
          <w:p w14:paraId="0D72DE26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7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3 years</w:t>
            </w:r>
          </w:p>
        </w:tc>
        <w:tc>
          <w:tcPr>
            <w:tcW w:w="404" w:type="pct"/>
            <w:shd w:val="clear" w:color="auto" w:fill="FFB9B9"/>
            <w:hideMark/>
          </w:tcPr>
          <w:p w14:paraId="0AC0FEB2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For the subgroup after mitral surgery: Higher LA coupling index on univariable Cox survival analysis was associated with higher mortality (As continuous variable: HR 1.23 [1.13–1.31],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&lt; 0.0001 per 3 units; As categorical variable defined in Spline curve analysis: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HR 2.17 [1.27–3.71],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= 0.005 vs LA coupling index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&lt;5); </w:t>
            </w:r>
          </w:p>
          <w:p w14:paraId="28F7B08E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Higher LA coupling index on multivariate Cox survival analysis as continuous variable was associated with higher mortality (HR 1.13 [1.00–1.24], </w:t>
            </w:r>
            <w:r w:rsidRPr="00A608C5">
              <w:rPr>
                <w:rFonts w:ascii="Times New Roman" w:eastAsia="等线" w:hAnsi="Times New Roman" w:cs="Times New Roman"/>
                <w:i/>
                <w:iCs/>
                <w:lang w:eastAsia="zh-CN"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0.04 per 3 units); as categorical variable was not significantly associated with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mortality.</w:t>
            </w:r>
          </w:p>
          <w:p w14:paraId="413D12C6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The incremental prognostic value of LA coupling index was demonstrated by several approaches. </w:t>
            </w:r>
          </w:p>
        </w:tc>
        <w:tc>
          <w:tcPr>
            <w:tcW w:w="397" w:type="pct"/>
            <w:shd w:val="clear" w:color="auto" w:fill="FFB9B9"/>
            <w:hideMark/>
          </w:tcPr>
          <w:p w14:paraId="5F0611F1" w14:textId="77777777" w:rsidR="005D35DC" w:rsidRPr="00A608C5" w:rsidRDefault="005D35DC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</w:tr>
    </w:tbl>
    <w:p w14:paraId="25DE6228" w14:textId="06305E62" w:rsidR="00B65A1C" w:rsidRPr="00A608C5" w:rsidRDefault="005D35DC" w:rsidP="005D35DC">
      <w:pPr>
        <w:pStyle w:val="Tablefooter"/>
        <w:rPr>
          <w:rFonts w:eastAsiaTheme="minorEastAsia"/>
          <w:lang w:eastAsia="zh-CN"/>
        </w:rPr>
      </w:pPr>
      <w:r w:rsidRPr="00A608C5">
        <w:lastRenderedPageBreak/>
        <w:t xml:space="preserve">The Cell colors conform with Fig. 1. LA, left atrium; LV, left ventricle; LVEF, left ventricular ejection fraction; </w:t>
      </w:r>
      <w:proofErr w:type="spellStart"/>
      <w:r w:rsidRPr="00A608C5">
        <w:t>LAVi</w:t>
      </w:r>
      <w:proofErr w:type="spellEnd"/>
      <w:r w:rsidRPr="00A608C5">
        <w:t>, left atrial volume index; LARR, left atria reverse remodeling; ICC, intraclass correlation coefficients; CV, coefficient of variation; NA, not available; AUC, area under curve; LV GLS, left ventricular global longitudinal strain; OR, odds ratio; HR, hazard ratio.</w:t>
      </w:r>
    </w:p>
    <w:p w14:paraId="12C85A6D" w14:textId="77777777" w:rsidR="005D35DC" w:rsidRDefault="005D35DC" w:rsidP="005D35DC">
      <w:pPr>
        <w:ind w:firstLine="420"/>
        <w:rPr>
          <w:rFonts w:cs="Times New Roman"/>
          <w:sz w:val="21"/>
          <w:szCs w:val="21"/>
          <w:lang w:bidi="en-US"/>
        </w:rPr>
      </w:pPr>
    </w:p>
    <w:p w14:paraId="164097DF" w14:textId="77777777" w:rsidR="00D138DB" w:rsidRPr="00A608C5" w:rsidRDefault="00D138DB" w:rsidP="005D35DC">
      <w:pPr>
        <w:ind w:firstLine="420"/>
        <w:rPr>
          <w:rFonts w:cs="Times New Roman"/>
          <w:sz w:val="21"/>
          <w:szCs w:val="21"/>
          <w:lang w:bidi="en-US"/>
        </w:rPr>
      </w:pPr>
    </w:p>
    <w:p w14:paraId="04D07BE5" w14:textId="749823A7" w:rsidR="004E379E" w:rsidRPr="00A608C5" w:rsidRDefault="00D138DB" w:rsidP="004E379E">
      <w:pPr>
        <w:pStyle w:val="Tablecaption"/>
        <w:spacing w:before="240" w:after="240"/>
        <w:rPr>
          <w:szCs w:val="21"/>
        </w:rPr>
      </w:pPr>
      <w:r w:rsidRPr="00A608C5">
        <w:rPr>
          <w:rFonts w:eastAsiaTheme="minorEastAsia"/>
          <w:szCs w:val="21"/>
        </w:rPr>
        <w:t xml:space="preserve">Supplementary </w:t>
      </w:r>
      <w:r w:rsidR="004E379E" w:rsidRPr="00A608C5">
        <w:rPr>
          <w:szCs w:val="21"/>
        </w:rPr>
        <w:t>Table 4. Description of included studies of pulmonary hypertension.</w:t>
      </w:r>
    </w:p>
    <w:tbl>
      <w:tblPr>
        <w:tblStyle w:val="11"/>
        <w:tblW w:w="5000" w:type="pct"/>
        <w:jc w:val="center"/>
        <w:tblLook w:val="04A0" w:firstRow="1" w:lastRow="0" w:firstColumn="1" w:lastColumn="0" w:noHBand="0" w:noVBand="1"/>
      </w:tblPr>
      <w:tblGrid>
        <w:gridCol w:w="1077"/>
        <w:gridCol w:w="948"/>
        <w:gridCol w:w="487"/>
        <w:gridCol w:w="943"/>
        <w:gridCol w:w="1524"/>
        <w:gridCol w:w="999"/>
        <w:gridCol w:w="1997"/>
        <w:gridCol w:w="750"/>
        <w:gridCol w:w="1404"/>
        <w:gridCol w:w="1197"/>
        <w:gridCol w:w="810"/>
        <w:gridCol w:w="1573"/>
        <w:gridCol w:w="1077"/>
      </w:tblGrid>
      <w:tr w:rsidR="004E379E" w:rsidRPr="00A608C5" w14:paraId="4660680C" w14:textId="77777777" w:rsidTr="004D5406">
        <w:trPr>
          <w:trHeight w:val="848"/>
          <w:jc w:val="center"/>
        </w:trPr>
        <w:tc>
          <w:tcPr>
            <w:tcW w:w="371" w:type="pct"/>
            <w:hideMark/>
          </w:tcPr>
          <w:p w14:paraId="4D2DB923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First Author [Ref.];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Year Published;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Journal</w:t>
            </w:r>
          </w:p>
        </w:tc>
        <w:tc>
          <w:tcPr>
            <w:tcW w:w="326" w:type="pct"/>
            <w:hideMark/>
          </w:tcPr>
          <w:p w14:paraId="6E244F5A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Total Number of Participants</w:t>
            </w:r>
          </w:p>
        </w:tc>
        <w:tc>
          <w:tcPr>
            <w:tcW w:w="290" w:type="pct"/>
            <w:noWrap/>
            <w:hideMark/>
          </w:tcPr>
          <w:p w14:paraId="02050F28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Age</w:t>
            </w:r>
          </w:p>
        </w:tc>
        <w:tc>
          <w:tcPr>
            <w:tcW w:w="324" w:type="pct"/>
            <w:noWrap/>
            <w:hideMark/>
          </w:tcPr>
          <w:p w14:paraId="172334E5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Female (%)</w:t>
            </w:r>
          </w:p>
        </w:tc>
        <w:tc>
          <w:tcPr>
            <w:tcW w:w="526" w:type="pct"/>
            <w:hideMark/>
          </w:tcPr>
          <w:p w14:paraId="3CB0F3FC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Population (severity/symptom)</w:t>
            </w:r>
          </w:p>
        </w:tc>
        <w:tc>
          <w:tcPr>
            <w:tcW w:w="374" w:type="pct"/>
            <w:hideMark/>
          </w:tcPr>
          <w:p w14:paraId="6B8CDD44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</w:t>
            </w:r>
          </w:p>
        </w:tc>
        <w:tc>
          <w:tcPr>
            <w:tcW w:w="410" w:type="pct"/>
            <w:hideMark/>
          </w:tcPr>
          <w:p w14:paraId="161167ED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Reproducibility (interobserver/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290" w:type="pct"/>
            <w:hideMark/>
          </w:tcPr>
          <w:p w14:paraId="34CCAA11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Baseline LVEF (%)</w:t>
            </w:r>
          </w:p>
        </w:tc>
        <w:tc>
          <w:tcPr>
            <w:tcW w:w="485" w:type="pct"/>
            <w:hideMark/>
          </w:tcPr>
          <w:p w14:paraId="2AA52625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Baseline SPAP (mmHg)</w:t>
            </w:r>
          </w:p>
        </w:tc>
        <w:tc>
          <w:tcPr>
            <w:tcW w:w="413" w:type="pct"/>
            <w:hideMark/>
          </w:tcPr>
          <w:p w14:paraId="1CB5165C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Outcomes</w:t>
            </w:r>
          </w:p>
        </w:tc>
        <w:tc>
          <w:tcPr>
            <w:tcW w:w="278" w:type="pct"/>
            <w:hideMark/>
          </w:tcPr>
          <w:p w14:paraId="6A2794BF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Follow-up</w:t>
            </w:r>
          </w:p>
        </w:tc>
        <w:tc>
          <w:tcPr>
            <w:tcW w:w="543" w:type="pct"/>
            <w:hideMark/>
          </w:tcPr>
          <w:p w14:paraId="0B824E9D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Association Between Pulmonary Hypertension and Outcomes</w:t>
            </w:r>
          </w:p>
        </w:tc>
        <w:tc>
          <w:tcPr>
            <w:tcW w:w="371" w:type="pct"/>
            <w:hideMark/>
          </w:tcPr>
          <w:p w14:paraId="210E8DBE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Receiver-Operating Characteristic Curve Analysis</w:t>
            </w:r>
          </w:p>
        </w:tc>
      </w:tr>
      <w:tr w:rsidR="004E379E" w:rsidRPr="00A608C5" w14:paraId="31759823" w14:textId="77777777" w:rsidTr="004D5406">
        <w:trPr>
          <w:trHeight w:val="940"/>
          <w:jc w:val="center"/>
        </w:trPr>
        <w:tc>
          <w:tcPr>
            <w:tcW w:w="371" w:type="pct"/>
            <w:hideMark/>
          </w:tcPr>
          <w:p w14:paraId="7B846CC5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Yang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[61]</w:t>
            </w:r>
            <w:r w:rsidRPr="00A608C5">
              <w:rPr>
                <w:rFonts w:ascii="Times New Roman" w:eastAsia="等线" w:hAnsi="Times New Roman" w:cs="Times New Roman"/>
              </w:rPr>
              <w:t xml:space="preserve">, 2006,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J Am Soc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t>Echocard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lastRenderedPageBreak/>
              <w:t>iogr</w:t>
            </w:r>
            <w:proofErr w:type="spellEnd"/>
          </w:p>
        </w:tc>
        <w:tc>
          <w:tcPr>
            <w:tcW w:w="326" w:type="pct"/>
            <w:hideMark/>
          </w:tcPr>
          <w:p w14:paraId="224DCEA9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79</w:t>
            </w:r>
          </w:p>
        </w:tc>
        <w:tc>
          <w:tcPr>
            <w:tcW w:w="290" w:type="pct"/>
            <w:hideMark/>
          </w:tcPr>
          <w:p w14:paraId="1DFDDE12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64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14</w:t>
            </w:r>
          </w:p>
        </w:tc>
        <w:tc>
          <w:tcPr>
            <w:tcW w:w="324" w:type="pct"/>
            <w:hideMark/>
          </w:tcPr>
          <w:p w14:paraId="2F3D269E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35</w:t>
            </w:r>
          </w:p>
        </w:tc>
        <w:tc>
          <w:tcPr>
            <w:tcW w:w="526" w:type="pct"/>
            <w:hideMark/>
          </w:tcPr>
          <w:p w14:paraId="57FF3937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moderate to severe or severe/both</w:t>
            </w:r>
          </w:p>
        </w:tc>
        <w:tc>
          <w:tcPr>
            <w:tcW w:w="374" w:type="pct"/>
            <w:hideMark/>
          </w:tcPr>
          <w:p w14:paraId="7542C732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68%, replacem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ent 32%)</w:t>
            </w:r>
          </w:p>
        </w:tc>
        <w:tc>
          <w:tcPr>
            <w:tcW w:w="410" w:type="pct"/>
            <w:hideMark/>
          </w:tcPr>
          <w:p w14:paraId="1DE0CFAA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  <w:tc>
          <w:tcPr>
            <w:tcW w:w="290" w:type="pct"/>
            <w:hideMark/>
          </w:tcPr>
          <w:p w14:paraId="548B6208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61 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11</w:t>
            </w:r>
          </w:p>
        </w:tc>
        <w:tc>
          <w:tcPr>
            <w:tcW w:w="485" w:type="pct"/>
            <w:hideMark/>
          </w:tcPr>
          <w:p w14:paraId="023CAC5E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Catheterization-derived: 49 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14</w:t>
            </w:r>
          </w:p>
        </w:tc>
        <w:tc>
          <w:tcPr>
            <w:tcW w:w="413" w:type="pct"/>
            <w:shd w:val="clear" w:color="auto" w:fill="FFE599"/>
            <w:hideMark/>
          </w:tcPr>
          <w:p w14:paraId="6CAD555B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LVEF &lt;50%</w:t>
            </w:r>
          </w:p>
        </w:tc>
        <w:tc>
          <w:tcPr>
            <w:tcW w:w="278" w:type="pct"/>
            <w:shd w:val="clear" w:color="auto" w:fill="FFE599"/>
            <w:hideMark/>
          </w:tcPr>
          <w:p w14:paraId="50B081A4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31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17 days</w:t>
            </w:r>
          </w:p>
        </w:tc>
        <w:tc>
          <w:tcPr>
            <w:tcW w:w="543" w:type="pct"/>
            <w:shd w:val="clear" w:color="auto" w:fill="FFE599"/>
            <w:hideMark/>
          </w:tcPr>
          <w:p w14:paraId="1E6A4B9E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Higher SPAP on multivariate linear regression model was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associated with poorer post-operative LVEF. (β = –0.53,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= 0.0001).</w:t>
            </w:r>
          </w:p>
        </w:tc>
        <w:tc>
          <w:tcPr>
            <w:tcW w:w="371" w:type="pct"/>
            <w:shd w:val="clear" w:color="auto" w:fill="FFE599"/>
            <w:hideMark/>
          </w:tcPr>
          <w:p w14:paraId="6EE3BA79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</w:tr>
      <w:tr w:rsidR="004E379E" w:rsidRPr="00A608C5" w14:paraId="6345F31F" w14:textId="77777777" w:rsidTr="004D5406">
        <w:trPr>
          <w:trHeight w:val="3391"/>
          <w:jc w:val="center"/>
        </w:trPr>
        <w:tc>
          <w:tcPr>
            <w:tcW w:w="371" w:type="pct"/>
            <w:vMerge w:val="restart"/>
            <w:hideMark/>
          </w:tcPr>
          <w:p w14:paraId="075A4B03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Le Tourneau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[54]</w:t>
            </w:r>
            <w:r w:rsidRPr="00A608C5">
              <w:rPr>
                <w:rFonts w:ascii="Times New Roman" w:eastAsia="等线" w:hAnsi="Times New Roman" w:cs="Times New Roman"/>
              </w:rPr>
              <w:t>, 2010,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Heart</w:t>
            </w:r>
          </w:p>
        </w:tc>
        <w:tc>
          <w:tcPr>
            <w:tcW w:w="326" w:type="pct"/>
            <w:vMerge w:val="restart"/>
            <w:hideMark/>
          </w:tcPr>
          <w:p w14:paraId="2DFC72D4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256</w:t>
            </w:r>
          </w:p>
        </w:tc>
        <w:tc>
          <w:tcPr>
            <w:tcW w:w="290" w:type="pct"/>
            <w:vMerge w:val="restart"/>
            <w:hideMark/>
          </w:tcPr>
          <w:p w14:paraId="48CE0675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63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12</w:t>
            </w:r>
          </w:p>
        </w:tc>
        <w:tc>
          <w:tcPr>
            <w:tcW w:w="324" w:type="pct"/>
            <w:vMerge w:val="restart"/>
            <w:hideMark/>
          </w:tcPr>
          <w:p w14:paraId="22DA8F5F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34</w:t>
            </w:r>
          </w:p>
        </w:tc>
        <w:tc>
          <w:tcPr>
            <w:tcW w:w="526" w:type="pct"/>
            <w:vMerge w:val="restart"/>
            <w:hideMark/>
          </w:tcPr>
          <w:p w14:paraId="35BAF353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moderate to severe or severe/both</w:t>
            </w:r>
          </w:p>
        </w:tc>
        <w:tc>
          <w:tcPr>
            <w:tcW w:w="374" w:type="pct"/>
            <w:vMerge w:val="restart"/>
            <w:hideMark/>
          </w:tcPr>
          <w:p w14:paraId="60157963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76%, replacement 24%)</w:t>
            </w:r>
          </w:p>
        </w:tc>
        <w:tc>
          <w:tcPr>
            <w:tcW w:w="410" w:type="pct"/>
            <w:vMerge w:val="restart"/>
            <w:hideMark/>
          </w:tcPr>
          <w:p w14:paraId="32DEBAAF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Interobserver: absolute difference 3.6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1.9%; </w:t>
            </w:r>
          </w:p>
          <w:p w14:paraId="25AC9EBF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absolute difference 1.8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1.0%. </w:t>
            </w:r>
          </w:p>
        </w:tc>
        <w:tc>
          <w:tcPr>
            <w:tcW w:w="290" w:type="pct"/>
            <w:vMerge w:val="restart"/>
            <w:hideMark/>
          </w:tcPr>
          <w:p w14:paraId="6A52D0B0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65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10</w:t>
            </w:r>
          </w:p>
        </w:tc>
        <w:tc>
          <w:tcPr>
            <w:tcW w:w="485" w:type="pct"/>
            <w:vMerge w:val="restart"/>
            <w:hideMark/>
          </w:tcPr>
          <w:p w14:paraId="061CDED6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Echocardiography-derived: 45 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14</w:t>
            </w:r>
          </w:p>
        </w:tc>
        <w:tc>
          <w:tcPr>
            <w:tcW w:w="413" w:type="pct"/>
            <w:shd w:val="clear" w:color="auto" w:fill="FFB9B9"/>
            <w:hideMark/>
          </w:tcPr>
          <w:p w14:paraId="1C9D64A0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All-cause mortality</w:t>
            </w:r>
          </w:p>
        </w:tc>
        <w:tc>
          <w:tcPr>
            <w:tcW w:w="278" w:type="pct"/>
            <w:shd w:val="clear" w:color="auto" w:fill="FFB9B9"/>
            <w:hideMark/>
          </w:tcPr>
          <w:p w14:paraId="5D2A2065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4.1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3.4 years </w:t>
            </w:r>
          </w:p>
        </w:tc>
        <w:tc>
          <w:tcPr>
            <w:tcW w:w="543" w:type="pct"/>
            <w:shd w:val="clear" w:color="auto" w:fill="FFB9B9"/>
            <w:hideMark/>
          </w:tcPr>
          <w:p w14:paraId="3429AD77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Higher SPAP as continuous variable on multivariable Cox survival analysis was independent predictor of higher all-cause mortality (HR 1.43 [1.09–1.88] per 10 mmHg increment,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0.011).</w:t>
            </w:r>
          </w:p>
          <w:p w14:paraId="3DF081DA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SPAP ≥50 mmHg on multivariable Cox survival analysis was associated with higher all-cause mortality (HR 2.58 [1.21–5.45],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0.014).</w:t>
            </w:r>
          </w:p>
          <w:p w14:paraId="4EB256F2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Incremental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prognostic value of SPAP was demonstrated (</w:t>
            </w:r>
            <w:r w:rsidRPr="00A608C5">
              <w:rPr>
                <w:rFonts w:ascii="Times New Roman" w:eastAsia="等线" w:hAnsi="Times New Roman" w:cs="Times New Roman"/>
              </w:rPr>
              <w:sym w:font="Symbol" w:char="F063"/>
            </w:r>
            <w:r w:rsidRPr="00A608C5">
              <w:rPr>
                <w:rFonts w:ascii="Times New Roman" w:eastAsia="等线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eastAsia="等线" w:hAnsi="Times New Roman" w:cs="Times New Roman"/>
              </w:rPr>
              <w:t xml:space="preserve"> 13→35,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0.011).</w:t>
            </w:r>
          </w:p>
        </w:tc>
        <w:tc>
          <w:tcPr>
            <w:tcW w:w="371" w:type="pct"/>
            <w:shd w:val="clear" w:color="auto" w:fill="FFB9B9"/>
            <w:hideMark/>
          </w:tcPr>
          <w:p w14:paraId="2ABE5815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SPAP cut-off value 50 mmHg to predict all-cause mortality with a sensitivity of 61% and a specificity of 72% (AUC 0.7,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0.0001); and cut-off value 45 mmHg to predict all-cause mortality with a sensitivity of 71% and a specificity of 62%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(AUC 0.7,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0.0001).</w:t>
            </w:r>
          </w:p>
        </w:tc>
      </w:tr>
      <w:tr w:rsidR="004E379E" w:rsidRPr="00A608C5" w14:paraId="39824A9B" w14:textId="77777777" w:rsidTr="004D5406">
        <w:trPr>
          <w:trHeight w:val="2529"/>
          <w:jc w:val="center"/>
        </w:trPr>
        <w:tc>
          <w:tcPr>
            <w:tcW w:w="371" w:type="pct"/>
            <w:vMerge/>
            <w:hideMark/>
          </w:tcPr>
          <w:p w14:paraId="0D8CCFC5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26" w:type="pct"/>
            <w:vMerge/>
            <w:hideMark/>
          </w:tcPr>
          <w:p w14:paraId="6E0B746E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90" w:type="pct"/>
            <w:vMerge/>
            <w:hideMark/>
          </w:tcPr>
          <w:p w14:paraId="487EA52F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24" w:type="pct"/>
            <w:vMerge/>
            <w:hideMark/>
          </w:tcPr>
          <w:p w14:paraId="3D93D46A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526" w:type="pct"/>
            <w:vMerge/>
            <w:hideMark/>
          </w:tcPr>
          <w:p w14:paraId="6B48C644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74" w:type="pct"/>
            <w:vMerge/>
            <w:hideMark/>
          </w:tcPr>
          <w:p w14:paraId="61EAFDC9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10" w:type="pct"/>
            <w:vMerge/>
            <w:hideMark/>
          </w:tcPr>
          <w:p w14:paraId="0F16F532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90" w:type="pct"/>
            <w:vMerge/>
            <w:hideMark/>
          </w:tcPr>
          <w:p w14:paraId="7EC92539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85" w:type="pct"/>
            <w:vMerge/>
            <w:hideMark/>
          </w:tcPr>
          <w:p w14:paraId="05A60667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13" w:type="pct"/>
            <w:shd w:val="clear" w:color="auto" w:fill="FFB9B9"/>
            <w:hideMark/>
          </w:tcPr>
          <w:p w14:paraId="4D505949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Cardiovascular mortality</w:t>
            </w:r>
          </w:p>
        </w:tc>
        <w:tc>
          <w:tcPr>
            <w:tcW w:w="278" w:type="pct"/>
            <w:shd w:val="clear" w:color="auto" w:fill="FFB9B9"/>
            <w:hideMark/>
          </w:tcPr>
          <w:p w14:paraId="1E7E2462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4.1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 xml:space="preserve">3.4 years </w:t>
            </w:r>
          </w:p>
        </w:tc>
        <w:tc>
          <w:tcPr>
            <w:tcW w:w="543" w:type="pct"/>
            <w:shd w:val="clear" w:color="auto" w:fill="FFB9B9"/>
            <w:hideMark/>
          </w:tcPr>
          <w:p w14:paraId="6846756D" w14:textId="77777777" w:rsidR="004E379E" w:rsidRPr="00A608C5" w:rsidRDefault="004E379E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608C5">
              <w:rPr>
                <w:rFonts w:ascii="Times New Roman" w:hAnsi="Times New Roman" w:cs="Times New Roman"/>
              </w:rPr>
              <w:t xml:space="preserve">Higher SPAP as continuous variable on multivariable Cox survival analysis was associated with higher cardiovascular mortality (HR 1.49 [1.03–2.16] per 10 mmHg increment,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0.033).</w:t>
            </w:r>
          </w:p>
          <w:p w14:paraId="7213CEC8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SPAP ≥50 mmHg on multivariable Cox survival analysis was associated with </w:t>
            </w:r>
            <w:r w:rsidRPr="00A608C5">
              <w:rPr>
                <w:rFonts w:ascii="Times New Roman" w:hAnsi="Times New Roman" w:cs="Times New Roman"/>
              </w:rPr>
              <w:lastRenderedPageBreak/>
              <w:t xml:space="preserve">cardiovascular mortality (HR 2.47 [1.01–6.88],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0.05).</w:t>
            </w:r>
          </w:p>
        </w:tc>
        <w:tc>
          <w:tcPr>
            <w:tcW w:w="371" w:type="pct"/>
            <w:shd w:val="clear" w:color="auto" w:fill="FFB9B9"/>
            <w:hideMark/>
          </w:tcPr>
          <w:p w14:paraId="7CF0B5FB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lastRenderedPageBreak/>
              <w:t>NA</w:t>
            </w:r>
          </w:p>
        </w:tc>
      </w:tr>
      <w:tr w:rsidR="004E379E" w:rsidRPr="00A608C5" w14:paraId="0C3871C8" w14:textId="77777777" w:rsidTr="004D5406">
        <w:trPr>
          <w:trHeight w:val="1388"/>
          <w:jc w:val="center"/>
        </w:trPr>
        <w:tc>
          <w:tcPr>
            <w:tcW w:w="371" w:type="pct"/>
            <w:vMerge w:val="restart"/>
            <w:hideMark/>
          </w:tcPr>
          <w:p w14:paraId="5674EFDA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Ghoreishi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[55]</w:t>
            </w:r>
            <w:r w:rsidRPr="00A608C5">
              <w:rPr>
                <w:rFonts w:ascii="Times New Roman" w:eastAsia="等线" w:hAnsi="Times New Roman" w:cs="Times New Roman"/>
              </w:rPr>
              <w:t>, 2011,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J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t>Thorac</w:t>
            </w:r>
            <w:proofErr w:type="spellEnd"/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Cardiovasc Surg </w:t>
            </w:r>
          </w:p>
        </w:tc>
        <w:tc>
          <w:tcPr>
            <w:tcW w:w="326" w:type="pct"/>
            <w:vMerge w:val="restart"/>
            <w:hideMark/>
          </w:tcPr>
          <w:p w14:paraId="5F226C57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873</w:t>
            </w:r>
          </w:p>
        </w:tc>
        <w:tc>
          <w:tcPr>
            <w:tcW w:w="290" w:type="pct"/>
            <w:vMerge w:val="restart"/>
            <w:hideMark/>
          </w:tcPr>
          <w:p w14:paraId="46A31FE5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59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14</w:t>
            </w:r>
          </w:p>
        </w:tc>
        <w:tc>
          <w:tcPr>
            <w:tcW w:w="324" w:type="pct"/>
            <w:vMerge w:val="restart"/>
            <w:hideMark/>
          </w:tcPr>
          <w:p w14:paraId="7B0B694F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41</w:t>
            </w:r>
          </w:p>
        </w:tc>
        <w:tc>
          <w:tcPr>
            <w:tcW w:w="526" w:type="pct"/>
            <w:vMerge w:val="restart"/>
            <w:hideMark/>
          </w:tcPr>
          <w:p w14:paraId="7FD3E2B9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≥ moderate/both</w:t>
            </w:r>
          </w:p>
        </w:tc>
        <w:tc>
          <w:tcPr>
            <w:tcW w:w="374" w:type="pct"/>
            <w:vMerge w:val="restart"/>
            <w:hideMark/>
          </w:tcPr>
          <w:p w14:paraId="7EADCA1D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86%, replacement 14%)</w:t>
            </w:r>
          </w:p>
        </w:tc>
        <w:tc>
          <w:tcPr>
            <w:tcW w:w="410" w:type="pct"/>
            <w:vMerge w:val="restart"/>
            <w:hideMark/>
          </w:tcPr>
          <w:p w14:paraId="6C2FC4ED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290" w:type="pct"/>
            <w:vMerge w:val="restart"/>
            <w:hideMark/>
          </w:tcPr>
          <w:p w14:paraId="7FA2A4D1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52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14</w:t>
            </w:r>
          </w:p>
        </w:tc>
        <w:tc>
          <w:tcPr>
            <w:tcW w:w="485" w:type="pct"/>
            <w:vMerge w:val="restart"/>
            <w:hideMark/>
          </w:tcPr>
          <w:p w14:paraId="1D99D559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Echocardiography-derived: 46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15</w:t>
            </w:r>
          </w:p>
          <w:p w14:paraId="319A6EB5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Right heart catheterization-derived: 43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17</w:t>
            </w:r>
          </w:p>
        </w:tc>
        <w:tc>
          <w:tcPr>
            <w:tcW w:w="413" w:type="pct"/>
            <w:shd w:val="clear" w:color="auto" w:fill="FFB9B9"/>
            <w:hideMark/>
          </w:tcPr>
          <w:p w14:paraId="0C95D226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Operative mortality (in-hospital mortality or death within 30 days of operation)</w:t>
            </w:r>
          </w:p>
        </w:tc>
        <w:tc>
          <w:tcPr>
            <w:tcW w:w="278" w:type="pct"/>
            <w:shd w:val="clear" w:color="auto" w:fill="FFB9B9"/>
            <w:hideMark/>
          </w:tcPr>
          <w:p w14:paraId="6AABBEB7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1 months</w:t>
            </w:r>
          </w:p>
        </w:tc>
        <w:tc>
          <w:tcPr>
            <w:tcW w:w="543" w:type="pct"/>
            <w:shd w:val="clear" w:color="auto" w:fill="FFB9B9"/>
            <w:hideMark/>
          </w:tcPr>
          <w:p w14:paraId="59C05430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Higher SPAP as continuous variable on multivariate logistic regression was associated with higher operative mortality (OR 1.023 [1.003–1.044] per 1 mmHg increment,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0.027).</w:t>
            </w:r>
          </w:p>
        </w:tc>
        <w:tc>
          <w:tcPr>
            <w:tcW w:w="371" w:type="pct"/>
            <w:shd w:val="clear" w:color="auto" w:fill="FFB9B9"/>
            <w:hideMark/>
          </w:tcPr>
          <w:p w14:paraId="426A89E2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</w:tr>
      <w:tr w:rsidR="004E379E" w:rsidRPr="00A608C5" w14:paraId="36053677" w14:textId="77777777" w:rsidTr="004D5406">
        <w:trPr>
          <w:trHeight w:val="1110"/>
          <w:jc w:val="center"/>
        </w:trPr>
        <w:tc>
          <w:tcPr>
            <w:tcW w:w="371" w:type="pct"/>
            <w:vMerge/>
            <w:hideMark/>
          </w:tcPr>
          <w:p w14:paraId="6C71AE7D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26" w:type="pct"/>
            <w:vMerge/>
            <w:hideMark/>
          </w:tcPr>
          <w:p w14:paraId="603FF163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90" w:type="pct"/>
            <w:vMerge/>
            <w:hideMark/>
          </w:tcPr>
          <w:p w14:paraId="101C4619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24" w:type="pct"/>
            <w:vMerge/>
            <w:hideMark/>
          </w:tcPr>
          <w:p w14:paraId="27B9EC79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526" w:type="pct"/>
            <w:vMerge/>
            <w:hideMark/>
          </w:tcPr>
          <w:p w14:paraId="22B1AB0F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74" w:type="pct"/>
            <w:vMerge/>
            <w:hideMark/>
          </w:tcPr>
          <w:p w14:paraId="14FC34C5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10" w:type="pct"/>
            <w:vMerge/>
            <w:hideMark/>
          </w:tcPr>
          <w:p w14:paraId="2A8126A2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90" w:type="pct"/>
            <w:vMerge/>
            <w:hideMark/>
          </w:tcPr>
          <w:p w14:paraId="37B3F01D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85" w:type="pct"/>
            <w:vMerge/>
            <w:hideMark/>
          </w:tcPr>
          <w:p w14:paraId="0D0F6B85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13" w:type="pct"/>
            <w:shd w:val="clear" w:color="auto" w:fill="FFB9B9"/>
            <w:hideMark/>
          </w:tcPr>
          <w:p w14:paraId="239C7EC5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All-cause mortality</w:t>
            </w:r>
          </w:p>
        </w:tc>
        <w:tc>
          <w:tcPr>
            <w:tcW w:w="278" w:type="pct"/>
            <w:shd w:val="clear" w:color="auto" w:fill="FFB9B9"/>
            <w:hideMark/>
          </w:tcPr>
          <w:p w14:paraId="45B820E9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35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24 months</w:t>
            </w:r>
          </w:p>
          <w:p w14:paraId="43D36036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(2.9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2 years)</w:t>
            </w:r>
          </w:p>
        </w:tc>
        <w:tc>
          <w:tcPr>
            <w:tcW w:w="543" w:type="pct"/>
            <w:shd w:val="clear" w:color="auto" w:fill="FFB9B9"/>
            <w:hideMark/>
          </w:tcPr>
          <w:p w14:paraId="1F1EE218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Higher SPAP as continuous variable on multivariable Cox survival analysis was associated with higher late mortality (HR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1.018 [1.007–1.028] per 1 mmHg increment,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0.001).</w:t>
            </w:r>
          </w:p>
        </w:tc>
        <w:tc>
          <w:tcPr>
            <w:tcW w:w="371" w:type="pct"/>
            <w:shd w:val="clear" w:color="auto" w:fill="FFB9B9"/>
            <w:hideMark/>
          </w:tcPr>
          <w:p w14:paraId="7ED46A76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</w:tr>
      <w:tr w:rsidR="004E379E" w:rsidRPr="00A608C5" w14:paraId="7D60586C" w14:textId="77777777" w:rsidTr="004D5406">
        <w:trPr>
          <w:trHeight w:val="833"/>
          <w:jc w:val="center"/>
        </w:trPr>
        <w:tc>
          <w:tcPr>
            <w:tcW w:w="371" w:type="pct"/>
            <w:vMerge w:val="restart"/>
            <w:hideMark/>
          </w:tcPr>
          <w:p w14:paraId="010747FB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Barbieri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[53]</w:t>
            </w:r>
            <w:r w:rsidRPr="00A608C5">
              <w:rPr>
                <w:rFonts w:ascii="Times New Roman" w:eastAsia="等线" w:hAnsi="Times New Roman" w:cs="Times New Roman"/>
              </w:rPr>
              <w:t xml:space="preserve">, 2011,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Eur Heart J</w:t>
            </w:r>
          </w:p>
        </w:tc>
        <w:tc>
          <w:tcPr>
            <w:tcW w:w="326" w:type="pct"/>
            <w:vMerge w:val="restart"/>
            <w:hideMark/>
          </w:tcPr>
          <w:p w14:paraId="0F610602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437</w:t>
            </w:r>
          </w:p>
        </w:tc>
        <w:tc>
          <w:tcPr>
            <w:tcW w:w="290" w:type="pct"/>
            <w:vMerge w:val="restart"/>
            <w:hideMark/>
          </w:tcPr>
          <w:p w14:paraId="18303972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67.5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11.4</w:t>
            </w:r>
          </w:p>
        </w:tc>
        <w:tc>
          <w:tcPr>
            <w:tcW w:w="324" w:type="pct"/>
            <w:vMerge w:val="restart"/>
            <w:hideMark/>
          </w:tcPr>
          <w:p w14:paraId="0D188AAB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34</w:t>
            </w:r>
          </w:p>
        </w:tc>
        <w:tc>
          <w:tcPr>
            <w:tcW w:w="526" w:type="pct"/>
            <w:vMerge w:val="restart"/>
            <w:hideMark/>
          </w:tcPr>
          <w:p w14:paraId="018C7F74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moderate to severe/both</w:t>
            </w:r>
          </w:p>
        </w:tc>
        <w:tc>
          <w:tcPr>
            <w:tcW w:w="374" w:type="pct"/>
            <w:vMerge w:val="restart"/>
            <w:hideMark/>
          </w:tcPr>
          <w:p w14:paraId="06023F40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74.4% (repair 78%, replacement 22%) +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conservative (25.6%)</w:t>
            </w:r>
          </w:p>
        </w:tc>
        <w:tc>
          <w:tcPr>
            <w:tcW w:w="410" w:type="pct"/>
            <w:vMerge w:val="restart"/>
            <w:hideMark/>
          </w:tcPr>
          <w:p w14:paraId="1F413BA1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290" w:type="pct"/>
            <w:vMerge w:val="restart"/>
            <w:hideMark/>
          </w:tcPr>
          <w:p w14:paraId="24994DC0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64.1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10.1</w:t>
            </w:r>
          </w:p>
        </w:tc>
        <w:tc>
          <w:tcPr>
            <w:tcW w:w="485" w:type="pct"/>
            <w:vMerge w:val="restart"/>
            <w:hideMark/>
          </w:tcPr>
          <w:p w14:paraId="28488EC6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Echocardiology-derived: 45 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15</w:t>
            </w:r>
          </w:p>
        </w:tc>
        <w:tc>
          <w:tcPr>
            <w:tcW w:w="413" w:type="pct"/>
            <w:shd w:val="clear" w:color="auto" w:fill="FFB9B9"/>
            <w:hideMark/>
          </w:tcPr>
          <w:p w14:paraId="029A1B79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All-cause mortality</w:t>
            </w:r>
          </w:p>
        </w:tc>
        <w:tc>
          <w:tcPr>
            <w:tcW w:w="278" w:type="pct"/>
            <w:shd w:val="clear" w:color="auto" w:fill="FFB9B9"/>
            <w:hideMark/>
          </w:tcPr>
          <w:p w14:paraId="6D1CA6C1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4.8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2.8 years</w:t>
            </w:r>
          </w:p>
        </w:tc>
        <w:tc>
          <w:tcPr>
            <w:tcW w:w="543" w:type="pct"/>
            <w:shd w:val="clear" w:color="auto" w:fill="FFB9B9"/>
            <w:hideMark/>
          </w:tcPr>
          <w:p w14:paraId="7F3623FC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SPAP &gt;50 mmHg on multivariate Cox survival analysis was associated with higher post-operative mortality (HR 2.15 [1.20–3.83],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0.01).</w:t>
            </w:r>
          </w:p>
        </w:tc>
        <w:tc>
          <w:tcPr>
            <w:tcW w:w="371" w:type="pct"/>
            <w:shd w:val="clear" w:color="auto" w:fill="FFB9B9"/>
            <w:hideMark/>
          </w:tcPr>
          <w:p w14:paraId="5B0F84A3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</w:tr>
      <w:tr w:rsidR="004E379E" w:rsidRPr="00A608C5" w14:paraId="500C2893" w14:textId="77777777" w:rsidTr="004D5406">
        <w:trPr>
          <w:trHeight w:val="833"/>
          <w:jc w:val="center"/>
        </w:trPr>
        <w:tc>
          <w:tcPr>
            <w:tcW w:w="371" w:type="pct"/>
            <w:vMerge/>
            <w:hideMark/>
          </w:tcPr>
          <w:p w14:paraId="742D270F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26" w:type="pct"/>
            <w:vMerge/>
            <w:hideMark/>
          </w:tcPr>
          <w:p w14:paraId="03406629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90" w:type="pct"/>
            <w:vMerge/>
            <w:hideMark/>
          </w:tcPr>
          <w:p w14:paraId="589BE22C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24" w:type="pct"/>
            <w:vMerge/>
            <w:hideMark/>
          </w:tcPr>
          <w:p w14:paraId="6F40A36D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526" w:type="pct"/>
            <w:vMerge/>
            <w:hideMark/>
          </w:tcPr>
          <w:p w14:paraId="1DCA7D98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74" w:type="pct"/>
            <w:vMerge/>
            <w:hideMark/>
          </w:tcPr>
          <w:p w14:paraId="7C40E065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10" w:type="pct"/>
            <w:vMerge/>
            <w:hideMark/>
          </w:tcPr>
          <w:p w14:paraId="5FED7B06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90" w:type="pct"/>
            <w:vMerge/>
            <w:hideMark/>
          </w:tcPr>
          <w:p w14:paraId="34958A98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85" w:type="pct"/>
            <w:vMerge/>
            <w:hideMark/>
          </w:tcPr>
          <w:p w14:paraId="67F2B4E5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13" w:type="pct"/>
            <w:shd w:val="clear" w:color="auto" w:fill="FFB9B9"/>
            <w:hideMark/>
          </w:tcPr>
          <w:p w14:paraId="6512A090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Cardiovascular mortality</w:t>
            </w:r>
          </w:p>
        </w:tc>
        <w:tc>
          <w:tcPr>
            <w:tcW w:w="278" w:type="pct"/>
            <w:shd w:val="clear" w:color="auto" w:fill="FFB9B9"/>
            <w:hideMark/>
          </w:tcPr>
          <w:p w14:paraId="16A69952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4.8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2.8 years</w:t>
            </w:r>
          </w:p>
        </w:tc>
        <w:tc>
          <w:tcPr>
            <w:tcW w:w="543" w:type="pct"/>
            <w:shd w:val="clear" w:color="auto" w:fill="FFB9B9"/>
            <w:hideMark/>
          </w:tcPr>
          <w:p w14:paraId="10548C93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SPAP &gt;50 mmHg on multivariate Cox survival analysis was associated with higher cardiovascular death (HR 2.46 [1.24–4.88],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0.01).</w:t>
            </w:r>
          </w:p>
        </w:tc>
        <w:tc>
          <w:tcPr>
            <w:tcW w:w="371" w:type="pct"/>
            <w:shd w:val="clear" w:color="auto" w:fill="FFB9B9"/>
            <w:hideMark/>
          </w:tcPr>
          <w:p w14:paraId="16A19635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</w:tr>
      <w:tr w:rsidR="004E379E" w:rsidRPr="00A608C5" w14:paraId="56B3C95B" w14:textId="77777777" w:rsidTr="004D5406">
        <w:trPr>
          <w:trHeight w:val="833"/>
          <w:jc w:val="center"/>
        </w:trPr>
        <w:tc>
          <w:tcPr>
            <w:tcW w:w="371" w:type="pct"/>
            <w:vMerge w:val="restart"/>
            <w:hideMark/>
          </w:tcPr>
          <w:p w14:paraId="7D7D6784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Nozohoor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[59]</w:t>
            </w:r>
            <w:r w:rsidRPr="00A608C5">
              <w:rPr>
                <w:rFonts w:ascii="Times New Roman" w:eastAsia="等线" w:hAnsi="Times New Roman" w:cs="Times New Roman"/>
              </w:rPr>
              <w:t xml:space="preserve">, 2012,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J Card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lastRenderedPageBreak/>
              <w:t>Surg</w:t>
            </w:r>
          </w:p>
        </w:tc>
        <w:tc>
          <w:tcPr>
            <w:tcW w:w="326" w:type="pct"/>
            <w:vMerge w:val="restart"/>
            <w:hideMark/>
          </w:tcPr>
          <w:p w14:paraId="4EF9242B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270</w:t>
            </w:r>
          </w:p>
        </w:tc>
        <w:tc>
          <w:tcPr>
            <w:tcW w:w="290" w:type="pct"/>
            <w:vMerge w:val="restart"/>
            <w:hideMark/>
          </w:tcPr>
          <w:p w14:paraId="46ED7125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62.9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2.2</w:t>
            </w:r>
          </w:p>
        </w:tc>
        <w:tc>
          <w:tcPr>
            <w:tcW w:w="324" w:type="pct"/>
            <w:vMerge w:val="restart"/>
            <w:hideMark/>
          </w:tcPr>
          <w:p w14:paraId="1E1A6505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34</w:t>
            </w:r>
          </w:p>
        </w:tc>
        <w:tc>
          <w:tcPr>
            <w:tcW w:w="526" w:type="pct"/>
            <w:vMerge w:val="restart"/>
            <w:hideMark/>
          </w:tcPr>
          <w:p w14:paraId="75A23CB7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severe/both</w:t>
            </w:r>
          </w:p>
        </w:tc>
        <w:tc>
          <w:tcPr>
            <w:tcW w:w="374" w:type="pct"/>
            <w:vMerge w:val="restart"/>
            <w:hideMark/>
          </w:tcPr>
          <w:p w14:paraId="6C0038C1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Surgery (repair 75.2%, replacement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24.8%)</w:t>
            </w:r>
          </w:p>
        </w:tc>
        <w:tc>
          <w:tcPr>
            <w:tcW w:w="410" w:type="pct"/>
            <w:vMerge w:val="restart"/>
            <w:hideMark/>
          </w:tcPr>
          <w:p w14:paraId="5F8E431D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  <w:tc>
          <w:tcPr>
            <w:tcW w:w="290" w:type="pct"/>
            <w:vMerge w:val="restart"/>
            <w:hideMark/>
          </w:tcPr>
          <w:p w14:paraId="6FB1AB3D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≥50%: 87%</w:t>
            </w:r>
          </w:p>
          <w:p w14:paraId="0E033F18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30–49%: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11.9%</w:t>
            </w:r>
          </w:p>
          <w:p w14:paraId="2D983FFB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&lt;30%: 1.1%</w:t>
            </w:r>
          </w:p>
        </w:tc>
        <w:tc>
          <w:tcPr>
            <w:tcW w:w="485" w:type="pct"/>
            <w:vMerge w:val="restart"/>
            <w:hideMark/>
          </w:tcPr>
          <w:p w14:paraId="44DB45DE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  <w:lang w:eastAsia="zh-C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Echocardiology-derived: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PH (+, SPAP &gt;50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mmHg): 74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(27.4%)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</w:p>
          <w:p w14:paraId="2B142CA4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PH (-): 196 (72.6%)</w:t>
            </w:r>
          </w:p>
        </w:tc>
        <w:tc>
          <w:tcPr>
            <w:tcW w:w="413" w:type="pct"/>
            <w:shd w:val="clear" w:color="auto" w:fill="FFB9B9"/>
            <w:hideMark/>
          </w:tcPr>
          <w:p w14:paraId="400164FF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30-day mortality</w:t>
            </w:r>
          </w:p>
        </w:tc>
        <w:tc>
          <w:tcPr>
            <w:tcW w:w="278" w:type="pct"/>
            <w:shd w:val="clear" w:color="auto" w:fill="FFB9B9"/>
            <w:hideMark/>
          </w:tcPr>
          <w:p w14:paraId="108C672D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1 month</w:t>
            </w:r>
          </w:p>
        </w:tc>
        <w:tc>
          <w:tcPr>
            <w:tcW w:w="543" w:type="pct"/>
            <w:shd w:val="clear" w:color="auto" w:fill="FFB9B9"/>
            <w:hideMark/>
          </w:tcPr>
          <w:p w14:paraId="755EE955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PH (SPAP &gt;50 mmHg, based on current guidelines) was not associated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with 30-day mortality (log-rank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= 0.550).</w:t>
            </w:r>
          </w:p>
        </w:tc>
        <w:tc>
          <w:tcPr>
            <w:tcW w:w="371" w:type="pct"/>
            <w:shd w:val="clear" w:color="auto" w:fill="FFB9B9"/>
            <w:hideMark/>
          </w:tcPr>
          <w:p w14:paraId="552A66BA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</w:tr>
      <w:tr w:rsidR="004E379E" w:rsidRPr="00A608C5" w14:paraId="0C4D0F37" w14:textId="77777777" w:rsidTr="004D5406">
        <w:trPr>
          <w:trHeight w:val="833"/>
          <w:jc w:val="center"/>
        </w:trPr>
        <w:tc>
          <w:tcPr>
            <w:tcW w:w="371" w:type="pct"/>
            <w:vMerge/>
            <w:hideMark/>
          </w:tcPr>
          <w:p w14:paraId="4A409574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26" w:type="pct"/>
            <w:vMerge/>
            <w:hideMark/>
          </w:tcPr>
          <w:p w14:paraId="2AB26479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90" w:type="pct"/>
            <w:vMerge/>
            <w:hideMark/>
          </w:tcPr>
          <w:p w14:paraId="18C54DED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24" w:type="pct"/>
            <w:vMerge/>
            <w:hideMark/>
          </w:tcPr>
          <w:p w14:paraId="644B3A03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526" w:type="pct"/>
            <w:vMerge/>
            <w:hideMark/>
          </w:tcPr>
          <w:p w14:paraId="34FD78C8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74" w:type="pct"/>
            <w:vMerge/>
            <w:hideMark/>
          </w:tcPr>
          <w:p w14:paraId="7B0F5583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10" w:type="pct"/>
            <w:vMerge/>
            <w:hideMark/>
          </w:tcPr>
          <w:p w14:paraId="16508006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90" w:type="pct"/>
            <w:vMerge/>
            <w:hideMark/>
          </w:tcPr>
          <w:p w14:paraId="294C1C5B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85" w:type="pct"/>
            <w:vMerge/>
            <w:hideMark/>
          </w:tcPr>
          <w:p w14:paraId="67E88F0C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13" w:type="pct"/>
            <w:shd w:val="clear" w:color="auto" w:fill="FFB9B9"/>
            <w:hideMark/>
          </w:tcPr>
          <w:p w14:paraId="5FC49DD8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All-cause mortality</w:t>
            </w:r>
          </w:p>
        </w:tc>
        <w:tc>
          <w:tcPr>
            <w:tcW w:w="278" w:type="pct"/>
            <w:shd w:val="clear" w:color="auto" w:fill="FFB9B9"/>
            <w:hideMark/>
          </w:tcPr>
          <w:p w14:paraId="14E8432F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&lt;3 years</w:t>
            </w:r>
          </w:p>
        </w:tc>
        <w:tc>
          <w:tcPr>
            <w:tcW w:w="543" w:type="pct"/>
            <w:shd w:val="clear" w:color="auto" w:fill="FFB9B9"/>
            <w:hideMark/>
          </w:tcPr>
          <w:p w14:paraId="2D662224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PH on multivariate Cox survival analysis was associated with higher mortality (HR 4.3 [1.08–17.4],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0.01).</w:t>
            </w:r>
          </w:p>
        </w:tc>
        <w:tc>
          <w:tcPr>
            <w:tcW w:w="371" w:type="pct"/>
            <w:shd w:val="clear" w:color="auto" w:fill="FFB9B9"/>
            <w:hideMark/>
          </w:tcPr>
          <w:p w14:paraId="42387E2B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</w:tr>
      <w:tr w:rsidR="004E379E" w:rsidRPr="00A608C5" w14:paraId="16592D7A" w14:textId="77777777" w:rsidTr="004D5406">
        <w:trPr>
          <w:trHeight w:val="833"/>
          <w:jc w:val="center"/>
        </w:trPr>
        <w:tc>
          <w:tcPr>
            <w:tcW w:w="371" w:type="pct"/>
            <w:vMerge/>
            <w:hideMark/>
          </w:tcPr>
          <w:p w14:paraId="034D716C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26" w:type="pct"/>
            <w:vMerge/>
            <w:hideMark/>
          </w:tcPr>
          <w:p w14:paraId="4D04F7CD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90" w:type="pct"/>
            <w:vMerge/>
            <w:hideMark/>
          </w:tcPr>
          <w:p w14:paraId="52A35CD3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24" w:type="pct"/>
            <w:vMerge/>
            <w:hideMark/>
          </w:tcPr>
          <w:p w14:paraId="602CE3F7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526" w:type="pct"/>
            <w:vMerge/>
            <w:hideMark/>
          </w:tcPr>
          <w:p w14:paraId="3532685A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74" w:type="pct"/>
            <w:vMerge/>
            <w:hideMark/>
          </w:tcPr>
          <w:p w14:paraId="69DA1491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10" w:type="pct"/>
            <w:vMerge/>
            <w:hideMark/>
          </w:tcPr>
          <w:p w14:paraId="6E53F0A4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90" w:type="pct"/>
            <w:vMerge/>
            <w:hideMark/>
          </w:tcPr>
          <w:p w14:paraId="2543A7FC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85" w:type="pct"/>
            <w:vMerge/>
            <w:hideMark/>
          </w:tcPr>
          <w:p w14:paraId="2F90314F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13" w:type="pct"/>
            <w:shd w:val="clear" w:color="auto" w:fill="FFB9B9"/>
            <w:hideMark/>
          </w:tcPr>
          <w:p w14:paraId="49C07778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All-cause mortality</w:t>
            </w:r>
          </w:p>
        </w:tc>
        <w:tc>
          <w:tcPr>
            <w:tcW w:w="278" w:type="pct"/>
            <w:shd w:val="clear" w:color="auto" w:fill="FFB9B9"/>
            <w:hideMark/>
          </w:tcPr>
          <w:p w14:paraId="77B41347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3–5 years</w:t>
            </w:r>
          </w:p>
        </w:tc>
        <w:tc>
          <w:tcPr>
            <w:tcW w:w="543" w:type="pct"/>
            <w:shd w:val="clear" w:color="auto" w:fill="FFB9B9"/>
            <w:hideMark/>
          </w:tcPr>
          <w:p w14:paraId="52547F15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PH on multivariate Cox survival analysis was not associated with mortality (HR 0.13 [0.02–1.1],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0.056).</w:t>
            </w:r>
          </w:p>
        </w:tc>
        <w:tc>
          <w:tcPr>
            <w:tcW w:w="371" w:type="pct"/>
            <w:shd w:val="clear" w:color="auto" w:fill="FFB9B9"/>
            <w:hideMark/>
          </w:tcPr>
          <w:p w14:paraId="0E9C1EE0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</w:tr>
      <w:tr w:rsidR="004E379E" w:rsidRPr="00A608C5" w14:paraId="6A29C5FD" w14:textId="77777777" w:rsidTr="004D5406">
        <w:trPr>
          <w:trHeight w:val="833"/>
          <w:jc w:val="center"/>
        </w:trPr>
        <w:tc>
          <w:tcPr>
            <w:tcW w:w="371" w:type="pct"/>
            <w:vMerge/>
            <w:hideMark/>
          </w:tcPr>
          <w:p w14:paraId="76325A56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26" w:type="pct"/>
            <w:vMerge/>
            <w:hideMark/>
          </w:tcPr>
          <w:p w14:paraId="04C09E37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90" w:type="pct"/>
            <w:vMerge/>
            <w:hideMark/>
          </w:tcPr>
          <w:p w14:paraId="6C8258F4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24" w:type="pct"/>
            <w:vMerge/>
            <w:hideMark/>
          </w:tcPr>
          <w:p w14:paraId="5F9B7296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526" w:type="pct"/>
            <w:vMerge/>
            <w:hideMark/>
          </w:tcPr>
          <w:p w14:paraId="6987DEB3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74" w:type="pct"/>
            <w:vMerge/>
            <w:hideMark/>
          </w:tcPr>
          <w:p w14:paraId="1C775CAF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10" w:type="pct"/>
            <w:vMerge/>
            <w:hideMark/>
          </w:tcPr>
          <w:p w14:paraId="2A2B6F61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90" w:type="pct"/>
            <w:vMerge/>
            <w:hideMark/>
          </w:tcPr>
          <w:p w14:paraId="5F5CB2DB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85" w:type="pct"/>
            <w:vMerge/>
            <w:hideMark/>
          </w:tcPr>
          <w:p w14:paraId="02465481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13" w:type="pct"/>
            <w:shd w:val="clear" w:color="auto" w:fill="FFB9B9"/>
            <w:hideMark/>
          </w:tcPr>
          <w:p w14:paraId="5F247D47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All-cause mortality</w:t>
            </w:r>
          </w:p>
        </w:tc>
        <w:tc>
          <w:tcPr>
            <w:tcW w:w="278" w:type="pct"/>
            <w:shd w:val="clear" w:color="auto" w:fill="FFB9B9"/>
            <w:hideMark/>
          </w:tcPr>
          <w:p w14:paraId="15E6F147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&gt;5 years</w:t>
            </w:r>
          </w:p>
        </w:tc>
        <w:tc>
          <w:tcPr>
            <w:tcW w:w="543" w:type="pct"/>
            <w:shd w:val="clear" w:color="auto" w:fill="FFB9B9"/>
            <w:hideMark/>
          </w:tcPr>
          <w:p w14:paraId="57C2EB29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PH on multivariate Cox survival analysis was associated with higher mortality (HR 0.13 [0.03–0.60],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0.008).</w:t>
            </w:r>
          </w:p>
        </w:tc>
        <w:tc>
          <w:tcPr>
            <w:tcW w:w="371" w:type="pct"/>
            <w:shd w:val="clear" w:color="auto" w:fill="FFB9B9"/>
            <w:hideMark/>
          </w:tcPr>
          <w:p w14:paraId="6BC470D7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</w:tr>
      <w:tr w:rsidR="004E379E" w:rsidRPr="00A608C5" w14:paraId="071F03A3" w14:textId="77777777" w:rsidTr="004D5406">
        <w:trPr>
          <w:trHeight w:val="2504"/>
          <w:jc w:val="center"/>
        </w:trPr>
        <w:tc>
          <w:tcPr>
            <w:tcW w:w="371" w:type="pct"/>
            <w:hideMark/>
          </w:tcPr>
          <w:p w14:paraId="5F9D6BAD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Varghese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[60]</w:t>
            </w:r>
            <w:r w:rsidRPr="00A608C5">
              <w:rPr>
                <w:rFonts w:ascii="Times New Roman" w:eastAsia="等线" w:hAnsi="Times New Roman" w:cs="Times New Roman"/>
              </w:rPr>
              <w:t xml:space="preserve">, 2014,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J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t>Thorac</w:t>
            </w:r>
            <w:proofErr w:type="spellEnd"/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Cardiovasc Surg</w:t>
            </w:r>
          </w:p>
        </w:tc>
        <w:tc>
          <w:tcPr>
            <w:tcW w:w="326" w:type="pct"/>
            <w:hideMark/>
          </w:tcPr>
          <w:p w14:paraId="3538B3D9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632</w:t>
            </w:r>
          </w:p>
        </w:tc>
        <w:tc>
          <w:tcPr>
            <w:tcW w:w="290" w:type="pct"/>
            <w:hideMark/>
          </w:tcPr>
          <w:p w14:paraId="5B586A2A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57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13</w:t>
            </w:r>
          </w:p>
        </w:tc>
        <w:tc>
          <w:tcPr>
            <w:tcW w:w="324" w:type="pct"/>
            <w:hideMark/>
          </w:tcPr>
          <w:p w14:paraId="69EDC165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36</w:t>
            </w:r>
          </w:p>
        </w:tc>
        <w:tc>
          <w:tcPr>
            <w:tcW w:w="526" w:type="pct"/>
            <w:hideMark/>
          </w:tcPr>
          <w:p w14:paraId="61212E5C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severe/both</w:t>
            </w:r>
          </w:p>
        </w:tc>
        <w:tc>
          <w:tcPr>
            <w:tcW w:w="374" w:type="pct"/>
            <w:hideMark/>
          </w:tcPr>
          <w:p w14:paraId="50FC6420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100%)</w:t>
            </w:r>
          </w:p>
        </w:tc>
        <w:tc>
          <w:tcPr>
            <w:tcW w:w="410" w:type="pct"/>
            <w:hideMark/>
          </w:tcPr>
          <w:p w14:paraId="7D99FE42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290" w:type="pct"/>
            <w:hideMark/>
          </w:tcPr>
          <w:p w14:paraId="17BC13A1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60.7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7.5</w:t>
            </w:r>
          </w:p>
        </w:tc>
        <w:tc>
          <w:tcPr>
            <w:tcW w:w="485" w:type="pct"/>
            <w:hideMark/>
          </w:tcPr>
          <w:p w14:paraId="2549BF76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Catheterization or echocardiography-derived: 34.6 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13.3</w:t>
            </w:r>
          </w:p>
        </w:tc>
        <w:tc>
          <w:tcPr>
            <w:tcW w:w="413" w:type="pct"/>
            <w:shd w:val="clear" w:color="auto" w:fill="FFE599"/>
            <w:hideMark/>
          </w:tcPr>
          <w:p w14:paraId="1942DFA5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LVEF &lt;50%</w:t>
            </w:r>
          </w:p>
        </w:tc>
        <w:tc>
          <w:tcPr>
            <w:tcW w:w="278" w:type="pct"/>
            <w:shd w:val="clear" w:color="auto" w:fill="FFE599"/>
            <w:hideMark/>
          </w:tcPr>
          <w:p w14:paraId="358A8540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4.1 days</w:t>
            </w:r>
          </w:p>
        </w:tc>
        <w:tc>
          <w:tcPr>
            <w:tcW w:w="543" w:type="pct"/>
            <w:shd w:val="clear" w:color="auto" w:fill="FFE599"/>
            <w:hideMark/>
          </w:tcPr>
          <w:p w14:paraId="1E26A698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Higher SPAP as continuous variable on multivariate linear regression was associated with post-operative LV dysfunction (β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–0.167,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0.001).</w:t>
            </w:r>
          </w:p>
          <w:p w14:paraId="4BD1CD7D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SPAP &gt;50 mmHg on multivariate logistic regression was associated with post-operative LV dysfunction (OR 1.95 [1.22–3.10],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0.005).</w:t>
            </w:r>
          </w:p>
        </w:tc>
        <w:tc>
          <w:tcPr>
            <w:tcW w:w="371" w:type="pct"/>
            <w:shd w:val="clear" w:color="auto" w:fill="FFE599"/>
            <w:hideMark/>
          </w:tcPr>
          <w:p w14:paraId="4AC51E0F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</w:tr>
      <w:tr w:rsidR="004E379E" w:rsidRPr="00A608C5" w14:paraId="2FE4D304" w14:textId="77777777" w:rsidTr="004D5406">
        <w:trPr>
          <w:trHeight w:val="833"/>
          <w:jc w:val="center"/>
        </w:trPr>
        <w:tc>
          <w:tcPr>
            <w:tcW w:w="371" w:type="pct"/>
            <w:vMerge w:val="restart"/>
            <w:hideMark/>
          </w:tcPr>
          <w:p w14:paraId="4BDB440E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Coutinho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[51]</w:t>
            </w:r>
            <w:r w:rsidRPr="00A608C5">
              <w:rPr>
                <w:rFonts w:ascii="Times New Roman" w:eastAsia="等线" w:hAnsi="Times New Roman" w:cs="Times New Roman"/>
              </w:rPr>
              <w:t xml:space="preserve">, 2015,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Eur J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t>Cardiothorac</w:t>
            </w:r>
            <w:proofErr w:type="spellEnd"/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Surg</w:t>
            </w:r>
          </w:p>
        </w:tc>
        <w:tc>
          <w:tcPr>
            <w:tcW w:w="326" w:type="pct"/>
            <w:vMerge w:val="restart"/>
            <w:hideMark/>
          </w:tcPr>
          <w:p w14:paraId="35CE9DA3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382</w:t>
            </w:r>
          </w:p>
        </w:tc>
        <w:tc>
          <w:tcPr>
            <w:tcW w:w="290" w:type="pct"/>
            <w:vMerge w:val="restart"/>
            <w:hideMark/>
          </w:tcPr>
          <w:p w14:paraId="528233CE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55.7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4.7</w:t>
            </w:r>
          </w:p>
        </w:tc>
        <w:tc>
          <w:tcPr>
            <w:tcW w:w="324" w:type="pct"/>
            <w:vMerge w:val="restart"/>
            <w:hideMark/>
          </w:tcPr>
          <w:p w14:paraId="680A4B83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28</w:t>
            </w:r>
          </w:p>
        </w:tc>
        <w:tc>
          <w:tcPr>
            <w:tcW w:w="526" w:type="pct"/>
            <w:vMerge w:val="restart"/>
            <w:hideMark/>
          </w:tcPr>
          <w:p w14:paraId="6DFFCD15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severe/asymptomatic</w:t>
            </w:r>
          </w:p>
        </w:tc>
        <w:tc>
          <w:tcPr>
            <w:tcW w:w="374" w:type="pct"/>
            <w:vMerge w:val="restart"/>
            <w:hideMark/>
          </w:tcPr>
          <w:p w14:paraId="096B9F6F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98.2%, replacement 1.8%)</w:t>
            </w:r>
          </w:p>
        </w:tc>
        <w:tc>
          <w:tcPr>
            <w:tcW w:w="410" w:type="pct"/>
            <w:vMerge w:val="restart"/>
            <w:hideMark/>
          </w:tcPr>
          <w:p w14:paraId="00D02218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290" w:type="pct"/>
            <w:vMerge w:val="restart"/>
            <w:hideMark/>
          </w:tcPr>
          <w:p w14:paraId="4BB8B21C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68.3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0.5</w:t>
            </w:r>
          </w:p>
        </w:tc>
        <w:tc>
          <w:tcPr>
            <w:tcW w:w="485" w:type="pct"/>
            <w:vMerge w:val="restart"/>
            <w:hideMark/>
          </w:tcPr>
          <w:p w14:paraId="0795A947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catheterization or echocardiography-derived: 42.7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9.0</w:t>
            </w:r>
          </w:p>
        </w:tc>
        <w:tc>
          <w:tcPr>
            <w:tcW w:w="413" w:type="pct"/>
            <w:shd w:val="clear" w:color="auto" w:fill="FFB9B9"/>
            <w:hideMark/>
          </w:tcPr>
          <w:p w14:paraId="138BC437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All-cause mortality</w:t>
            </w:r>
          </w:p>
        </w:tc>
        <w:tc>
          <w:tcPr>
            <w:tcW w:w="278" w:type="pct"/>
            <w:shd w:val="clear" w:color="auto" w:fill="FFB9B9"/>
            <w:hideMark/>
          </w:tcPr>
          <w:p w14:paraId="73F32707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6.9 (3.8–11.5) years</w:t>
            </w:r>
          </w:p>
        </w:tc>
        <w:tc>
          <w:tcPr>
            <w:tcW w:w="543" w:type="pct"/>
            <w:shd w:val="clear" w:color="auto" w:fill="FFB9B9"/>
            <w:hideMark/>
          </w:tcPr>
          <w:p w14:paraId="522D2876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Atrial fibrillation/SPA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&gt;50 mmHg on multivariate Cox survival analysis was associated with higher late mortality (HR 2.32 [1.13–4.78],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0.02).</w:t>
            </w:r>
          </w:p>
        </w:tc>
        <w:tc>
          <w:tcPr>
            <w:tcW w:w="371" w:type="pct"/>
            <w:shd w:val="clear" w:color="auto" w:fill="FFB9B9"/>
            <w:hideMark/>
          </w:tcPr>
          <w:p w14:paraId="29760685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</w:tr>
      <w:tr w:rsidR="004E379E" w:rsidRPr="00A608C5" w14:paraId="0D43CB96" w14:textId="77777777" w:rsidTr="004D5406">
        <w:trPr>
          <w:trHeight w:val="833"/>
          <w:jc w:val="center"/>
        </w:trPr>
        <w:tc>
          <w:tcPr>
            <w:tcW w:w="371" w:type="pct"/>
            <w:vMerge/>
            <w:hideMark/>
          </w:tcPr>
          <w:p w14:paraId="78800ADB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26" w:type="pct"/>
            <w:vMerge/>
            <w:hideMark/>
          </w:tcPr>
          <w:p w14:paraId="632D5B8F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90" w:type="pct"/>
            <w:vMerge/>
            <w:hideMark/>
          </w:tcPr>
          <w:p w14:paraId="5E1E5B48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24" w:type="pct"/>
            <w:vMerge/>
            <w:hideMark/>
          </w:tcPr>
          <w:p w14:paraId="4DA0CD4B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526" w:type="pct"/>
            <w:vMerge/>
            <w:hideMark/>
          </w:tcPr>
          <w:p w14:paraId="2CF0A4EB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74" w:type="pct"/>
            <w:vMerge/>
            <w:hideMark/>
          </w:tcPr>
          <w:p w14:paraId="26F389B7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10" w:type="pct"/>
            <w:vMerge/>
            <w:hideMark/>
          </w:tcPr>
          <w:p w14:paraId="67F6E9C0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90" w:type="pct"/>
            <w:vMerge/>
            <w:hideMark/>
          </w:tcPr>
          <w:p w14:paraId="06725467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85" w:type="pct"/>
            <w:vMerge/>
            <w:hideMark/>
          </w:tcPr>
          <w:p w14:paraId="6B1CAB3D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13" w:type="pct"/>
            <w:shd w:val="clear" w:color="auto" w:fill="BDD6EE"/>
            <w:hideMark/>
          </w:tcPr>
          <w:p w14:paraId="45E2295D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Reoperation</w:t>
            </w:r>
          </w:p>
        </w:tc>
        <w:tc>
          <w:tcPr>
            <w:tcW w:w="278" w:type="pct"/>
            <w:shd w:val="clear" w:color="auto" w:fill="BDD6EE"/>
            <w:hideMark/>
          </w:tcPr>
          <w:p w14:paraId="1059A556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6.9 (3.8–11.5) years</w:t>
            </w:r>
          </w:p>
        </w:tc>
        <w:tc>
          <w:tcPr>
            <w:tcW w:w="543" w:type="pct"/>
            <w:shd w:val="clear" w:color="auto" w:fill="BDD6EE"/>
            <w:hideMark/>
          </w:tcPr>
          <w:p w14:paraId="5A2891D5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Atrial fibrillation/SPA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&gt;50 mmHg on multivariate Cox survival analysis was associated with higher risk of reoperation (HR 4.20 [1.10–11.20],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0.03).</w:t>
            </w:r>
          </w:p>
        </w:tc>
        <w:tc>
          <w:tcPr>
            <w:tcW w:w="371" w:type="pct"/>
            <w:shd w:val="clear" w:color="auto" w:fill="BDD6EE"/>
            <w:hideMark/>
          </w:tcPr>
          <w:p w14:paraId="616F7E0E" w14:textId="77777777" w:rsidR="004E379E" w:rsidRPr="00A608C5" w:rsidRDefault="004E379E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</w:tr>
      <w:tr w:rsidR="004E379E" w:rsidRPr="00A608C5" w14:paraId="76050930" w14:textId="77777777" w:rsidTr="004D5406">
        <w:trPr>
          <w:trHeight w:val="833"/>
          <w:jc w:val="center"/>
        </w:trPr>
        <w:tc>
          <w:tcPr>
            <w:tcW w:w="371" w:type="pct"/>
            <w:vMerge w:val="restart"/>
            <w:hideMark/>
          </w:tcPr>
          <w:p w14:paraId="7CE5ED90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proofErr w:type="spellStart"/>
            <w:r w:rsidRPr="00A608C5">
              <w:rPr>
                <w:rFonts w:ascii="Times New Roman" w:hAnsi="Times New Roman" w:cs="Times New Roman"/>
              </w:rPr>
              <w:t>Murashita</w:t>
            </w:r>
            <w:proofErr w:type="spellEnd"/>
            <w:r w:rsidRPr="00A608C5">
              <w:rPr>
                <w:rFonts w:ascii="Times New Roman" w:hAnsi="Times New Roman" w:cs="Times New Roman"/>
              </w:rPr>
              <w:t xml:space="preserve"> </w:t>
            </w:r>
            <w:r w:rsidRPr="00A608C5">
              <w:rPr>
                <w:rFonts w:ascii="Times New Roman" w:hAnsi="Times New Roman" w:cs="Times New Roman"/>
                <w:i/>
              </w:rPr>
              <w:t>et al.</w:t>
            </w:r>
            <w:r w:rsidRPr="00A608C5">
              <w:rPr>
                <w:rFonts w:ascii="Times New Roman" w:hAnsi="Times New Roman" w:cs="Times New Roman"/>
              </w:rPr>
              <w:t xml:space="preserve"> </w:t>
            </w:r>
            <w:r w:rsidRPr="00A608C5">
              <w:rPr>
                <w:rFonts w:ascii="Times New Roman" w:hAnsi="Times New Roman" w:cs="Times New Roman"/>
                <w:noProof/>
              </w:rPr>
              <w:t>[58]</w:t>
            </w:r>
            <w:r w:rsidRPr="00A608C5">
              <w:rPr>
                <w:rFonts w:ascii="Times New Roman" w:hAnsi="Times New Roman" w:cs="Times New Roman"/>
              </w:rPr>
              <w:t xml:space="preserve">, 2015,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 xml:space="preserve">Ann </w:t>
            </w:r>
            <w:proofErr w:type="spellStart"/>
            <w:r w:rsidRPr="00A608C5">
              <w:rPr>
                <w:rFonts w:ascii="Times New Roman" w:hAnsi="Times New Roman" w:cs="Times New Roman"/>
                <w:i/>
                <w:iCs/>
              </w:rPr>
              <w:t>Thorac</w:t>
            </w:r>
            <w:proofErr w:type="spellEnd"/>
            <w:r w:rsidRPr="00A608C5">
              <w:rPr>
                <w:rFonts w:ascii="Times New Roman" w:hAnsi="Times New Roman" w:cs="Times New Roman"/>
                <w:i/>
                <w:iCs/>
              </w:rPr>
              <w:t xml:space="preserve"> Cardiovasc Surg</w:t>
            </w:r>
          </w:p>
        </w:tc>
        <w:tc>
          <w:tcPr>
            <w:tcW w:w="326" w:type="pct"/>
            <w:vMerge w:val="restart"/>
            <w:hideMark/>
          </w:tcPr>
          <w:p w14:paraId="1BD7B6BC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654</w:t>
            </w:r>
          </w:p>
        </w:tc>
        <w:tc>
          <w:tcPr>
            <w:tcW w:w="290" w:type="pct"/>
            <w:vMerge w:val="restart"/>
            <w:hideMark/>
          </w:tcPr>
          <w:p w14:paraId="3D8A02DE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56.4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2.8</w:t>
            </w:r>
          </w:p>
        </w:tc>
        <w:tc>
          <w:tcPr>
            <w:tcW w:w="324" w:type="pct"/>
            <w:vMerge w:val="restart"/>
            <w:hideMark/>
          </w:tcPr>
          <w:p w14:paraId="729CDDCE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526" w:type="pct"/>
            <w:vMerge w:val="restart"/>
            <w:hideMark/>
          </w:tcPr>
          <w:p w14:paraId="06F61BE7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NA/both</w:t>
            </w:r>
          </w:p>
        </w:tc>
        <w:tc>
          <w:tcPr>
            <w:tcW w:w="374" w:type="pct"/>
            <w:vMerge w:val="restart"/>
            <w:hideMark/>
          </w:tcPr>
          <w:p w14:paraId="2A992E55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Surgery (repair 100%)</w:t>
            </w:r>
          </w:p>
        </w:tc>
        <w:tc>
          <w:tcPr>
            <w:tcW w:w="410" w:type="pct"/>
            <w:vMerge w:val="restart"/>
            <w:hideMark/>
          </w:tcPr>
          <w:p w14:paraId="51933C4F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90" w:type="pct"/>
            <w:vMerge w:val="restart"/>
            <w:hideMark/>
          </w:tcPr>
          <w:p w14:paraId="187D7CD7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66.6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85" w:type="pct"/>
            <w:vMerge w:val="restart"/>
            <w:hideMark/>
          </w:tcPr>
          <w:p w14:paraId="212B0B4A" w14:textId="77777777" w:rsidR="004E379E" w:rsidRPr="00A608C5" w:rsidRDefault="004E379E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608C5">
              <w:rPr>
                <w:rFonts w:ascii="Times New Roman" w:hAnsi="Times New Roman" w:cs="Times New Roman"/>
              </w:rPr>
              <w:t>Echocardiography-derived:</w:t>
            </w:r>
          </w:p>
          <w:p w14:paraId="0B5CDECB" w14:textId="77777777" w:rsidR="004E379E" w:rsidRPr="00A608C5" w:rsidRDefault="004E379E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608C5">
              <w:rPr>
                <w:rFonts w:ascii="Times New Roman" w:hAnsi="Times New Roman" w:cs="Times New Roman"/>
              </w:rPr>
              <w:t>PH (+, SPAP &gt;50 mmHg): 137</w:t>
            </w:r>
          </w:p>
          <w:p w14:paraId="04DBBB1C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PH (-): 571</w:t>
            </w:r>
          </w:p>
        </w:tc>
        <w:tc>
          <w:tcPr>
            <w:tcW w:w="413" w:type="pct"/>
            <w:shd w:val="clear" w:color="auto" w:fill="FFB9B9"/>
            <w:hideMark/>
          </w:tcPr>
          <w:p w14:paraId="7CA5DED6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30-day mortality</w:t>
            </w:r>
          </w:p>
        </w:tc>
        <w:tc>
          <w:tcPr>
            <w:tcW w:w="278" w:type="pct"/>
            <w:shd w:val="clear" w:color="auto" w:fill="FFB9B9"/>
            <w:hideMark/>
          </w:tcPr>
          <w:p w14:paraId="0262A464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1 months</w:t>
            </w:r>
          </w:p>
        </w:tc>
        <w:tc>
          <w:tcPr>
            <w:tcW w:w="543" w:type="pct"/>
            <w:shd w:val="clear" w:color="auto" w:fill="FFB9B9"/>
            <w:hideMark/>
          </w:tcPr>
          <w:p w14:paraId="1D49527E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PH (SPAP &gt;50 mmHg, based on current guidelines) was not associated with 30-day mortality (log-rank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hAnsi="Times New Roman" w:cs="Times New Roman"/>
              </w:rPr>
              <w:t xml:space="preserve"> = 0.975).</w:t>
            </w:r>
          </w:p>
        </w:tc>
        <w:tc>
          <w:tcPr>
            <w:tcW w:w="371" w:type="pct"/>
            <w:shd w:val="clear" w:color="auto" w:fill="FFB9B9"/>
            <w:hideMark/>
          </w:tcPr>
          <w:p w14:paraId="20EE6E2A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NA</w:t>
            </w:r>
          </w:p>
        </w:tc>
      </w:tr>
      <w:tr w:rsidR="004E379E" w:rsidRPr="00A608C5" w14:paraId="16AB3A26" w14:textId="77777777" w:rsidTr="004D5406">
        <w:trPr>
          <w:trHeight w:val="555"/>
          <w:jc w:val="center"/>
        </w:trPr>
        <w:tc>
          <w:tcPr>
            <w:tcW w:w="371" w:type="pct"/>
            <w:vMerge/>
            <w:hideMark/>
          </w:tcPr>
          <w:p w14:paraId="3A3E5EAA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26" w:type="pct"/>
            <w:vMerge/>
            <w:hideMark/>
          </w:tcPr>
          <w:p w14:paraId="05C26CB7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290" w:type="pct"/>
            <w:vMerge/>
            <w:hideMark/>
          </w:tcPr>
          <w:p w14:paraId="0ED14A80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24" w:type="pct"/>
            <w:vMerge/>
            <w:hideMark/>
          </w:tcPr>
          <w:p w14:paraId="0E23D5D0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vMerge/>
            <w:hideMark/>
          </w:tcPr>
          <w:p w14:paraId="0FCE40B7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74" w:type="pct"/>
            <w:vMerge/>
            <w:hideMark/>
          </w:tcPr>
          <w:p w14:paraId="76957023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410" w:type="pct"/>
            <w:vMerge/>
            <w:hideMark/>
          </w:tcPr>
          <w:p w14:paraId="5DFBEFBD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290" w:type="pct"/>
            <w:vMerge/>
            <w:hideMark/>
          </w:tcPr>
          <w:p w14:paraId="25291DC6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485" w:type="pct"/>
            <w:vMerge/>
            <w:hideMark/>
          </w:tcPr>
          <w:p w14:paraId="3567EEED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413" w:type="pct"/>
            <w:shd w:val="clear" w:color="auto" w:fill="FFB9B9"/>
            <w:hideMark/>
          </w:tcPr>
          <w:p w14:paraId="6F45C433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Late all-cause mortality</w:t>
            </w:r>
          </w:p>
        </w:tc>
        <w:tc>
          <w:tcPr>
            <w:tcW w:w="278" w:type="pct"/>
            <w:shd w:val="clear" w:color="auto" w:fill="FFB9B9"/>
            <w:hideMark/>
          </w:tcPr>
          <w:p w14:paraId="6284CB04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7.5 years</w:t>
            </w:r>
          </w:p>
        </w:tc>
        <w:tc>
          <w:tcPr>
            <w:tcW w:w="543" w:type="pct"/>
            <w:shd w:val="clear" w:color="auto" w:fill="FFB9B9"/>
            <w:hideMark/>
          </w:tcPr>
          <w:p w14:paraId="1B6D4746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PH was associated with higher late all-cause mortality (log-rank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hAnsi="Times New Roman" w:cs="Times New Roman"/>
              </w:rPr>
              <w:t xml:space="preserve"> = 0.019).</w:t>
            </w:r>
          </w:p>
        </w:tc>
        <w:tc>
          <w:tcPr>
            <w:tcW w:w="371" w:type="pct"/>
            <w:shd w:val="clear" w:color="auto" w:fill="FFB9B9"/>
            <w:hideMark/>
          </w:tcPr>
          <w:p w14:paraId="4A5414B5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NA</w:t>
            </w:r>
          </w:p>
        </w:tc>
      </w:tr>
      <w:tr w:rsidR="004E379E" w:rsidRPr="00A608C5" w14:paraId="5BB73F79" w14:textId="77777777" w:rsidTr="004D5406">
        <w:trPr>
          <w:trHeight w:val="1110"/>
          <w:jc w:val="center"/>
        </w:trPr>
        <w:tc>
          <w:tcPr>
            <w:tcW w:w="371" w:type="pct"/>
            <w:vMerge/>
            <w:hideMark/>
          </w:tcPr>
          <w:p w14:paraId="41E287D7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26" w:type="pct"/>
            <w:vMerge/>
            <w:hideMark/>
          </w:tcPr>
          <w:p w14:paraId="2A821A40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290" w:type="pct"/>
            <w:vMerge/>
            <w:hideMark/>
          </w:tcPr>
          <w:p w14:paraId="5C35C63E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24" w:type="pct"/>
            <w:vMerge/>
            <w:hideMark/>
          </w:tcPr>
          <w:p w14:paraId="16030CD2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vMerge/>
            <w:hideMark/>
          </w:tcPr>
          <w:p w14:paraId="0E0F9508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74" w:type="pct"/>
            <w:vMerge/>
            <w:hideMark/>
          </w:tcPr>
          <w:p w14:paraId="06D504FD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410" w:type="pct"/>
            <w:vMerge/>
            <w:hideMark/>
          </w:tcPr>
          <w:p w14:paraId="352D106A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290" w:type="pct"/>
            <w:vMerge/>
            <w:hideMark/>
          </w:tcPr>
          <w:p w14:paraId="1CDB7652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485" w:type="pct"/>
            <w:vMerge/>
            <w:hideMark/>
          </w:tcPr>
          <w:p w14:paraId="2A56EA07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413" w:type="pct"/>
            <w:shd w:val="clear" w:color="auto" w:fill="BDD6EE"/>
            <w:hideMark/>
          </w:tcPr>
          <w:p w14:paraId="635CD7E5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Major adverse cardiac and cerebrovascular events</w:t>
            </w:r>
          </w:p>
        </w:tc>
        <w:tc>
          <w:tcPr>
            <w:tcW w:w="278" w:type="pct"/>
            <w:shd w:val="clear" w:color="auto" w:fill="BDD6EE"/>
            <w:hideMark/>
          </w:tcPr>
          <w:p w14:paraId="7BD365B9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7.5 years</w:t>
            </w:r>
          </w:p>
        </w:tc>
        <w:tc>
          <w:tcPr>
            <w:tcW w:w="543" w:type="pct"/>
            <w:shd w:val="clear" w:color="auto" w:fill="BDD6EE"/>
            <w:hideMark/>
          </w:tcPr>
          <w:p w14:paraId="77F25BDF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PH was not associated with major adverse cardiac and cerebrovascular events (log-rank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hAnsi="Times New Roman" w:cs="Times New Roman"/>
              </w:rPr>
              <w:t xml:space="preserve"> = 0.262).</w:t>
            </w:r>
          </w:p>
        </w:tc>
        <w:tc>
          <w:tcPr>
            <w:tcW w:w="371" w:type="pct"/>
            <w:shd w:val="clear" w:color="auto" w:fill="BDD6EE"/>
            <w:hideMark/>
          </w:tcPr>
          <w:p w14:paraId="27BB68FB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NA</w:t>
            </w:r>
          </w:p>
        </w:tc>
      </w:tr>
      <w:tr w:rsidR="004E379E" w:rsidRPr="00A608C5" w14:paraId="6F293846" w14:textId="77777777" w:rsidTr="004D5406">
        <w:trPr>
          <w:trHeight w:val="1665"/>
          <w:jc w:val="center"/>
        </w:trPr>
        <w:tc>
          <w:tcPr>
            <w:tcW w:w="371" w:type="pct"/>
            <w:vMerge w:val="restart"/>
            <w:hideMark/>
          </w:tcPr>
          <w:p w14:paraId="200ADA14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proofErr w:type="spellStart"/>
            <w:r w:rsidRPr="00A608C5">
              <w:rPr>
                <w:rFonts w:ascii="Times New Roman" w:hAnsi="Times New Roman" w:cs="Times New Roman"/>
              </w:rPr>
              <w:t>Mentias</w:t>
            </w:r>
            <w:proofErr w:type="spellEnd"/>
            <w:r w:rsidRPr="00A608C5">
              <w:rPr>
                <w:rFonts w:ascii="Times New Roman" w:hAnsi="Times New Roman" w:cs="Times New Roman"/>
              </w:rPr>
              <w:t xml:space="preserve">. </w:t>
            </w:r>
            <w:r w:rsidRPr="00A608C5">
              <w:rPr>
                <w:rFonts w:ascii="Times New Roman" w:hAnsi="Times New Roman" w:cs="Times New Roman"/>
                <w:i/>
              </w:rPr>
              <w:t>et al.</w:t>
            </w:r>
            <w:r w:rsidRPr="00A608C5">
              <w:rPr>
                <w:rFonts w:ascii="Times New Roman" w:hAnsi="Times New Roman" w:cs="Times New Roman"/>
              </w:rPr>
              <w:t xml:space="preserve"> </w:t>
            </w:r>
            <w:r w:rsidRPr="00A608C5">
              <w:rPr>
                <w:rFonts w:ascii="Times New Roman" w:hAnsi="Times New Roman" w:cs="Times New Roman"/>
                <w:noProof/>
              </w:rPr>
              <w:t>[57]</w:t>
            </w:r>
            <w:r w:rsidRPr="00A608C5">
              <w:rPr>
                <w:rFonts w:ascii="Times New Roman" w:hAnsi="Times New Roman" w:cs="Times New Roman"/>
              </w:rPr>
              <w:t>, 2016,</w:t>
            </w:r>
            <w:r w:rsidRPr="00A608C5">
              <w:rPr>
                <w:rFonts w:ascii="Times New Roman" w:hAnsi="Times New Roman" w:cs="Times New Roman"/>
                <w:i/>
                <w:iCs/>
              </w:rPr>
              <w:t xml:space="preserve"> J Am Coll </w:t>
            </w:r>
            <w:proofErr w:type="spellStart"/>
            <w:r w:rsidRPr="00A608C5">
              <w:rPr>
                <w:rFonts w:ascii="Times New Roman" w:hAnsi="Times New Roman" w:cs="Times New Roman"/>
                <w:i/>
                <w:iCs/>
              </w:rPr>
              <w:t>Cardiol</w:t>
            </w:r>
            <w:proofErr w:type="spellEnd"/>
          </w:p>
        </w:tc>
        <w:tc>
          <w:tcPr>
            <w:tcW w:w="326" w:type="pct"/>
            <w:vMerge w:val="restart"/>
            <w:hideMark/>
          </w:tcPr>
          <w:p w14:paraId="5B5CF1ED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1318</w:t>
            </w:r>
          </w:p>
        </w:tc>
        <w:tc>
          <w:tcPr>
            <w:tcW w:w="290" w:type="pct"/>
            <w:vMerge w:val="restart"/>
            <w:hideMark/>
          </w:tcPr>
          <w:p w14:paraId="17BA07F0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62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24" w:type="pct"/>
            <w:vMerge w:val="restart"/>
            <w:hideMark/>
          </w:tcPr>
          <w:p w14:paraId="56CF38CF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526" w:type="pct"/>
            <w:vMerge w:val="restart"/>
            <w:hideMark/>
          </w:tcPr>
          <w:p w14:paraId="66C346FF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moderate to severe or severe/both</w:t>
            </w:r>
          </w:p>
        </w:tc>
        <w:tc>
          <w:tcPr>
            <w:tcW w:w="374" w:type="pct"/>
            <w:vMerge w:val="restart"/>
            <w:hideMark/>
          </w:tcPr>
          <w:p w14:paraId="6C8790C1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surgery 86% (repair 92%, replacement 8%) + conservative (14%)</w:t>
            </w:r>
          </w:p>
        </w:tc>
        <w:tc>
          <w:tcPr>
            <w:tcW w:w="410" w:type="pct"/>
            <w:vMerge w:val="restart"/>
            <w:hideMark/>
          </w:tcPr>
          <w:p w14:paraId="27C94070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90" w:type="pct"/>
            <w:vMerge w:val="restart"/>
            <w:hideMark/>
          </w:tcPr>
          <w:p w14:paraId="6EB9DA22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63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5" w:type="pct"/>
            <w:vMerge w:val="restart"/>
            <w:hideMark/>
          </w:tcPr>
          <w:p w14:paraId="6AF23532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Echocardiography-derived: 37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13" w:type="pct"/>
            <w:shd w:val="clear" w:color="auto" w:fill="FFB9B9"/>
            <w:hideMark/>
          </w:tcPr>
          <w:p w14:paraId="68EFC043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All-cause mortality</w:t>
            </w:r>
          </w:p>
        </w:tc>
        <w:tc>
          <w:tcPr>
            <w:tcW w:w="278" w:type="pct"/>
            <w:shd w:val="clear" w:color="auto" w:fill="FFB9B9"/>
            <w:hideMark/>
          </w:tcPr>
          <w:p w14:paraId="50AFC958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7.1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 xml:space="preserve">2.0 years </w:t>
            </w:r>
          </w:p>
        </w:tc>
        <w:tc>
          <w:tcPr>
            <w:tcW w:w="543" w:type="pct"/>
            <w:shd w:val="clear" w:color="auto" w:fill="FFB9B9"/>
            <w:hideMark/>
          </w:tcPr>
          <w:p w14:paraId="02CC0A3E" w14:textId="77777777" w:rsidR="004E379E" w:rsidRPr="00A608C5" w:rsidRDefault="004E379E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608C5">
              <w:rPr>
                <w:rFonts w:ascii="Times New Roman" w:hAnsi="Times New Roman" w:cs="Times New Roman"/>
              </w:rPr>
              <w:t xml:space="preserve">SPAP as continuous variable on multivariable Cox survival analysis was associated with higher all-cause mortality (HR 1.23 [1.12–1.36] per 10 mmHg increment,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hAnsi="Times New Roman" w:cs="Times New Roman"/>
              </w:rPr>
              <w:t xml:space="preserve"> &lt;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0.01).</w:t>
            </w:r>
          </w:p>
          <w:p w14:paraId="68B194C2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The incremental prognostic value of SPAP for mortality was demonstrated (</w:t>
            </w:r>
            <w:r w:rsidRPr="00A608C5">
              <w:rPr>
                <w:rFonts w:ascii="Times New Roman" w:hAnsi="Times New Roman" w:cs="Times New Roman"/>
              </w:rPr>
              <w:sym w:font="Symbol" w:char="F063"/>
            </w:r>
            <w:r w:rsidRPr="00A608C5">
              <w:rPr>
                <w:rFonts w:ascii="Times New Roman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hAnsi="Times New Roman" w:cs="Times New Roman"/>
              </w:rPr>
              <w:t xml:space="preserve"> 74</w:t>
            </w:r>
            <w:r w:rsidRPr="00A608C5">
              <w:rPr>
                <w:rFonts w:ascii="Times New Roman" w:eastAsia="等线" w:hAnsi="Times New Roman" w:cs="Times New Roman"/>
              </w:rPr>
              <w:t>→</w:t>
            </w:r>
            <w:r w:rsidRPr="00A608C5">
              <w:rPr>
                <w:rFonts w:ascii="Times New Roman" w:hAnsi="Times New Roman" w:cs="Times New Roman"/>
              </w:rPr>
              <w:t xml:space="preserve">153,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hAnsi="Times New Roman" w:cs="Times New Roman"/>
              </w:rPr>
              <w:t xml:space="preserve"> &lt; 0.001). </w:t>
            </w:r>
          </w:p>
        </w:tc>
        <w:tc>
          <w:tcPr>
            <w:tcW w:w="371" w:type="pct"/>
            <w:shd w:val="clear" w:color="auto" w:fill="FFB9B9"/>
            <w:hideMark/>
          </w:tcPr>
          <w:p w14:paraId="7FA4C512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NA</w:t>
            </w:r>
          </w:p>
        </w:tc>
      </w:tr>
      <w:tr w:rsidR="004E379E" w:rsidRPr="00A608C5" w14:paraId="44B550D0" w14:textId="77777777" w:rsidTr="004D5406">
        <w:trPr>
          <w:trHeight w:val="842"/>
          <w:jc w:val="center"/>
        </w:trPr>
        <w:tc>
          <w:tcPr>
            <w:tcW w:w="371" w:type="pct"/>
            <w:vMerge/>
            <w:hideMark/>
          </w:tcPr>
          <w:p w14:paraId="1B60D5A2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26" w:type="pct"/>
            <w:vMerge/>
            <w:hideMark/>
          </w:tcPr>
          <w:p w14:paraId="6CF07999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290" w:type="pct"/>
            <w:vMerge/>
            <w:hideMark/>
          </w:tcPr>
          <w:p w14:paraId="6075C2F0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24" w:type="pct"/>
            <w:vMerge/>
            <w:hideMark/>
          </w:tcPr>
          <w:p w14:paraId="20C461CF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vMerge/>
            <w:hideMark/>
          </w:tcPr>
          <w:p w14:paraId="28E8F5E7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74" w:type="pct"/>
            <w:vMerge/>
            <w:hideMark/>
          </w:tcPr>
          <w:p w14:paraId="0C2E5F23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410" w:type="pct"/>
            <w:vMerge/>
            <w:hideMark/>
          </w:tcPr>
          <w:p w14:paraId="6A046860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290" w:type="pct"/>
            <w:vMerge/>
            <w:hideMark/>
          </w:tcPr>
          <w:p w14:paraId="46252096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485" w:type="pct"/>
            <w:vMerge/>
            <w:hideMark/>
          </w:tcPr>
          <w:p w14:paraId="1960020C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413" w:type="pct"/>
            <w:shd w:val="clear" w:color="auto" w:fill="D9D9D9"/>
            <w:hideMark/>
          </w:tcPr>
          <w:p w14:paraId="133B3AE3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Post-operative SPAP (≥35 mmHg)</w:t>
            </w:r>
          </w:p>
        </w:tc>
        <w:tc>
          <w:tcPr>
            <w:tcW w:w="278" w:type="pct"/>
            <w:shd w:val="clear" w:color="auto" w:fill="D9D9D9"/>
            <w:hideMark/>
          </w:tcPr>
          <w:p w14:paraId="624ED69A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pre-discharge</w:t>
            </w:r>
          </w:p>
        </w:tc>
        <w:tc>
          <w:tcPr>
            <w:tcW w:w="543" w:type="pct"/>
            <w:shd w:val="clear" w:color="auto" w:fill="D9D9D9"/>
            <w:hideMark/>
          </w:tcPr>
          <w:p w14:paraId="058BBE5F" w14:textId="77777777" w:rsidR="004E379E" w:rsidRPr="00A608C5" w:rsidRDefault="004E379E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608C5">
              <w:rPr>
                <w:rFonts w:ascii="Times New Roman" w:hAnsi="Times New Roman" w:cs="Times New Roman"/>
              </w:rPr>
              <w:t>SPAP as continuous variable on multivariate linear regression was associated with post-operative SPAP (β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 xml:space="preserve">0.28,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&lt;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0.001).</w:t>
            </w:r>
          </w:p>
          <w:p w14:paraId="5D12EF9E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Higher SPAP on multivariate logistic regression was associated with elevated post-operative SPAP (Wald statistic 24.7,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&lt;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0.001).</w:t>
            </w:r>
          </w:p>
        </w:tc>
        <w:tc>
          <w:tcPr>
            <w:tcW w:w="371" w:type="pct"/>
            <w:shd w:val="clear" w:color="auto" w:fill="D9D9D9"/>
            <w:hideMark/>
          </w:tcPr>
          <w:p w14:paraId="3A7F6793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NA</w:t>
            </w:r>
          </w:p>
        </w:tc>
      </w:tr>
      <w:tr w:rsidR="004E379E" w:rsidRPr="00A608C5" w14:paraId="707205A9" w14:textId="77777777" w:rsidTr="004D5406">
        <w:trPr>
          <w:trHeight w:val="1118"/>
          <w:jc w:val="center"/>
        </w:trPr>
        <w:tc>
          <w:tcPr>
            <w:tcW w:w="371" w:type="pct"/>
            <w:hideMark/>
          </w:tcPr>
          <w:p w14:paraId="7AEA104E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Genuardi </w:t>
            </w:r>
            <w:r w:rsidRPr="00A608C5">
              <w:rPr>
                <w:rFonts w:ascii="Times New Roman" w:hAnsi="Times New Roman" w:cs="Times New Roman"/>
                <w:i/>
              </w:rPr>
              <w:t>et al.</w:t>
            </w:r>
            <w:r w:rsidRPr="00A608C5">
              <w:rPr>
                <w:rFonts w:ascii="Times New Roman" w:hAnsi="Times New Roman" w:cs="Times New Roman"/>
              </w:rPr>
              <w:t xml:space="preserve"> </w:t>
            </w:r>
            <w:r w:rsidRPr="00A608C5">
              <w:rPr>
                <w:rFonts w:ascii="Times New Roman" w:hAnsi="Times New Roman" w:cs="Times New Roman"/>
                <w:noProof/>
              </w:rPr>
              <w:t>[56]</w:t>
            </w:r>
            <w:r w:rsidRPr="00A608C5">
              <w:rPr>
                <w:rFonts w:ascii="Times New Roman" w:hAnsi="Times New Roman" w:cs="Times New Roman"/>
              </w:rPr>
              <w:t xml:space="preserve">, 2021,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J Am Heart Assoc</w:t>
            </w:r>
          </w:p>
        </w:tc>
        <w:tc>
          <w:tcPr>
            <w:tcW w:w="326" w:type="pct"/>
            <w:hideMark/>
          </w:tcPr>
          <w:p w14:paraId="00806AE3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488</w:t>
            </w:r>
          </w:p>
        </w:tc>
        <w:tc>
          <w:tcPr>
            <w:tcW w:w="290" w:type="pct"/>
            <w:hideMark/>
          </w:tcPr>
          <w:p w14:paraId="59914554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67.2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11.2</w:t>
            </w:r>
          </w:p>
        </w:tc>
        <w:tc>
          <w:tcPr>
            <w:tcW w:w="324" w:type="pct"/>
            <w:noWrap/>
            <w:hideMark/>
          </w:tcPr>
          <w:p w14:paraId="351D9091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526" w:type="pct"/>
            <w:hideMark/>
          </w:tcPr>
          <w:p w14:paraId="4A3FE2F1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severe/asymptomatic </w:t>
            </w:r>
          </w:p>
        </w:tc>
        <w:tc>
          <w:tcPr>
            <w:tcW w:w="374" w:type="pct"/>
            <w:hideMark/>
          </w:tcPr>
          <w:p w14:paraId="0FF21058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Surgery (repair 69.5%, replacement 30.5%)</w:t>
            </w:r>
          </w:p>
        </w:tc>
        <w:tc>
          <w:tcPr>
            <w:tcW w:w="410" w:type="pct"/>
            <w:hideMark/>
          </w:tcPr>
          <w:p w14:paraId="5469BCCF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90" w:type="pct"/>
            <w:hideMark/>
          </w:tcPr>
          <w:p w14:paraId="777D3DEB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49.0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1.9</w:t>
            </w:r>
          </w:p>
        </w:tc>
        <w:tc>
          <w:tcPr>
            <w:tcW w:w="485" w:type="pct"/>
            <w:hideMark/>
          </w:tcPr>
          <w:p w14:paraId="1ABD4FB8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Catheterization-derived: mean pulmonary artery pressure 31.9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6.6</w:t>
            </w:r>
          </w:p>
        </w:tc>
        <w:tc>
          <w:tcPr>
            <w:tcW w:w="413" w:type="pct"/>
            <w:shd w:val="clear" w:color="auto" w:fill="FFB9B9"/>
            <w:hideMark/>
          </w:tcPr>
          <w:p w14:paraId="6BA7F652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All-cause mortality</w:t>
            </w:r>
          </w:p>
        </w:tc>
        <w:tc>
          <w:tcPr>
            <w:tcW w:w="278" w:type="pct"/>
            <w:shd w:val="clear" w:color="auto" w:fill="FFB9B9"/>
            <w:hideMark/>
          </w:tcPr>
          <w:p w14:paraId="25A195A3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3.9 years</w:t>
            </w:r>
          </w:p>
        </w:tc>
        <w:tc>
          <w:tcPr>
            <w:tcW w:w="543" w:type="pct"/>
            <w:shd w:val="clear" w:color="auto" w:fill="FFB9B9"/>
            <w:hideMark/>
          </w:tcPr>
          <w:p w14:paraId="42F64CC8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Higher mean pulmonary artery pressure as continuous variable on multivariable Cox survival analysis was associated with higher cardiovascular mortality (HR </w:t>
            </w:r>
            <w:r w:rsidRPr="00A608C5">
              <w:rPr>
                <w:rFonts w:ascii="Times New Roman" w:hAnsi="Times New Roman" w:cs="Times New Roman"/>
              </w:rPr>
              <w:lastRenderedPageBreak/>
              <w:t xml:space="preserve">1.38 [1.13–1.68] per 10 mmHg increment,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0.001).</w:t>
            </w:r>
          </w:p>
        </w:tc>
        <w:tc>
          <w:tcPr>
            <w:tcW w:w="371" w:type="pct"/>
            <w:shd w:val="clear" w:color="auto" w:fill="FFB9B9"/>
            <w:hideMark/>
          </w:tcPr>
          <w:p w14:paraId="7DEC61D4" w14:textId="77777777" w:rsidR="004E379E" w:rsidRPr="00A608C5" w:rsidRDefault="004E379E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lastRenderedPageBreak/>
              <w:t>NA</w:t>
            </w:r>
          </w:p>
        </w:tc>
      </w:tr>
    </w:tbl>
    <w:p w14:paraId="14B82DCF" w14:textId="61502A24" w:rsidR="005D35DC" w:rsidRPr="00A608C5" w:rsidRDefault="004E379E" w:rsidP="004E379E">
      <w:pPr>
        <w:pStyle w:val="Tablefooter"/>
        <w:rPr>
          <w:rFonts w:eastAsia="等线"/>
        </w:rPr>
      </w:pPr>
      <w:r w:rsidRPr="00A608C5">
        <w:rPr>
          <w:rFonts w:eastAsia="等线"/>
        </w:rPr>
        <w:t>The Cell colors conform with Fig. 1. SPAP, systolic pulmonary artery pressure; PH, pulmonary hypertension; LVEF, left ventricular ejection fraction; ICC, intraclass correlation coefficients; CV, coefficient of variation; NA, not available; AUC, area under curve; OR, odds ratio; HR, hazard ratio.</w:t>
      </w:r>
    </w:p>
    <w:p w14:paraId="37DC0E21" w14:textId="77777777" w:rsidR="004E379E" w:rsidRDefault="004E379E" w:rsidP="004E379E">
      <w:pPr>
        <w:ind w:firstLine="420"/>
        <w:rPr>
          <w:rFonts w:cs="Times New Roman"/>
          <w:sz w:val="21"/>
          <w:szCs w:val="21"/>
          <w:lang w:bidi="en-US"/>
        </w:rPr>
      </w:pPr>
    </w:p>
    <w:p w14:paraId="4937A894" w14:textId="77777777" w:rsidR="00D138DB" w:rsidRPr="00A608C5" w:rsidRDefault="00D138DB" w:rsidP="004E379E">
      <w:pPr>
        <w:ind w:firstLine="420"/>
        <w:rPr>
          <w:rFonts w:cs="Times New Roman"/>
          <w:sz w:val="21"/>
          <w:szCs w:val="21"/>
          <w:lang w:bidi="en-US"/>
        </w:rPr>
      </w:pPr>
    </w:p>
    <w:p w14:paraId="75481A50" w14:textId="273D8488" w:rsidR="004313E5" w:rsidRPr="00A608C5" w:rsidRDefault="00D138DB" w:rsidP="004313E5">
      <w:pPr>
        <w:pStyle w:val="Tablecaption"/>
        <w:spacing w:before="240" w:after="240"/>
        <w:rPr>
          <w:szCs w:val="21"/>
        </w:rPr>
      </w:pPr>
      <w:r w:rsidRPr="00A608C5">
        <w:rPr>
          <w:rFonts w:eastAsiaTheme="minorEastAsia"/>
          <w:szCs w:val="21"/>
        </w:rPr>
        <w:t xml:space="preserve">Supplementary </w:t>
      </w:r>
      <w:r w:rsidR="004313E5" w:rsidRPr="00A608C5">
        <w:rPr>
          <w:szCs w:val="21"/>
        </w:rPr>
        <w:t>Table 5. Description of included studies of right ventricular size and function.</w:t>
      </w:r>
    </w:p>
    <w:tbl>
      <w:tblPr>
        <w:tblStyle w:val="11"/>
        <w:tblW w:w="5000" w:type="pct"/>
        <w:jc w:val="center"/>
        <w:tblLook w:val="04A0" w:firstRow="1" w:lastRow="0" w:firstColumn="1" w:lastColumn="0" w:noHBand="0" w:noVBand="1"/>
      </w:tblPr>
      <w:tblGrid>
        <w:gridCol w:w="1473"/>
        <w:gridCol w:w="1008"/>
        <w:gridCol w:w="509"/>
        <w:gridCol w:w="709"/>
        <w:gridCol w:w="1555"/>
        <w:gridCol w:w="1090"/>
        <w:gridCol w:w="2140"/>
        <w:gridCol w:w="793"/>
        <w:gridCol w:w="839"/>
        <w:gridCol w:w="1230"/>
        <w:gridCol w:w="858"/>
        <w:gridCol w:w="1291"/>
        <w:gridCol w:w="1291"/>
      </w:tblGrid>
      <w:tr w:rsidR="004313E5" w:rsidRPr="00A608C5" w14:paraId="1F0D077A" w14:textId="77777777" w:rsidTr="004D5406">
        <w:trPr>
          <w:trHeight w:val="848"/>
          <w:jc w:val="center"/>
        </w:trPr>
        <w:tc>
          <w:tcPr>
            <w:tcW w:w="496" w:type="pct"/>
            <w:hideMark/>
          </w:tcPr>
          <w:p w14:paraId="6A26527D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First Author [Ref.];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Year Published;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Journal</w:t>
            </w:r>
          </w:p>
        </w:tc>
        <w:tc>
          <w:tcPr>
            <w:tcW w:w="339" w:type="pct"/>
            <w:hideMark/>
          </w:tcPr>
          <w:p w14:paraId="5B37871C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Total Number of Participants</w:t>
            </w:r>
          </w:p>
        </w:tc>
        <w:tc>
          <w:tcPr>
            <w:tcW w:w="301" w:type="pct"/>
            <w:hideMark/>
          </w:tcPr>
          <w:p w14:paraId="7C47271E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Age</w:t>
            </w:r>
          </w:p>
        </w:tc>
        <w:tc>
          <w:tcPr>
            <w:tcW w:w="238" w:type="pct"/>
            <w:hideMark/>
          </w:tcPr>
          <w:p w14:paraId="50B4A3F5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Female (%)</w:t>
            </w:r>
          </w:p>
        </w:tc>
        <w:tc>
          <w:tcPr>
            <w:tcW w:w="525" w:type="pct"/>
            <w:hideMark/>
          </w:tcPr>
          <w:p w14:paraId="3D02C3CC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Population (severity/symptom)</w:t>
            </w:r>
          </w:p>
        </w:tc>
        <w:tc>
          <w:tcPr>
            <w:tcW w:w="367" w:type="pct"/>
            <w:hideMark/>
          </w:tcPr>
          <w:p w14:paraId="2E1E4220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</w:t>
            </w:r>
          </w:p>
        </w:tc>
        <w:tc>
          <w:tcPr>
            <w:tcW w:w="427" w:type="pct"/>
            <w:hideMark/>
          </w:tcPr>
          <w:p w14:paraId="59DB975F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Reproducibility (interobserver/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301" w:type="pct"/>
            <w:hideMark/>
          </w:tcPr>
          <w:p w14:paraId="584AF7DE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Baseline LVEF (%)</w:t>
            </w:r>
          </w:p>
        </w:tc>
        <w:tc>
          <w:tcPr>
            <w:tcW w:w="433" w:type="pct"/>
            <w:hideMark/>
          </w:tcPr>
          <w:p w14:paraId="4F13F01D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Baseline RV size and function</w:t>
            </w:r>
          </w:p>
        </w:tc>
        <w:tc>
          <w:tcPr>
            <w:tcW w:w="415" w:type="pct"/>
            <w:hideMark/>
          </w:tcPr>
          <w:p w14:paraId="4AEF7B06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Outcomes</w:t>
            </w:r>
          </w:p>
        </w:tc>
        <w:tc>
          <w:tcPr>
            <w:tcW w:w="289" w:type="pct"/>
            <w:hideMark/>
          </w:tcPr>
          <w:p w14:paraId="604F83FF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Follow-up</w:t>
            </w:r>
          </w:p>
        </w:tc>
        <w:tc>
          <w:tcPr>
            <w:tcW w:w="435" w:type="pct"/>
            <w:hideMark/>
          </w:tcPr>
          <w:p w14:paraId="6587C046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Association Between RV size or function and Outcomes</w:t>
            </w:r>
          </w:p>
        </w:tc>
        <w:tc>
          <w:tcPr>
            <w:tcW w:w="435" w:type="pct"/>
            <w:hideMark/>
          </w:tcPr>
          <w:p w14:paraId="23E83A30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Receiver-Operating Characteristic Curve Analysis</w:t>
            </w:r>
          </w:p>
        </w:tc>
      </w:tr>
      <w:tr w:rsidR="004313E5" w:rsidRPr="00A608C5" w14:paraId="41B0B61D" w14:textId="77777777" w:rsidTr="004D5406">
        <w:trPr>
          <w:trHeight w:val="3615"/>
          <w:jc w:val="center"/>
        </w:trPr>
        <w:tc>
          <w:tcPr>
            <w:tcW w:w="496" w:type="pct"/>
            <w:hideMark/>
          </w:tcPr>
          <w:p w14:paraId="51E48419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Haddad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[63]</w:t>
            </w:r>
            <w:r w:rsidRPr="00A608C5">
              <w:rPr>
                <w:rFonts w:ascii="Times New Roman" w:eastAsia="等线" w:hAnsi="Times New Roman" w:cs="Times New Roman"/>
              </w:rPr>
              <w:t>, 2007,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J Am Soc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t>Echocardiogr</w:t>
            </w:r>
            <w:proofErr w:type="spellEnd"/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</w:t>
            </w:r>
          </w:p>
        </w:tc>
        <w:tc>
          <w:tcPr>
            <w:tcW w:w="339" w:type="pct"/>
            <w:hideMark/>
          </w:tcPr>
          <w:p w14:paraId="46AC9670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50</w:t>
            </w:r>
          </w:p>
        </w:tc>
        <w:tc>
          <w:tcPr>
            <w:tcW w:w="301" w:type="pct"/>
            <w:hideMark/>
          </w:tcPr>
          <w:p w14:paraId="66141AFB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67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9</w:t>
            </w:r>
          </w:p>
        </w:tc>
        <w:tc>
          <w:tcPr>
            <w:tcW w:w="238" w:type="pct"/>
            <w:hideMark/>
          </w:tcPr>
          <w:p w14:paraId="2C5BF649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46</w:t>
            </w:r>
          </w:p>
        </w:tc>
        <w:tc>
          <w:tcPr>
            <w:tcW w:w="525" w:type="pct"/>
            <w:hideMark/>
          </w:tcPr>
          <w:p w14:paraId="5F0425F6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Aortic or Mitral stenosis or regurgitation</w:t>
            </w:r>
          </w:p>
        </w:tc>
        <w:tc>
          <w:tcPr>
            <w:tcW w:w="367" w:type="pct"/>
            <w:hideMark/>
          </w:tcPr>
          <w:p w14:paraId="3D31273C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(Mitral valve replacement 24%, Mitral valve repair 20%)</w:t>
            </w:r>
          </w:p>
        </w:tc>
        <w:tc>
          <w:tcPr>
            <w:tcW w:w="427" w:type="pct"/>
            <w:hideMark/>
          </w:tcPr>
          <w:p w14:paraId="21BAEC9C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RV FAC: </w:t>
            </w:r>
          </w:p>
          <w:p w14:paraId="1B13DEE9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Interobserver: absolute difference 4.2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2.6%; </w:t>
            </w:r>
          </w:p>
          <w:p w14:paraId="645B59FF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absolute difference 2.9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2.0%, ICC 0.95</w:t>
            </w:r>
          </w:p>
          <w:p w14:paraId="1F98852C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RV MPI: </w:t>
            </w:r>
          </w:p>
          <w:p w14:paraId="3939B44A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Interobserver: absolute difference 0.04 ± 0.02; </w:t>
            </w:r>
          </w:p>
          <w:p w14:paraId="75C64369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: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absolute difference: 0.03 ± 0.02, ICC 0.97</w:t>
            </w:r>
          </w:p>
        </w:tc>
        <w:tc>
          <w:tcPr>
            <w:tcW w:w="301" w:type="pct"/>
            <w:hideMark/>
          </w:tcPr>
          <w:p w14:paraId="52150CC1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56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12</w:t>
            </w:r>
          </w:p>
        </w:tc>
        <w:tc>
          <w:tcPr>
            <w:tcW w:w="433" w:type="pct"/>
            <w:hideMark/>
          </w:tcPr>
          <w:p w14:paraId="0C971A77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RV FAC: 42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12%;</w:t>
            </w:r>
          </w:p>
          <w:p w14:paraId="1BDEEC3F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RV MPI: 0.45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0.17</w:t>
            </w:r>
          </w:p>
        </w:tc>
        <w:tc>
          <w:tcPr>
            <w:tcW w:w="415" w:type="pct"/>
            <w:shd w:val="clear" w:color="auto" w:fill="FFB9B9"/>
            <w:hideMark/>
          </w:tcPr>
          <w:p w14:paraId="5219FC63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In-hospital mortality or circulatory failure</w:t>
            </w:r>
          </w:p>
        </w:tc>
        <w:tc>
          <w:tcPr>
            <w:tcW w:w="289" w:type="pct"/>
            <w:shd w:val="clear" w:color="auto" w:fill="FFB9B9"/>
            <w:hideMark/>
          </w:tcPr>
          <w:p w14:paraId="49F43117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435" w:type="pct"/>
            <w:shd w:val="clear" w:color="auto" w:fill="FFB9B9"/>
            <w:hideMark/>
          </w:tcPr>
          <w:p w14:paraId="380C1201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Small RV FAC as continuous variable on multivariate logistic regression was associated with higher in-hospital mortality or circulatory failure (OR 0.001 [&lt;0.001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0.727] per 1% increment,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0.048);</w:t>
            </w:r>
          </w:p>
          <w:p w14:paraId="421B7140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RV MPI ≥0.50 as categorical variable on multivariate logistic regression was associated with in-hospital mortality or circulatory failure (OR 25.20 [5.24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121.15],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0.0001) </w:t>
            </w:r>
          </w:p>
        </w:tc>
        <w:tc>
          <w:tcPr>
            <w:tcW w:w="435" w:type="pct"/>
            <w:shd w:val="clear" w:color="auto" w:fill="FFB9B9"/>
            <w:hideMark/>
          </w:tcPr>
          <w:p w14:paraId="31D489A1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  <w:lang w:eastAsia="zh-C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RV MPI cut-off value 0.50 to predict in-hospital mortality or circulatory failure with a sensitivity of 82.3% and a specificity of 84.4% (AUC 0.879 [0.781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0.977])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.</w:t>
            </w:r>
          </w:p>
        </w:tc>
      </w:tr>
      <w:tr w:rsidR="004313E5" w:rsidRPr="00A608C5" w14:paraId="6B9C2695" w14:textId="77777777" w:rsidTr="004D5406">
        <w:trPr>
          <w:trHeight w:val="3885"/>
          <w:jc w:val="center"/>
        </w:trPr>
        <w:tc>
          <w:tcPr>
            <w:tcW w:w="496" w:type="pct"/>
            <w:hideMark/>
          </w:tcPr>
          <w:p w14:paraId="33473B18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lastRenderedPageBreak/>
              <w:t>Chrustowicz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[65]</w:t>
            </w:r>
            <w:r w:rsidRPr="00A608C5">
              <w:rPr>
                <w:rFonts w:ascii="Times New Roman" w:eastAsia="等线" w:hAnsi="Times New Roman" w:cs="Times New Roman"/>
              </w:rPr>
              <w:t xml:space="preserve">, 2010,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Echocardiography</w:t>
            </w:r>
          </w:p>
        </w:tc>
        <w:tc>
          <w:tcPr>
            <w:tcW w:w="339" w:type="pct"/>
            <w:hideMark/>
          </w:tcPr>
          <w:p w14:paraId="4EB2E946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45</w:t>
            </w:r>
          </w:p>
        </w:tc>
        <w:tc>
          <w:tcPr>
            <w:tcW w:w="301" w:type="pct"/>
            <w:hideMark/>
          </w:tcPr>
          <w:p w14:paraId="40AC0F4D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58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10</w:t>
            </w:r>
          </w:p>
        </w:tc>
        <w:tc>
          <w:tcPr>
            <w:tcW w:w="238" w:type="pct"/>
            <w:hideMark/>
          </w:tcPr>
          <w:p w14:paraId="23D3D3E4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47</w:t>
            </w:r>
          </w:p>
        </w:tc>
        <w:tc>
          <w:tcPr>
            <w:tcW w:w="525" w:type="pct"/>
            <w:hideMark/>
          </w:tcPr>
          <w:p w14:paraId="1074A048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severe/symptomatic or with LV dysfunction</w:t>
            </w:r>
          </w:p>
        </w:tc>
        <w:tc>
          <w:tcPr>
            <w:tcW w:w="367" w:type="pct"/>
            <w:hideMark/>
          </w:tcPr>
          <w:p w14:paraId="6535A473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(replacement 100%)</w:t>
            </w:r>
          </w:p>
        </w:tc>
        <w:tc>
          <w:tcPr>
            <w:tcW w:w="427" w:type="pct"/>
            <w:hideMark/>
          </w:tcPr>
          <w:p w14:paraId="55F2B5C1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301" w:type="pct"/>
            <w:hideMark/>
          </w:tcPr>
          <w:p w14:paraId="5B338F1E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55.3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11</w:t>
            </w:r>
          </w:p>
        </w:tc>
        <w:tc>
          <w:tcPr>
            <w:tcW w:w="433" w:type="pct"/>
            <w:hideMark/>
          </w:tcPr>
          <w:p w14:paraId="64066237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TAPSE: 19.4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4.3 mm</w:t>
            </w:r>
          </w:p>
          <w:p w14:paraId="63F2BC88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S': 10.3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3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cm/s </w:t>
            </w:r>
          </w:p>
        </w:tc>
        <w:tc>
          <w:tcPr>
            <w:tcW w:w="415" w:type="pct"/>
            <w:shd w:val="clear" w:color="auto" w:fill="FFE599"/>
            <w:hideMark/>
          </w:tcPr>
          <w:p w14:paraId="7237A477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Decrease in LVEF &gt;10%</w:t>
            </w:r>
          </w:p>
        </w:tc>
        <w:tc>
          <w:tcPr>
            <w:tcW w:w="289" w:type="pct"/>
            <w:shd w:val="clear" w:color="auto" w:fill="FFE599"/>
            <w:hideMark/>
          </w:tcPr>
          <w:p w14:paraId="5BAD5B1F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 months</w:t>
            </w:r>
          </w:p>
        </w:tc>
        <w:tc>
          <w:tcPr>
            <w:tcW w:w="435" w:type="pct"/>
            <w:shd w:val="clear" w:color="auto" w:fill="FFE599"/>
            <w:hideMark/>
          </w:tcPr>
          <w:p w14:paraId="248D91B3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Larger TAPSE on multivariate logistic regression was associated with a more frequent decrease in LVEF &gt;10% after surgery (OR 1.5 [1.1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2.1],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0.01).</w:t>
            </w:r>
          </w:p>
          <w:p w14:paraId="661B46E8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Larger S' on multivariate logistic regression was associated with more frequent LVEF reduction &gt;10% after surgery (OR 1.8 [1.1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2.9],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0.01).</w:t>
            </w:r>
          </w:p>
          <w:p w14:paraId="3F7C2C0A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When both TAPSE and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S' were entered in the multivariate analysis, TAPSE (OR 1.7, </w:t>
            </w:r>
            <w:r w:rsidRPr="00A608C5">
              <w:rPr>
                <w:rFonts w:ascii="Times New Roman" w:eastAsia="等线" w:hAnsi="Times New Roman" w:cs="Times New Roman"/>
                <w:i/>
                <w:iCs/>
                <w:lang w:eastAsia="zh-CN"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= 0.01) and gender (OR 0.04, </w:t>
            </w:r>
            <w:r w:rsidRPr="00A608C5">
              <w:rPr>
                <w:rFonts w:ascii="Times New Roman" w:eastAsia="等线" w:hAnsi="Times New Roman" w:cs="Times New Roman"/>
                <w:i/>
                <w:iCs/>
                <w:lang w:eastAsia="zh-CN"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= 0.01) were significant.</w:t>
            </w:r>
          </w:p>
        </w:tc>
        <w:tc>
          <w:tcPr>
            <w:tcW w:w="435" w:type="pct"/>
            <w:shd w:val="clear" w:color="auto" w:fill="FFE599"/>
            <w:hideMark/>
          </w:tcPr>
          <w:p w14:paraId="19B25BD8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TAPSE cut-off value 17.5 mm to predict LVEF reduction &gt;10% with a sensitivity of 90% and a specificity of 63% (AUC 0.77);</w:t>
            </w:r>
          </w:p>
          <w:p w14:paraId="6A7A29A2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S' cut-off value 8.75 mm/s to predict LVEF reduction &gt;10% with a sensitivity of 90% and a specificity of 63% (AUC 0.79).</w:t>
            </w:r>
          </w:p>
        </w:tc>
      </w:tr>
      <w:tr w:rsidR="004313E5" w:rsidRPr="00A608C5" w14:paraId="35D1CF69" w14:textId="77777777" w:rsidTr="004D5406">
        <w:trPr>
          <w:trHeight w:val="1943"/>
          <w:jc w:val="center"/>
        </w:trPr>
        <w:tc>
          <w:tcPr>
            <w:tcW w:w="496" w:type="pct"/>
            <w:hideMark/>
          </w:tcPr>
          <w:p w14:paraId="60811032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Gackowski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[28]</w:t>
            </w:r>
            <w:r w:rsidRPr="00A608C5">
              <w:rPr>
                <w:rFonts w:ascii="Times New Roman" w:eastAsia="等线" w:hAnsi="Times New Roman" w:cs="Times New Roman"/>
              </w:rPr>
              <w:t xml:space="preserve">, 2010,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t>Cardiol</w:t>
            </w:r>
            <w:proofErr w:type="spellEnd"/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J </w:t>
            </w:r>
          </w:p>
        </w:tc>
        <w:tc>
          <w:tcPr>
            <w:tcW w:w="339" w:type="pct"/>
            <w:hideMark/>
          </w:tcPr>
          <w:p w14:paraId="525747EC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40</w:t>
            </w:r>
          </w:p>
        </w:tc>
        <w:tc>
          <w:tcPr>
            <w:tcW w:w="301" w:type="pct"/>
            <w:hideMark/>
          </w:tcPr>
          <w:p w14:paraId="796F08F0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61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9</w:t>
            </w:r>
          </w:p>
        </w:tc>
        <w:tc>
          <w:tcPr>
            <w:tcW w:w="238" w:type="pct"/>
            <w:hideMark/>
          </w:tcPr>
          <w:p w14:paraId="33B6E815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50</w:t>
            </w:r>
          </w:p>
        </w:tc>
        <w:tc>
          <w:tcPr>
            <w:tcW w:w="525" w:type="pct"/>
            <w:hideMark/>
          </w:tcPr>
          <w:p w14:paraId="0AF24214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severe/both</w:t>
            </w:r>
          </w:p>
        </w:tc>
        <w:tc>
          <w:tcPr>
            <w:tcW w:w="367" w:type="pct"/>
            <w:hideMark/>
          </w:tcPr>
          <w:p w14:paraId="0ADDA195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(replacement 100%)</w:t>
            </w:r>
          </w:p>
        </w:tc>
        <w:tc>
          <w:tcPr>
            <w:tcW w:w="427" w:type="pct"/>
            <w:hideMark/>
          </w:tcPr>
          <w:p w14:paraId="738C79F6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301" w:type="pct"/>
            <w:hideMark/>
          </w:tcPr>
          <w:p w14:paraId="6F2FD258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55.3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11</w:t>
            </w:r>
          </w:p>
        </w:tc>
        <w:tc>
          <w:tcPr>
            <w:tcW w:w="433" w:type="pct"/>
            <w:hideMark/>
          </w:tcPr>
          <w:p w14:paraId="18A55D1A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RVEDD: 28.7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4 mm</w:t>
            </w:r>
          </w:p>
        </w:tc>
        <w:tc>
          <w:tcPr>
            <w:tcW w:w="415" w:type="pct"/>
            <w:shd w:val="clear" w:color="auto" w:fill="D9D9D9"/>
            <w:hideMark/>
          </w:tcPr>
          <w:p w14:paraId="1AF16DEA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Post-operative prolonged ICU stay (&gt;3 days) because of the need for inotropic support</w:t>
            </w:r>
          </w:p>
        </w:tc>
        <w:tc>
          <w:tcPr>
            <w:tcW w:w="289" w:type="pct"/>
            <w:shd w:val="clear" w:color="auto" w:fill="D9D9D9"/>
            <w:hideMark/>
          </w:tcPr>
          <w:p w14:paraId="3B1257B7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Until discharge</w:t>
            </w:r>
          </w:p>
        </w:tc>
        <w:tc>
          <w:tcPr>
            <w:tcW w:w="435" w:type="pct"/>
            <w:shd w:val="clear" w:color="auto" w:fill="D9D9D9"/>
            <w:hideMark/>
          </w:tcPr>
          <w:p w14:paraId="49BBD9AD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Larger RVEDD on multivariate linear regression analysis was associated with prolonged ICU stay (β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0.31,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0.02).</w:t>
            </w:r>
          </w:p>
        </w:tc>
        <w:tc>
          <w:tcPr>
            <w:tcW w:w="435" w:type="pct"/>
            <w:shd w:val="clear" w:color="auto" w:fill="D9D9D9"/>
            <w:hideMark/>
          </w:tcPr>
          <w:p w14:paraId="469AA5A7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RVEDD cut-off value 35 mm to predict prolonged ICU stay with a sensitivity of 81% and a specificity of 91% (AUC 0.64 [0.47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0.82]).</w:t>
            </w:r>
          </w:p>
        </w:tc>
      </w:tr>
      <w:tr w:rsidR="004313E5" w:rsidRPr="00A608C5" w14:paraId="148185DE" w14:textId="77777777" w:rsidTr="004D5406">
        <w:trPr>
          <w:trHeight w:val="1111"/>
          <w:jc w:val="center"/>
        </w:trPr>
        <w:tc>
          <w:tcPr>
            <w:tcW w:w="496" w:type="pct"/>
            <w:hideMark/>
          </w:tcPr>
          <w:p w14:paraId="4D0EBD85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Le Tourneau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[64]</w:t>
            </w:r>
            <w:r w:rsidRPr="00A608C5">
              <w:rPr>
                <w:rFonts w:ascii="Times New Roman" w:eastAsia="等线" w:hAnsi="Times New Roman" w:cs="Times New Roman"/>
              </w:rPr>
              <w:t xml:space="preserve">, 2013,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lastRenderedPageBreak/>
              <w:t>Circulation</w:t>
            </w:r>
          </w:p>
        </w:tc>
        <w:tc>
          <w:tcPr>
            <w:tcW w:w="339" w:type="pct"/>
            <w:hideMark/>
          </w:tcPr>
          <w:p w14:paraId="49897101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208</w:t>
            </w:r>
          </w:p>
        </w:tc>
        <w:tc>
          <w:tcPr>
            <w:tcW w:w="301" w:type="pct"/>
            <w:hideMark/>
          </w:tcPr>
          <w:p w14:paraId="38C11D76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62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12</w:t>
            </w:r>
          </w:p>
        </w:tc>
        <w:tc>
          <w:tcPr>
            <w:tcW w:w="238" w:type="pct"/>
            <w:hideMark/>
          </w:tcPr>
          <w:p w14:paraId="6394197F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34</w:t>
            </w:r>
          </w:p>
        </w:tc>
        <w:tc>
          <w:tcPr>
            <w:tcW w:w="525" w:type="pct"/>
            <w:hideMark/>
          </w:tcPr>
          <w:p w14:paraId="43A310FA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severe/both</w:t>
            </w:r>
          </w:p>
        </w:tc>
        <w:tc>
          <w:tcPr>
            <w:tcW w:w="367" w:type="pct"/>
            <w:hideMark/>
          </w:tcPr>
          <w:p w14:paraId="61CF199D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71.1%, replaceme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nt 28.9%)</w:t>
            </w:r>
          </w:p>
        </w:tc>
        <w:tc>
          <w:tcPr>
            <w:tcW w:w="427" w:type="pct"/>
            <w:hideMark/>
          </w:tcPr>
          <w:p w14:paraId="61169139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  <w:tc>
          <w:tcPr>
            <w:tcW w:w="301" w:type="pct"/>
            <w:hideMark/>
          </w:tcPr>
          <w:p w14:paraId="39CE14D8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62.5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9.8</w:t>
            </w:r>
          </w:p>
        </w:tc>
        <w:tc>
          <w:tcPr>
            <w:tcW w:w="433" w:type="pct"/>
            <w:hideMark/>
          </w:tcPr>
          <w:p w14:paraId="320273D8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RV EF: 40.4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10.2</w:t>
            </w:r>
          </w:p>
        </w:tc>
        <w:tc>
          <w:tcPr>
            <w:tcW w:w="415" w:type="pct"/>
            <w:shd w:val="clear" w:color="auto" w:fill="FFB9B9"/>
            <w:hideMark/>
          </w:tcPr>
          <w:p w14:paraId="2322E2FD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Cardiovascular mortality</w:t>
            </w:r>
          </w:p>
        </w:tc>
        <w:tc>
          <w:tcPr>
            <w:tcW w:w="289" w:type="pct"/>
            <w:shd w:val="clear" w:color="auto" w:fill="FFB9B9"/>
            <w:hideMark/>
          </w:tcPr>
          <w:p w14:paraId="0C6ABC42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7.1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4.3 years</w:t>
            </w:r>
          </w:p>
        </w:tc>
        <w:tc>
          <w:tcPr>
            <w:tcW w:w="435" w:type="pct"/>
            <w:shd w:val="clear" w:color="auto" w:fill="FFB9B9"/>
            <w:hideMark/>
          </w:tcPr>
          <w:p w14:paraId="75C4FA3A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RV EF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≤35% (derived from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previous literature) on multivariable Cox survival analysis was associated with higher cardiovascular mortality (HR 2.3 [1.1–5.3],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0.042).</w:t>
            </w:r>
          </w:p>
        </w:tc>
        <w:tc>
          <w:tcPr>
            <w:tcW w:w="435" w:type="pct"/>
            <w:shd w:val="clear" w:color="auto" w:fill="FFB9B9"/>
            <w:hideMark/>
          </w:tcPr>
          <w:p w14:paraId="20C08380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</w:tr>
      <w:tr w:rsidR="004313E5" w:rsidRPr="00A608C5" w14:paraId="608DBFC2" w14:textId="77777777" w:rsidTr="004D5406">
        <w:trPr>
          <w:trHeight w:val="1110"/>
          <w:jc w:val="center"/>
        </w:trPr>
        <w:tc>
          <w:tcPr>
            <w:tcW w:w="496" w:type="pct"/>
            <w:hideMark/>
          </w:tcPr>
          <w:p w14:paraId="47F94A3F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Ye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[66]</w:t>
            </w:r>
            <w:r w:rsidRPr="00A608C5">
              <w:rPr>
                <w:rFonts w:ascii="Times New Roman" w:eastAsia="等线" w:hAnsi="Times New Roman" w:cs="Times New Roman"/>
              </w:rPr>
              <w:t xml:space="preserve">, 2014,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J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t>Thorac</w:t>
            </w:r>
            <w:proofErr w:type="spellEnd"/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Cardiovasc Surg</w:t>
            </w:r>
          </w:p>
        </w:tc>
        <w:tc>
          <w:tcPr>
            <w:tcW w:w="339" w:type="pct"/>
            <w:hideMark/>
          </w:tcPr>
          <w:p w14:paraId="41A2405B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781</w:t>
            </w:r>
          </w:p>
        </w:tc>
        <w:tc>
          <w:tcPr>
            <w:tcW w:w="301" w:type="pct"/>
            <w:hideMark/>
          </w:tcPr>
          <w:p w14:paraId="088BCB5D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61.5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5.9</w:t>
            </w:r>
          </w:p>
        </w:tc>
        <w:tc>
          <w:tcPr>
            <w:tcW w:w="238" w:type="pct"/>
            <w:hideMark/>
          </w:tcPr>
          <w:p w14:paraId="76055C43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41</w:t>
            </w:r>
          </w:p>
        </w:tc>
        <w:tc>
          <w:tcPr>
            <w:tcW w:w="525" w:type="pct"/>
            <w:hideMark/>
          </w:tcPr>
          <w:p w14:paraId="46B1805C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severe/both</w:t>
            </w:r>
          </w:p>
        </w:tc>
        <w:tc>
          <w:tcPr>
            <w:tcW w:w="367" w:type="pct"/>
            <w:hideMark/>
          </w:tcPr>
          <w:p w14:paraId="22961361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90.7%, replacement 9.3%)</w:t>
            </w:r>
          </w:p>
        </w:tc>
        <w:tc>
          <w:tcPr>
            <w:tcW w:w="427" w:type="pct"/>
            <w:hideMark/>
          </w:tcPr>
          <w:p w14:paraId="72722E6D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Interobserver: ICC 0.80; </w:t>
            </w:r>
          </w:p>
          <w:p w14:paraId="216C02A9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ICC 0.87</w:t>
            </w:r>
          </w:p>
        </w:tc>
        <w:tc>
          <w:tcPr>
            <w:tcW w:w="301" w:type="pct"/>
            <w:hideMark/>
          </w:tcPr>
          <w:p w14:paraId="47AED8FF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58.3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0.8</w:t>
            </w:r>
          </w:p>
        </w:tc>
        <w:tc>
          <w:tcPr>
            <w:tcW w:w="433" w:type="pct"/>
            <w:hideMark/>
          </w:tcPr>
          <w:p w14:paraId="19C7930B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RV MPI: NA</w:t>
            </w:r>
          </w:p>
        </w:tc>
        <w:tc>
          <w:tcPr>
            <w:tcW w:w="415" w:type="pct"/>
            <w:shd w:val="clear" w:color="auto" w:fill="FFB9B9"/>
            <w:hideMark/>
          </w:tcPr>
          <w:p w14:paraId="1860CFC3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All-cause mortality</w:t>
            </w:r>
          </w:p>
        </w:tc>
        <w:tc>
          <w:tcPr>
            <w:tcW w:w="289" w:type="pct"/>
            <w:shd w:val="clear" w:color="auto" w:fill="FFB9B9"/>
            <w:hideMark/>
          </w:tcPr>
          <w:p w14:paraId="550F193F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4.4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3 years </w:t>
            </w:r>
          </w:p>
        </w:tc>
        <w:tc>
          <w:tcPr>
            <w:tcW w:w="435" w:type="pct"/>
            <w:shd w:val="clear" w:color="auto" w:fill="FFB9B9"/>
            <w:hideMark/>
          </w:tcPr>
          <w:p w14:paraId="3F486293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Higher RV MPI on multiphase hazard model was associated with late death (Coefficient ± SE: 1.2 ± 0.37,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0.001).</w:t>
            </w:r>
          </w:p>
        </w:tc>
        <w:tc>
          <w:tcPr>
            <w:tcW w:w="435" w:type="pct"/>
            <w:shd w:val="clear" w:color="auto" w:fill="FFB9B9"/>
            <w:hideMark/>
          </w:tcPr>
          <w:p w14:paraId="56FA6F54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</w:tr>
      <w:tr w:rsidR="004313E5" w:rsidRPr="00A608C5" w14:paraId="48292CCA" w14:textId="77777777" w:rsidTr="004D5406">
        <w:trPr>
          <w:trHeight w:val="1943"/>
          <w:jc w:val="center"/>
        </w:trPr>
        <w:tc>
          <w:tcPr>
            <w:tcW w:w="496" w:type="pct"/>
            <w:vMerge w:val="restart"/>
            <w:hideMark/>
          </w:tcPr>
          <w:p w14:paraId="390251F0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Towheed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[67]</w:t>
            </w:r>
            <w:r w:rsidRPr="00A608C5">
              <w:rPr>
                <w:rFonts w:ascii="Times New Roman" w:eastAsia="等线" w:hAnsi="Times New Roman" w:cs="Times New Roman"/>
              </w:rPr>
              <w:t>, 2021,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J Am Heart Assoc</w:t>
            </w:r>
          </w:p>
        </w:tc>
        <w:tc>
          <w:tcPr>
            <w:tcW w:w="339" w:type="pct"/>
            <w:vMerge w:val="restart"/>
            <w:hideMark/>
          </w:tcPr>
          <w:p w14:paraId="290E4393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269</w:t>
            </w:r>
          </w:p>
        </w:tc>
        <w:tc>
          <w:tcPr>
            <w:tcW w:w="301" w:type="pct"/>
            <w:vMerge w:val="restart"/>
            <w:hideMark/>
          </w:tcPr>
          <w:p w14:paraId="23431AA6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67.4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14.9</w:t>
            </w:r>
          </w:p>
        </w:tc>
        <w:tc>
          <w:tcPr>
            <w:tcW w:w="238" w:type="pct"/>
            <w:vMerge w:val="restart"/>
            <w:hideMark/>
          </w:tcPr>
          <w:p w14:paraId="60620747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40</w:t>
            </w:r>
          </w:p>
        </w:tc>
        <w:tc>
          <w:tcPr>
            <w:tcW w:w="525" w:type="pct"/>
            <w:vMerge w:val="restart"/>
            <w:hideMark/>
          </w:tcPr>
          <w:p w14:paraId="2BBE18BE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367" w:type="pct"/>
            <w:vMerge w:val="restart"/>
            <w:hideMark/>
          </w:tcPr>
          <w:p w14:paraId="36C804B8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Surgery (121 underwent mitral valve surgery and 148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underwent aortic surgery)</w:t>
            </w:r>
          </w:p>
        </w:tc>
        <w:tc>
          <w:tcPr>
            <w:tcW w:w="427" w:type="pct"/>
            <w:vMerge w:val="restart"/>
            <w:hideMark/>
          </w:tcPr>
          <w:p w14:paraId="3269DC90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Interobserver: ICCs of RV FAC, TAPSE, S', and RV MPI were 0.84, 0.92, 0.90, and 0.83, Variabilities were 4.85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10.3%, 0.01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0.24, 0.1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2.29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and 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0.01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0.1;</w:t>
            </w:r>
          </w:p>
          <w:p w14:paraId="223F525C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ICCs of RV FAC, TAPSE, S', and RV MPI were 0.89, 0.95, 0.99, and 0.98, Variabilities were 1.7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9.2%</w:t>
            </w:r>
            <w:r w:rsidRPr="00A608C5">
              <w:rPr>
                <w:rFonts w:ascii="Times New Roman" w:eastAsia="等线" w:hAnsi="Times New Roman" w:cs="Times New Roman"/>
              </w:rPr>
              <w:t>，</w:t>
            </w:r>
            <w:r w:rsidRPr="00A608C5">
              <w:rPr>
                <w:rFonts w:ascii="Times New Roman" w:eastAsia="等线" w:hAnsi="Times New Roman" w:cs="Times New Roman"/>
              </w:rPr>
              <w:t xml:space="preserve"> 0.07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0.2, 0.05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0.22 and 0.01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0.04</w:t>
            </w:r>
          </w:p>
        </w:tc>
        <w:tc>
          <w:tcPr>
            <w:tcW w:w="301" w:type="pct"/>
            <w:vMerge w:val="restart"/>
            <w:hideMark/>
          </w:tcPr>
          <w:p w14:paraId="72476949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53.7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16.4</w:t>
            </w:r>
          </w:p>
        </w:tc>
        <w:tc>
          <w:tcPr>
            <w:tcW w:w="433" w:type="pct"/>
            <w:vMerge w:val="restart"/>
            <w:hideMark/>
          </w:tcPr>
          <w:p w14:paraId="389F1BDE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RV FAC: 42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12%;</w:t>
            </w:r>
          </w:p>
          <w:p w14:paraId="4AFCE159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TAPSE: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1.9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± 0.6 cm;</w:t>
            </w:r>
          </w:p>
          <w:p w14:paraId="625DFB08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S':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12.7 ± 4 cm/s;</w:t>
            </w:r>
          </w:p>
          <w:p w14:paraId="4A744ABB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RV MPI: 0.65 ± 1.9;</w:t>
            </w:r>
          </w:p>
          <w:p w14:paraId="6A63C631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RV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dP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/dt: 545 ± 267 mmHg/s.</w:t>
            </w:r>
          </w:p>
        </w:tc>
        <w:tc>
          <w:tcPr>
            <w:tcW w:w="415" w:type="pct"/>
            <w:shd w:val="clear" w:color="auto" w:fill="FFB9B9"/>
            <w:hideMark/>
          </w:tcPr>
          <w:p w14:paraId="10B732F9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All-cause mortality</w:t>
            </w:r>
          </w:p>
        </w:tc>
        <w:tc>
          <w:tcPr>
            <w:tcW w:w="289" w:type="pct"/>
            <w:shd w:val="clear" w:color="auto" w:fill="FFB9B9"/>
            <w:hideMark/>
          </w:tcPr>
          <w:p w14:paraId="5F2B46E2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&lt;1 month</w:t>
            </w:r>
          </w:p>
        </w:tc>
        <w:tc>
          <w:tcPr>
            <w:tcW w:w="435" w:type="pct"/>
            <w:shd w:val="clear" w:color="auto" w:fill="FFB9B9"/>
            <w:hideMark/>
          </w:tcPr>
          <w:p w14:paraId="1A4B306F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RV dysfunction (at least 3 abnormal RV parameters out of the 5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(&gt;50%) parameters including RV FAC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&lt;35%, TAPSE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&lt;16%, S'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&lt;10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cm/s, RV MPI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&gt;0.40 by pulsed Doppler and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&gt;0.55 by tissue Doppler, and RV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dP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/dt &lt;400 mmHg/s) on multivariate logistic regression was associated with 30-day mortality (OR 3.5 [1.1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11.1],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0.03).</w:t>
            </w:r>
          </w:p>
        </w:tc>
        <w:tc>
          <w:tcPr>
            <w:tcW w:w="435" w:type="pct"/>
            <w:shd w:val="clear" w:color="auto" w:fill="FFB9B9"/>
            <w:hideMark/>
          </w:tcPr>
          <w:p w14:paraId="518DCE1E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</w:tr>
      <w:tr w:rsidR="004313E5" w:rsidRPr="00A608C5" w14:paraId="05B1B514" w14:textId="77777777" w:rsidTr="004D5406">
        <w:trPr>
          <w:trHeight w:val="905"/>
          <w:jc w:val="center"/>
        </w:trPr>
        <w:tc>
          <w:tcPr>
            <w:tcW w:w="496" w:type="pct"/>
            <w:vMerge/>
            <w:hideMark/>
          </w:tcPr>
          <w:p w14:paraId="6EA81DB1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39" w:type="pct"/>
            <w:vMerge/>
            <w:hideMark/>
          </w:tcPr>
          <w:p w14:paraId="4288071C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01" w:type="pct"/>
            <w:vMerge/>
            <w:hideMark/>
          </w:tcPr>
          <w:p w14:paraId="7785A817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38" w:type="pct"/>
            <w:vMerge/>
            <w:hideMark/>
          </w:tcPr>
          <w:p w14:paraId="5D8E8246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525" w:type="pct"/>
            <w:vMerge/>
            <w:hideMark/>
          </w:tcPr>
          <w:p w14:paraId="3F28A473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67" w:type="pct"/>
            <w:vMerge/>
            <w:hideMark/>
          </w:tcPr>
          <w:p w14:paraId="1539B4A2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27" w:type="pct"/>
            <w:vMerge/>
            <w:hideMark/>
          </w:tcPr>
          <w:p w14:paraId="61D3710F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01" w:type="pct"/>
            <w:vMerge/>
            <w:hideMark/>
          </w:tcPr>
          <w:p w14:paraId="07A52DDC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33" w:type="pct"/>
            <w:vMerge/>
            <w:hideMark/>
          </w:tcPr>
          <w:p w14:paraId="66DD097E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15" w:type="pct"/>
            <w:shd w:val="clear" w:color="auto" w:fill="BDD6EE"/>
            <w:hideMark/>
          </w:tcPr>
          <w:p w14:paraId="48C205EF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Post-operative adverse events</w:t>
            </w:r>
          </w:p>
        </w:tc>
        <w:tc>
          <w:tcPr>
            <w:tcW w:w="289" w:type="pct"/>
            <w:shd w:val="clear" w:color="auto" w:fill="BDD6EE"/>
            <w:hideMark/>
          </w:tcPr>
          <w:p w14:paraId="566A6F86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&lt;1 month</w:t>
            </w:r>
          </w:p>
        </w:tc>
        <w:tc>
          <w:tcPr>
            <w:tcW w:w="435" w:type="pct"/>
            <w:shd w:val="clear" w:color="auto" w:fill="BDD6EE"/>
            <w:hideMark/>
          </w:tcPr>
          <w:p w14:paraId="4C454F61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RV dysfunction was associated with 30-day composite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adverse events (OR 4.2 [2.1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8.3],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0.01).</w:t>
            </w:r>
          </w:p>
        </w:tc>
        <w:tc>
          <w:tcPr>
            <w:tcW w:w="435" w:type="pct"/>
            <w:shd w:val="clear" w:color="auto" w:fill="BDD6EE"/>
            <w:hideMark/>
          </w:tcPr>
          <w:p w14:paraId="1A032511" w14:textId="77777777" w:rsidR="004313E5" w:rsidRPr="00A608C5" w:rsidRDefault="004313E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</w:tr>
    </w:tbl>
    <w:p w14:paraId="592FF032" w14:textId="0A20D231" w:rsidR="004E379E" w:rsidRPr="00A608C5" w:rsidRDefault="004313E5" w:rsidP="004313E5">
      <w:pPr>
        <w:pStyle w:val="Tablefooter"/>
        <w:rPr>
          <w:rFonts w:eastAsiaTheme="minorEastAsia"/>
          <w:lang w:eastAsia="zh-CN"/>
        </w:rPr>
      </w:pPr>
      <w:r w:rsidRPr="00A608C5">
        <w:t>The Cell colors conform with Fig. 1. RV, right ventricle; LV, left ventricle; LVEF, left ventricular ejection fraction; RV FAC, right ventricular fractional area change; RV MPI, right ventricular myocardial performance index; TAPSE, tricuspid annular plane systolic excursion; RVEDD, right ventricular end-diastolic diameter; RV EF, right ventricular ejection fraction; RV FAC, right ventricular fractional area change; ICC, intraclass correlation coefficients; CV, coefficient of variation; NA, not available; AUC, area under curve; ACC/AHA, American College of Cardiology/American Heart Association; MR, mitral regurgitation; OR, odds ratio; HR, hazard ratio.</w:t>
      </w:r>
    </w:p>
    <w:p w14:paraId="43022873" w14:textId="77777777" w:rsidR="004313E5" w:rsidRDefault="004313E5" w:rsidP="004313E5">
      <w:pPr>
        <w:ind w:firstLine="420"/>
        <w:rPr>
          <w:rFonts w:cs="Times New Roman"/>
          <w:sz w:val="21"/>
          <w:szCs w:val="21"/>
          <w:lang w:bidi="en-US"/>
        </w:rPr>
      </w:pPr>
    </w:p>
    <w:p w14:paraId="25541312" w14:textId="77777777" w:rsidR="00D138DB" w:rsidRPr="00A608C5" w:rsidRDefault="00D138DB" w:rsidP="004313E5">
      <w:pPr>
        <w:ind w:firstLine="420"/>
        <w:rPr>
          <w:rFonts w:cs="Times New Roman"/>
          <w:sz w:val="21"/>
          <w:szCs w:val="21"/>
          <w:lang w:bidi="en-US"/>
        </w:rPr>
      </w:pPr>
    </w:p>
    <w:p w14:paraId="4ECBB790" w14:textId="7F1333BC" w:rsidR="006D6C17" w:rsidRPr="00A608C5" w:rsidRDefault="00D138DB" w:rsidP="006D6C17">
      <w:pPr>
        <w:pStyle w:val="Tablecaption"/>
        <w:spacing w:before="240" w:after="240"/>
        <w:rPr>
          <w:szCs w:val="21"/>
        </w:rPr>
      </w:pPr>
      <w:r w:rsidRPr="00A608C5">
        <w:rPr>
          <w:rFonts w:eastAsiaTheme="minorEastAsia"/>
          <w:szCs w:val="21"/>
        </w:rPr>
        <w:t xml:space="preserve">Supplementary </w:t>
      </w:r>
      <w:r w:rsidR="006D6C17" w:rsidRPr="00A608C5">
        <w:rPr>
          <w:szCs w:val="21"/>
        </w:rPr>
        <w:t>Table 6. Description of included studies of functional tricuspid regurgitation.</w:t>
      </w:r>
    </w:p>
    <w:tbl>
      <w:tblPr>
        <w:tblStyle w:val="11"/>
        <w:tblW w:w="5000" w:type="pct"/>
        <w:jc w:val="center"/>
        <w:tblLook w:val="04A0" w:firstRow="1" w:lastRow="0" w:firstColumn="1" w:lastColumn="0" w:noHBand="0" w:noVBand="1"/>
      </w:tblPr>
      <w:tblGrid>
        <w:gridCol w:w="1185"/>
        <w:gridCol w:w="1208"/>
        <w:gridCol w:w="884"/>
        <w:gridCol w:w="835"/>
        <w:gridCol w:w="1861"/>
        <w:gridCol w:w="1312"/>
        <w:gridCol w:w="940"/>
        <w:gridCol w:w="1503"/>
        <w:gridCol w:w="1301"/>
        <w:gridCol w:w="882"/>
        <w:gridCol w:w="2875"/>
      </w:tblGrid>
      <w:tr w:rsidR="006D6C17" w:rsidRPr="00A608C5" w14:paraId="1A5F0068" w14:textId="77777777" w:rsidTr="004D5406">
        <w:trPr>
          <w:trHeight w:val="848"/>
          <w:jc w:val="center"/>
        </w:trPr>
        <w:tc>
          <w:tcPr>
            <w:tcW w:w="427" w:type="pct"/>
            <w:hideMark/>
          </w:tcPr>
          <w:p w14:paraId="784DE0C2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First Author [Ref.];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Year Published;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Journal</w:t>
            </w:r>
          </w:p>
        </w:tc>
        <w:tc>
          <w:tcPr>
            <w:tcW w:w="399" w:type="pct"/>
            <w:hideMark/>
          </w:tcPr>
          <w:p w14:paraId="5EB45D53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Total Number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of Participants</w:t>
            </w:r>
          </w:p>
        </w:tc>
        <w:tc>
          <w:tcPr>
            <w:tcW w:w="353" w:type="pct"/>
            <w:hideMark/>
          </w:tcPr>
          <w:p w14:paraId="486D13E4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Age</w:t>
            </w:r>
          </w:p>
        </w:tc>
        <w:tc>
          <w:tcPr>
            <w:tcW w:w="276" w:type="pct"/>
            <w:hideMark/>
          </w:tcPr>
          <w:p w14:paraId="1BA0EA65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Female (%)</w:t>
            </w:r>
          </w:p>
        </w:tc>
        <w:tc>
          <w:tcPr>
            <w:tcW w:w="511" w:type="pct"/>
            <w:hideMark/>
          </w:tcPr>
          <w:p w14:paraId="074CF2FF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Population (severity/symptom)</w:t>
            </w:r>
          </w:p>
        </w:tc>
        <w:tc>
          <w:tcPr>
            <w:tcW w:w="434" w:type="pct"/>
            <w:hideMark/>
          </w:tcPr>
          <w:p w14:paraId="2E12CCFF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</w:t>
            </w:r>
          </w:p>
        </w:tc>
        <w:tc>
          <w:tcPr>
            <w:tcW w:w="318" w:type="pct"/>
            <w:hideMark/>
          </w:tcPr>
          <w:p w14:paraId="224F1A7F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Baseline LVEF (%)</w:t>
            </w:r>
          </w:p>
        </w:tc>
        <w:tc>
          <w:tcPr>
            <w:tcW w:w="548" w:type="pct"/>
            <w:hideMark/>
          </w:tcPr>
          <w:p w14:paraId="4FB83508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Baseline FTR grades</w:t>
            </w:r>
          </w:p>
        </w:tc>
        <w:tc>
          <w:tcPr>
            <w:tcW w:w="430" w:type="pct"/>
            <w:hideMark/>
          </w:tcPr>
          <w:p w14:paraId="68D744E7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Primary Outcome and Composite Cardiac Endpoint</w:t>
            </w:r>
          </w:p>
        </w:tc>
        <w:tc>
          <w:tcPr>
            <w:tcW w:w="292" w:type="pct"/>
            <w:hideMark/>
          </w:tcPr>
          <w:p w14:paraId="257B3952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Follow-up</w:t>
            </w:r>
          </w:p>
        </w:tc>
        <w:tc>
          <w:tcPr>
            <w:tcW w:w="1012" w:type="pct"/>
            <w:hideMark/>
          </w:tcPr>
          <w:p w14:paraId="0352CBBF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Association Between FTR and Outcomes</w:t>
            </w:r>
          </w:p>
        </w:tc>
      </w:tr>
      <w:tr w:rsidR="006D6C17" w:rsidRPr="00A608C5" w14:paraId="4DC11EFF" w14:textId="77777777" w:rsidTr="004D5406">
        <w:trPr>
          <w:trHeight w:val="833"/>
          <w:jc w:val="center"/>
        </w:trPr>
        <w:tc>
          <w:tcPr>
            <w:tcW w:w="427" w:type="pct"/>
            <w:vMerge w:val="restart"/>
            <w:hideMark/>
          </w:tcPr>
          <w:p w14:paraId="499F5B18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Chan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[70]</w:t>
            </w:r>
            <w:r w:rsidRPr="00A608C5">
              <w:rPr>
                <w:rFonts w:ascii="Times New Roman" w:eastAsia="等线" w:hAnsi="Times New Roman" w:cs="Times New Roman"/>
              </w:rPr>
              <w:t xml:space="preserve">, 2009,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Ann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t>Thorac</w:t>
            </w:r>
            <w:proofErr w:type="spellEnd"/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Surg</w:t>
            </w:r>
          </w:p>
        </w:tc>
        <w:tc>
          <w:tcPr>
            <w:tcW w:w="399" w:type="pct"/>
            <w:vMerge w:val="restart"/>
            <w:hideMark/>
          </w:tcPr>
          <w:p w14:paraId="017672E0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624</w:t>
            </w:r>
          </w:p>
        </w:tc>
        <w:tc>
          <w:tcPr>
            <w:tcW w:w="353" w:type="pct"/>
            <w:vMerge w:val="restart"/>
            <w:hideMark/>
          </w:tcPr>
          <w:p w14:paraId="3821B5F8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63.5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1.0</w:t>
            </w:r>
          </w:p>
        </w:tc>
        <w:tc>
          <w:tcPr>
            <w:tcW w:w="276" w:type="pct"/>
            <w:vMerge w:val="restart"/>
            <w:hideMark/>
          </w:tcPr>
          <w:p w14:paraId="004EC696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59</w:t>
            </w:r>
          </w:p>
        </w:tc>
        <w:tc>
          <w:tcPr>
            <w:tcW w:w="511" w:type="pct"/>
            <w:vMerge w:val="restart"/>
            <w:hideMark/>
          </w:tcPr>
          <w:p w14:paraId="69251F1D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≥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moderate/both</w:t>
            </w:r>
          </w:p>
        </w:tc>
        <w:tc>
          <w:tcPr>
            <w:tcW w:w="434" w:type="pct"/>
            <w:vMerge w:val="restart"/>
            <w:hideMark/>
          </w:tcPr>
          <w:p w14:paraId="50278556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(replacement 100%)</w:t>
            </w:r>
          </w:p>
        </w:tc>
        <w:tc>
          <w:tcPr>
            <w:tcW w:w="318" w:type="pct"/>
            <w:vMerge w:val="restart"/>
            <w:hideMark/>
          </w:tcPr>
          <w:p w14:paraId="17330864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≥50%: 61.9%</w:t>
            </w:r>
          </w:p>
          <w:p w14:paraId="1BD59722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35–50%: 14.6%</w:t>
            </w:r>
          </w:p>
          <w:p w14:paraId="6C13ACAB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20–34%: 7.4%;</w:t>
            </w:r>
          </w:p>
          <w:p w14:paraId="49D41A9A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&lt;20%: 2.6%</w:t>
            </w:r>
          </w:p>
        </w:tc>
        <w:tc>
          <w:tcPr>
            <w:tcW w:w="548" w:type="pct"/>
            <w:vMerge w:val="restart"/>
            <w:hideMark/>
          </w:tcPr>
          <w:p w14:paraId="690D50CC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Moderate to severe or severe: 37.0%</w:t>
            </w:r>
          </w:p>
        </w:tc>
        <w:tc>
          <w:tcPr>
            <w:tcW w:w="430" w:type="pct"/>
            <w:shd w:val="clear" w:color="auto" w:fill="FFB9B9"/>
            <w:hideMark/>
          </w:tcPr>
          <w:p w14:paraId="3EE18D8F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All-cause mortality</w:t>
            </w:r>
          </w:p>
        </w:tc>
        <w:tc>
          <w:tcPr>
            <w:tcW w:w="292" w:type="pct"/>
            <w:shd w:val="clear" w:color="auto" w:fill="FFB9B9"/>
            <w:hideMark/>
          </w:tcPr>
          <w:p w14:paraId="6E006C8E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6.8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4.8 years </w:t>
            </w:r>
          </w:p>
        </w:tc>
        <w:tc>
          <w:tcPr>
            <w:tcW w:w="1012" w:type="pct"/>
            <w:shd w:val="clear" w:color="auto" w:fill="FFB9B9"/>
            <w:hideMark/>
          </w:tcPr>
          <w:p w14:paraId="215179FA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Moderate to severe or severe FTR on multivariable Cox survival analysis was associated with higher mortality (HR 1.5 [1.1–2.0],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0.003).</w:t>
            </w:r>
          </w:p>
        </w:tc>
      </w:tr>
      <w:tr w:rsidR="006D6C17" w:rsidRPr="00A608C5" w14:paraId="4B8613C8" w14:textId="77777777" w:rsidTr="004D5406">
        <w:trPr>
          <w:trHeight w:val="833"/>
          <w:jc w:val="center"/>
        </w:trPr>
        <w:tc>
          <w:tcPr>
            <w:tcW w:w="427" w:type="pct"/>
            <w:vMerge/>
            <w:hideMark/>
          </w:tcPr>
          <w:p w14:paraId="04CEF8CD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99" w:type="pct"/>
            <w:vMerge/>
            <w:hideMark/>
          </w:tcPr>
          <w:p w14:paraId="132B93FC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53" w:type="pct"/>
            <w:vMerge/>
            <w:hideMark/>
          </w:tcPr>
          <w:p w14:paraId="09D8F747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76" w:type="pct"/>
            <w:vMerge/>
            <w:hideMark/>
          </w:tcPr>
          <w:p w14:paraId="63931244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511" w:type="pct"/>
            <w:vMerge/>
            <w:hideMark/>
          </w:tcPr>
          <w:p w14:paraId="1C30B2BE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34" w:type="pct"/>
            <w:vMerge/>
            <w:hideMark/>
          </w:tcPr>
          <w:p w14:paraId="1345D60D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18" w:type="pct"/>
            <w:vMerge/>
            <w:hideMark/>
          </w:tcPr>
          <w:p w14:paraId="79317EF2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548" w:type="pct"/>
            <w:vMerge/>
            <w:hideMark/>
          </w:tcPr>
          <w:p w14:paraId="7ADFFC07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30" w:type="pct"/>
            <w:shd w:val="clear" w:color="auto" w:fill="BDD6EE"/>
            <w:hideMark/>
          </w:tcPr>
          <w:p w14:paraId="7DD48AF4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Congestive heart failure</w:t>
            </w:r>
          </w:p>
        </w:tc>
        <w:tc>
          <w:tcPr>
            <w:tcW w:w="292" w:type="pct"/>
            <w:shd w:val="clear" w:color="auto" w:fill="BDD6EE"/>
            <w:hideMark/>
          </w:tcPr>
          <w:p w14:paraId="5DE3C0EE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6.8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4.8 years </w:t>
            </w:r>
          </w:p>
        </w:tc>
        <w:tc>
          <w:tcPr>
            <w:tcW w:w="1012" w:type="pct"/>
            <w:shd w:val="clear" w:color="auto" w:fill="BDD6EE"/>
            <w:hideMark/>
          </w:tcPr>
          <w:p w14:paraId="056D41E8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Moderate to severe or severe FTR on multivariable Cox survival analysis was associated with congestive heart failure development (HR 2.2 [1.1–4.9],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0.04).</w:t>
            </w:r>
          </w:p>
        </w:tc>
      </w:tr>
      <w:tr w:rsidR="006D6C17" w:rsidRPr="00A608C5" w14:paraId="149DB486" w14:textId="77777777" w:rsidTr="004D5406">
        <w:trPr>
          <w:trHeight w:val="833"/>
          <w:jc w:val="center"/>
        </w:trPr>
        <w:tc>
          <w:tcPr>
            <w:tcW w:w="427" w:type="pct"/>
            <w:vMerge w:val="restart"/>
            <w:hideMark/>
          </w:tcPr>
          <w:p w14:paraId="71B1C9D4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lastRenderedPageBreak/>
              <w:t>Murashita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[69]</w:t>
            </w:r>
            <w:r w:rsidRPr="00A608C5">
              <w:rPr>
                <w:rFonts w:ascii="Times New Roman" w:eastAsia="等线" w:hAnsi="Times New Roman" w:cs="Times New Roman"/>
              </w:rPr>
              <w:t xml:space="preserve">, 2013,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Circ J</w:t>
            </w:r>
          </w:p>
        </w:tc>
        <w:tc>
          <w:tcPr>
            <w:tcW w:w="399" w:type="pct"/>
            <w:vMerge w:val="restart"/>
            <w:hideMark/>
          </w:tcPr>
          <w:p w14:paraId="4C98B29D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1138</w:t>
            </w:r>
          </w:p>
        </w:tc>
        <w:tc>
          <w:tcPr>
            <w:tcW w:w="353" w:type="pct"/>
            <w:vMerge w:val="restart"/>
            <w:hideMark/>
          </w:tcPr>
          <w:p w14:paraId="190920C2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56.4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3.7</w:t>
            </w:r>
          </w:p>
        </w:tc>
        <w:tc>
          <w:tcPr>
            <w:tcW w:w="276" w:type="pct"/>
            <w:vMerge w:val="restart"/>
            <w:hideMark/>
          </w:tcPr>
          <w:p w14:paraId="0E3A5F49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31</w:t>
            </w:r>
          </w:p>
        </w:tc>
        <w:tc>
          <w:tcPr>
            <w:tcW w:w="511" w:type="pct"/>
            <w:vMerge w:val="restart"/>
            <w:hideMark/>
          </w:tcPr>
          <w:p w14:paraId="70663ED2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NA/both</w:t>
            </w:r>
          </w:p>
        </w:tc>
        <w:tc>
          <w:tcPr>
            <w:tcW w:w="434" w:type="pct"/>
            <w:vMerge w:val="restart"/>
            <w:hideMark/>
          </w:tcPr>
          <w:p w14:paraId="1D84ED2F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83.4%, replacement 16.6%)</w:t>
            </w:r>
          </w:p>
        </w:tc>
        <w:tc>
          <w:tcPr>
            <w:tcW w:w="318" w:type="pct"/>
            <w:vMerge w:val="restart"/>
            <w:hideMark/>
          </w:tcPr>
          <w:p w14:paraId="0F8BF753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66.5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0.3</w:t>
            </w:r>
          </w:p>
        </w:tc>
        <w:tc>
          <w:tcPr>
            <w:tcW w:w="548" w:type="pct"/>
            <w:vMerge w:val="restart"/>
            <w:hideMark/>
          </w:tcPr>
          <w:p w14:paraId="079BD710" w14:textId="72B35596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Mild or less: 73.2%</w:t>
            </w:r>
            <w:r w:rsidR="0059525F">
              <w:rPr>
                <w:rFonts w:ascii="Times New Roman" w:eastAsia="等线" w:hAnsi="Times New Roman" w:cs="Times New Roman"/>
              </w:rPr>
              <w:t>;</w:t>
            </w:r>
          </w:p>
          <w:p w14:paraId="0096453A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moderate: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19.1%;</w:t>
            </w:r>
          </w:p>
          <w:p w14:paraId="1FEA6F54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severe: 7.7%.</w:t>
            </w:r>
          </w:p>
        </w:tc>
        <w:tc>
          <w:tcPr>
            <w:tcW w:w="430" w:type="pct"/>
            <w:shd w:val="clear" w:color="auto" w:fill="FFB9B9"/>
            <w:hideMark/>
          </w:tcPr>
          <w:p w14:paraId="7FBDB843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All-cause mortality</w:t>
            </w:r>
          </w:p>
        </w:tc>
        <w:tc>
          <w:tcPr>
            <w:tcW w:w="292" w:type="pct"/>
            <w:shd w:val="clear" w:color="auto" w:fill="FFB9B9"/>
            <w:hideMark/>
          </w:tcPr>
          <w:p w14:paraId="2C52EA60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7.5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4.9 years</w:t>
            </w:r>
          </w:p>
        </w:tc>
        <w:tc>
          <w:tcPr>
            <w:tcW w:w="1012" w:type="pct"/>
            <w:shd w:val="clear" w:color="auto" w:fill="FFB9B9"/>
            <w:hideMark/>
          </w:tcPr>
          <w:p w14:paraId="03F622B2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Severe pre-operative FTR was associated with poor survival compared with mild or less TR group or moderate TR group (log-rank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0.001).</w:t>
            </w:r>
          </w:p>
        </w:tc>
      </w:tr>
      <w:tr w:rsidR="006D6C17" w:rsidRPr="00A608C5" w14:paraId="3F1DB2DA" w14:textId="77777777" w:rsidTr="004D5406">
        <w:trPr>
          <w:trHeight w:val="1023"/>
          <w:jc w:val="center"/>
        </w:trPr>
        <w:tc>
          <w:tcPr>
            <w:tcW w:w="427" w:type="pct"/>
            <w:vMerge/>
            <w:hideMark/>
          </w:tcPr>
          <w:p w14:paraId="01233274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99" w:type="pct"/>
            <w:vMerge/>
            <w:hideMark/>
          </w:tcPr>
          <w:p w14:paraId="3E534157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53" w:type="pct"/>
            <w:vMerge/>
            <w:hideMark/>
          </w:tcPr>
          <w:p w14:paraId="1AFE7F19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76" w:type="pct"/>
            <w:vMerge/>
            <w:hideMark/>
          </w:tcPr>
          <w:p w14:paraId="305EB4E1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511" w:type="pct"/>
            <w:vMerge/>
            <w:hideMark/>
          </w:tcPr>
          <w:p w14:paraId="3C4DEA90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34" w:type="pct"/>
            <w:vMerge/>
            <w:hideMark/>
          </w:tcPr>
          <w:p w14:paraId="142C7374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18" w:type="pct"/>
            <w:vMerge/>
            <w:hideMark/>
          </w:tcPr>
          <w:p w14:paraId="0855D427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548" w:type="pct"/>
            <w:vMerge/>
            <w:hideMark/>
          </w:tcPr>
          <w:p w14:paraId="5FB899AF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30" w:type="pct"/>
            <w:shd w:val="clear" w:color="auto" w:fill="BDD6EE"/>
            <w:hideMark/>
          </w:tcPr>
          <w:p w14:paraId="47ECAD49" w14:textId="77777777" w:rsidR="006D6C17" w:rsidRPr="00A608C5" w:rsidRDefault="006D6C17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Re-admission for congestive heart failure</w:t>
            </w:r>
          </w:p>
        </w:tc>
        <w:tc>
          <w:tcPr>
            <w:tcW w:w="292" w:type="pct"/>
            <w:shd w:val="clear" w:color="auto" w:fill="BDD6EE"/>
            <w:hideMark/>
          </w:tcPr>
          <w:p w14:paraId="5DC093C6" w14:textId="77777777" w:rsidR="006D6C17" w:rsidRPr="00A608C5" w:rsidRDefault="006D6C17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7.5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4.9 years</w:t>
            </w:r>
          </w:p>
        </w:tc>
        <w:tc>
          <w:tcPr>
            <w:tcW w:w="1012" w:type="pct"/>
            <w:shd w:val="clear" w:color="auto" w:fill="BDD6EE"/>
            <w:hideMark/>
          </w:tcPr>
          <w:p w14:paraId="3FF1ECFE" w14:textId="77777777" w:rsidR="006D6C17" w:rsidRPr="00A608C5" w:rsidRDefault="006D6C17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Severe or moderate pre-operative FTR was associated with higher incidences of re-admission for congestive heart failure compared with mild or less TR group (log-rank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hAnsi="Times New Roman" w:cs="Times New Roman"/>
              </w:rPr>
              <w:t xml:space="preserve"> 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0.008).</w:t>
            </w:r>
          </w:p>
        </w:tc>
      </w:tr>
      <w:tr w:rsidR="006D6C17" w:rsidRPr="00A608C5" w14:paraId="79942577" w14:textId="77777777" w:rsidTr="004D5406">
        <w:trPr>
          <w:trHeight w:val="700"/>
          <w:jc w:val="center"/>
        </w:trPr>
        <w:tc>
          <w:tcPr>
            <w:tcW w:w="427" w:type="pct"/>
            <w:vMerge/>
            <w:hideMark/>
          </w:tcPr>
          <w:p w14:paraId="71632238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99" w:type="pct"/>
            <w:vMerge/>
            <w:hideMark/>
          </w:tcPr>
          <w:p w14:paraId="0324B40F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53" w:type="pct"/>
            <w:vMerge/>
            <w:hideMark/>
          </w:tcPr>
          <w:p w14:paraId="321C64B7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76" w:type="pct"/>
            <w:vMerge/>
            <w:hideMark/>
          </w:tcPr>
          <w:p w14:paraId="06507BFB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511" w:type="pct"/>
            <w:vMerge/>
            <w:hideMark/>
          </w:tcPr>
          <w:p w14:paraId="58B0F8D7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34" w:type="pct"/>
            <w:vMerge/>
            <w:hideMark/>
          </w:tcPr>
          <w:p w14:paraId="184733D6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18" w:type="pct"/>
            <w:vMerge/>
            <w:hideMark/>
          </w:tcPr>
          <w:p w14:paraId="7E9C6983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548" w:type="pct"/>
            <w:vMerge/>
            <w:hideMark/>
          </w:tcPr>
          <w:p w14:paraId="5188BF73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30" w:type="pct"/>
            <w:shd w:val="clear" w:color="auto" w:fill="D9D9D9"/>
            <w:hideMark/>
          </w:tcPr>
          <w:p w14:paraId="0625782C" w14:textId="77777777" w:rsidR="006D6C17" w:rsidRPr="00A608C5" w:rsidRDefault="006D6C17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Progression to severe tricuspid regurgitation</w:t>
            </w:r>
          </w:p>
        </w:tc>
        <w:tc>
          <w:tcPr>
            <w:tcW w:w="292" w:type="pct"/>
            <w:shd w:val="clear" w:color="auto" w:fill="D9D9D9"/>
            <w:hideMark/>
          </w:tcPr>
          <w:p w14:paraId="667FD7D8" w14:textId="77777777" w:rsidR="006D6C17" w:rsidRPr="00A608C5" w:rsidRDefault="006D6C17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7.5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4.9 years</w:t>
            </w:r>
          </w:p>
        </w:tc>
        <w:tc>
          <w:tcPr>
            <w:tcW w:w="1012" w:type="pct"/>
            <w:shd w:val="clear" w:color="auto" w:fill="D9D9D9"/>
            <w:hideMark/>
          </w:tcPr>
          <w:p w14:paraId="51886B95" w14:textId="77777777" w:rsidR="006D6C17" w:rsidRPr="00A608C5" w:rsidRDefault="006D6C17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Pre-operative FTR on univariable Cox survival analysis was associated with recurrence of severe TR in patients without concomitant TR repair (HR 5.16 [1.78–14.9],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hAnsi="Times New Roman" w:cs="Times New Roman"/>
              </w:rPr>
              <w:t xml:space="preserve"> 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0.003).</w:t>
            </w:r>
          </w:p>
        </w:tc>
      </w:tr>
      <w:tr w:rsidR="006D6C17" w:rsidRPr="00A608C5" w14:paraId="7678EC2B" w14:textId="77777777" w:rsidTr="004D5406">
        <w:trPr>
          <w:trHeight w:val="1110"/>
          <w:jc w:val="center"/>
        </w:trPr>
        <w:tc>
          <w:tcPr>
            <w:tcW w:w="427" w:type="pct"/>
            <w:hideMark/>
          </w:tcPr>
          <w:p w14:paraId="436E4D7A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Yeates A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[74]</w:t>
            </w:r>
            <w:r w:rsidRPr="00A608C5">
              <w:rPr>
                <w:rFonts w:ascii="Times New Roman" w:eastAsia="等线" w:hAnsi="Times New Roman" w:cs="Times New Roman"/>
              </w:rPr>
              <w:t xml:space="preserve">, 2014,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ANZ J Surg</w:t>
            </w:r>
          </w:p>
        </w:tc>
        <w:tc>
          <w:tcPr>
            <w:tcW w:w="399" w:type="pct"/>
            <w:hideMark/>
          </w:tcPr>
          <w:p w14:paraId="799F15E9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161</w:t>
            </w:r>
          </w:p>
        </w:tc>
        <w:tc>
          <w:tcPr>
            <w:tcW w:w="353" w:type="pct"/>
            <w:hideMark/>
          </w:tcPr>
          <w:p w14:paraId="67188E9E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64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12.6</w:t>
            </w:r>
          </w:p>
        </w:tc>
        <w:tc>
          <w:tcPr>
            <w:tcW w:w="276" w:type="pct"/>
            <w:hideMark/>
          </w:tcPr>
          <w:p w14:paraId="342430B8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55</w:t>
            </w:r>
          </w:p>
        </w:tc>
        <w:tc>
          <w:tcPr>
            <w:tcW w:w="511" w:type="pct"/>
            <w:hideMark/>
          </w:tcPr>
          <w:p w14:paraId="6B6DDD34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NA/both</w:t>
            </w:r>
          </w:p>
        </w:tc>
        <w:tc>
          <w:tcPr>
            <w:tcW w:w="434" w:type="pct"/>
            <w:hideMark/>
          </w:tcPr>
          <w:p w14:paraId="70CC1657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37.3%, replacement 62.7%)</w:t>
            </w:r>
          </w:p>
        </w:tc>
        <w:tc>
          <w:tcPr>
            <w:tcW w:w="318" w:type="pct"/>
            <w:hideMark/>
          </w:tcPr>
          <w:p w14:paraId="6081EA96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&gt;55%: 76.4%</w:t>
            </w:r>
          </w:p>
        </w:tc>
        <w:tc>
          <w:tcPr>
            <w:tcW w:w="548" w:type="pct"/>
            <w:hideMark/>
          </w:tcPr>
          <w:p w14:paraId="73115461" w14:textId="18EC81E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Mild or less: 65.2%</w:t>
            </w:r>
            <w:r w:rsidR="0059525F" w:rsidRPr="0059525F">
              <w:rPr>
                <w:rFonts w:ascii="Times New Roman" w:eastAsia="等线" w:hAnsi="Times New Roman" w:cs="Times New Roman"/>
              </w:rPr>
              <w:t>;</w:t>
            </w:r>
          </w:p>
          <w:p w14:paraId="7ADF0FE9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moderate or severe: 34.8%.</w:t>
            </w:r>
          </w:p>
        </w:tc>
        <w:tc>
          <w:tcPr>
            <w:tcW w:w="430" w:type="pct"/>
            <w:shd w:val="clear" w:color="auto" w:fill="FFB9B9"/>
            <w:hideMark/>
          </w:tcPr>
          <w:p w14:paraId="5A725574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All-cause mortality</w:t>
            </w:r>
          </w:p>
        </w:tc>
        <w:tc>
          <w:tcPr>
            <w:tcW w:w="292" w:type="pct"/>
            <w:shd w:val="clear" w:color="auto" w:fill="FFB9B9"/>
            <w:hideMark/>
          </w:tcPr>
          <w:p w14:paraId="6F452E10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3.8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2.7 years</w:t>
            </w:r>
          </w:p>
        </w:tc>
        <w:tc>
          <w:tcPr>
            <w:tcW w:w="1012" w:type="pct"/>
            <w:shd w:val="clear" w:color="auto" w:fill="FFB9B9"/>
            <w:hideMark/>
          </w:tcPr>
          <w:p w14:paraId="4C04FD5E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Increasing grades of pre-operative FTR were associated with poor survival (adjusted log-rank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0.046).</w:t>
            </w:r>
          </w:p>
        </w:tc>
      </w:tr>
      <w:tr w:rsidR="006D6C17" w:rsidRPr="00A608C5" w14:paraId="753ECD7D" w14:textId="77777777" w:rsidTr="004D5406">
        <w:trPr>
          <w:trHeight w:val="2498"/>
          <w:jc w:val="center"/>
        </w:trPr>
        <w:tc>
          <w:tcPr>
            <w:tcW w:w="427" w:type="pct"/>
            <w:hideMark/>
          </w:tcPr>
          <w:p w14:paraId="1809127A" w14:textId="6DA545D6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David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[79]</w:t>
            </w:r>
            <w:r w:rsidRPr="00A608C5">
              <w:rPr>
                <w:rFonts w:ascii="Times New Roman" w:eastAsia="等线" w:hAnsi="Times New Roman" w:cs="Times New Roman"/>
              </w:rPr>
              <w:t>, 201</w:t>
            </w:r>
            <w:r w:rsidR="0059525F">
              <w:rPr>
                <w:rFonts w:ascii="Times New Roman" w:eastAsia="等线" w:hAnsi="Times New Roman" w:cs="Times New Roman"/>
              </w:rPr>
              <w:t>5</w:t>
            </w:r>
            <w:r w:rsidRPr="00A608C5">
              <w:rPr>
                <w:rFonts w:ascii="Times New Roman" w:eastAsia="等线" w:hAnsi="Times New Roman" w:cs="Times New Roman"/>
              </w:rPr>
              <w:t xml:space="preserve">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J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t>Thorac</w:t>
            </w:r>
            <w:proofErr w:type="spellEnd"/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Cardiovasc Surg</w:t>
            </w:r>
          </w:p>
        </w:tc>
        <w:tc>
          <w:tcPr>
            <w:tcW w:w="399" w:type="pct"/>
            <w:hideMark/>
          </w:tcPr>
          <w:p w14:paraId="2F1698AE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1171</w:t>
            </w:r>
          </w:p>
        </w:tc>
        <w:tc>
          <w:tcPr>
            <w:tcW w:w="353" w:type="pct"/>
            <w:hideMark/>
          </w:tcPr>
          <w:p w14:paraId="10EC1432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58.2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18.7</w:t>
            </w:r>
          </w:p>
        </w:tc>
        <w:tc>
          <w:tcPr>
            <w:tcW w:w="276" w:type="pct"/>
            <w:hideMark/>
          </w:tcPr>
          <w:p w14:paraId="4BCF727E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30</w:t>
            </w:r>
          </w:p>
        </w:tc>
        <w:tc>
          <w:tcPr>
            <w:tcW w:w="511" w:type="pct"/>
            <w:hideMark/>
          </w:tcPr>
          <w:p w14:paraId="70682BAE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≥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moderate/both</w:t>
            </w:r>
          </w:p>
        </w:tc>
        <w:tc>
          <w:tcPr>
            <w:tcW w:w="434" w:type="pct"/>
            <w:hideMark/>
          </w:tcPr>
          <w:p w14:paraId="67609F3B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100%)</w:t>
            </w:r>
          </w:p>
        </w:tc>
        <w:tc>
          <w:tcPr>
            <w:tcW w:w="318" w:type="pct"/>
            <w:hideMark/>
          </w:tcPr>
          <w:p w14:paraId="00C97F5E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≥60%: 65.5%</w:t>
            </w:r>
          </w:p>
          <w:p w14:paraId="4D27DFF6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40</w:t>
            </w: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59%: 29.8%</w:t>
            </w:r>
          </w:p>
          <w:p w14:paraId="0DC7BDA8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20</w:t>
            </w: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39%: 4.3%;</w:t>
            </w:r>
          </w:p>
          <w:p w14:paraId="42C39A71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&lt;20%: 0.1%</w:t>
            </w:r>
          </w:p>
        </w:tc>
        <w:tc>
          <w:tcPr>
            <w:tcW w:w="548" w:type="pct"/>
            <w:hideMark/>
          </w:tcPr>
          <w:p w14:paraId="6508B4AB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Trivial: 43.8%;</w:t>
            </w:r>
          </w:p>
          <w:p w14:paraId="1A07F93D" w14:textId="3C5B02AC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mild: 44.4%</w:t>
            </w:r>
            <w:r w:rsidR="0059525F" w:rsidRPr="0059525F">
              <w:rPr>
                <w:rFonts w:ascii="Times New Roman" w:eastAsia="等线" w:hAnsi="Times New Roman" w:cs="Times New Roman"/>
              </w:rPr>
              <w:t>;</w:t>
            </w:r>
          </w:p>
          <w:p w14:paraId="3EF148F7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moderate: 8.4%;</w:t>
            </w:r>
          </w:p>
          <w:p w14:paraId="49890139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severe: 3.3%.</w:t>
            </w:r>
          </w:p>
        </w:tc>
        <w:tc>
          <w:tcPr>
            <w:tcW w:w="430" w:type="pct"/>
            <w:shd w:val="clear" w:color="auto" w:fill="FFB9B9"/>
            <w:hideMark/>
          </w:tcPr>
          <w:p w14:paraId="2800CB37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All-cause mortality</w:t>
            </w:r>
          </w:p>
        </w:tc>
        <w:tc>
          <w:tcPr>
            <w:tcW w:w="292" w:type="pct"/>
            <w:shd w:val="clear" w:color="auto" w:fill="FFB9B9"/>
            <w:hideMark/>
          </w:tcPr>
          <w:p w14:paraId="4180B8D9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9.1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5.3 years</w:t>
            </w:r>
          </w:p>
        </w:tc>
        <w:tc>
          <w:tcPr>
            <w:tcW w:w="1012" w:type="pct"/>
            <w:shd w:val="clear" w:color="auto" w:fill="FFB9B9"/>
            <w:hideMark/>
          </w:tcPr>
          <w:p w14:paraId="02403BB2" w14:textId="77777777" w:rsidR="006D6C17" w:rsidRPr="00A608C5" w:rsidRDefault="006D6C17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Moderate or severe FTR on multivariable Cox survival analysis was associated with higher post-operative mortality (pre-operative FTR with tricuspid annuloplasty vs no pre-operative FTR 1.93 [1.26–2.98],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0.003, pre-operative FTR without tricuspid annuloplasty vs no pre-operative FTR 1.92 [1.01–3.66],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0.05), pre-operative FTR without tricuspid annuloplasty vs pre-operative FTR with tricuspid annuloplasty 1.07 [0.50–2.25],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0.87). </w:t>
            </w:r>
          </w:p>
        </w:tc>
      </w:tr>
      <w:tr w:rsidR="006D6C17" w:rsidRPr="00A608C5" w14:paraId="3CB92C32" w14:textId="77777777" w:rsidTr="004D5406">
        <w:trPr>
          <w:trHeight w:val="3615"/>
          <w:jc w:val="center"/>
        </w:trPr>
        <w:tc>
          <w:tcPr>
            <w:tcW w:w="427" w:type="pct"/>
            <w:hideMark/>
          </w:tcPr>
          <w:p w14:paraId="055E2C9A" w14:textId="77777777" w:rsidR="006D6C17" w:rsidRPr="00A608C5" w:rsidRDefault="006D6C17" w:rsidP="004D5406">
            <w:pPr>
              <w:pStyle w:val="Tablebody"/>
              <w:rPr>
                <w:rFonts w:ascii="Times New Roman" w:hAnsi="Times New Roman" w:cs="Times New Roman"/>
              </w:rPr>
            </w:pPr>
            <w:proofErr w:type="spellStart"/>
            <w:r w:rsidRPr="00A608C5">
              <w:rPr>
                <w:rFonts w:ascii="Times New Roman" w:hAnsi="Times New Roman" w:cs="Times New Roman"/>
              </w:rPr>
              <w:t>Essayagh</w:t>
            </w:r>
            <w:proofErr w:type="spellEnd"/>
            <w:r w:rsidRPr="00A608C5">
              <w:rPr>
                <w:rFonts w:ascii="Times New Roman" w:hAnsi="Times New Roman" w:cs="Times New Roman"/>
              </w:rPr>
              <w:t xml:space="preserve"> </w:t>
            </w:r>
            <w:r w:rsidRPr="00A608C5">
              <w:rPr>
                <w:rFonts w:ascii="Times New Roman" w:hAnsi="Times New Roman" w:cs="Times New Roman"/>
                <w:i/>
              </w:rPr>
              <w:t>et al.</w:t>
            </w:r>
            <w:r w:rsidRPr="00A608C5">
              <w:rPr>
                <w:rFonts w:ascii="Times New Roman" w:hAnsi="Times New Roman" w:cs="Times New Roman"/>
              </w:rPr>
              <w:t xml:space="preserve"> </w:t>
            </w:r>
            <w:r w:rsidRPr="00A608C5">
              <w:rPr>
                <w:rFonts w:ascii="Times New Roman" w:hAnsi="Times New Roman" w:cs="Times New Roman"/>
                <w:noProof/>
              </w:rPr>
              <w:t>[72]</w:t>
            </w:r>
            <w:r w:rsidRPr="00A608C5">
              <w:rPr>
                <w:rFonts w:ascii="Times New Roman" w:hAnsi="Times New Roman" w:cs="Times New Roman"/>
              </w:rPr>
              <w:t xml:space="preserve">, 2020,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 xml:space="preserve">Eur Heart J </w:t>
            </w:r>
          </w:p>
        </w:tc>
        <w:tc>
          <w:tcPr>
            <w:tcW w:w="399" w:type="pct"/>
            <w:hideMark/>
          </w:tcPr>
          <w:p w14:paraId="08E1C1A0" w14:textId="77777777" w:rsidR="006D6C17" w:rsidRPr="00A608C5" w:rsidRDefault="006D6C17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5083</w:t>
            </w:r>
          </w:p>
        </w:tc>
        <w:tc>
          <w:tcPr>
            <w:tcW w:w="353" w:type="pct"/>
            <w:hideMark/>
          </w:tcPr>
          <w:p w14:paraId="57CDDB02" w14:textId="77777777" w:rsidR="006D6C17" w:rsidRPr="00A608C5" w:rsidRDefault="006D6C17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63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76" w:type="pct"/>
            <w:hideMark/>
          </w:tcPr>
          <w:p w14:paraId="0F57CB4C" w14:textId="77777777" w:rsidR="006D6C17" w:rsidRPr="00A608C5" w:rsidRDefault="006D6C17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511" w:type="pct"/>
            <w:hideMark/>
          </w:tcPr>
          <w:p w14:paraId="361EE7D8" w14:textId="77777777" w:rsidR="006D6C17" w:rsidRPr="00A608C5" w:rsidRDefault="006D6C17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Both/both</w:t>
            </w:r>
          </w:p>
        </w:tc>
        <w:tc>
          <w:tcPr>
            <w:tcW w:w="434" w:type="pct"/>
            <w:hideMark/>
          </w:tcPr>
          <w:p w14:paraId="5AB11D03" w14:textId="77777777" w:rsidR="006D6C17" w:rsidRPr="00A608C5" w:rsidRDefault="006D6C17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surgery 24.5% (repair 90.1%, replacement 9.9%) + conservative (75.5%)</w:t>
            </w:r>
          </w:p>
        </w:tc>
        <w:tc>
          <w:tcPr>
            <w:tcW w:w="318" w:type="pct"/>
            <w:hideMark/>
          </w:tcPr>
          <w:p w14:paraId="57B2EA3C" w14:textId="77777777" w:rsidR="006D6C17" w:rsidRPr="00A608C5" w:rsidRDefault="006D6C17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63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48" w:type="pct"/>
            <w:hideMark/>
          </w:tcPr>
          <w:p w14:paraId="05D0DA17" w14:textId="77777777" w:rsidR="006D6C17" w:rsidRPr="00A608C5" w:rsidRDefault="006D6C17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608C5">
              <w:rPr>
                <w:rFonts w:ascii="Times New Roman" w:hAnsi="Times New Roman" w:cs="Times New Roman"/>
              </w:rPr>
              <w:t>Trivial: 45%;</w:t>
            </w:r>
          </w:p>
          <w:p w14:paraId="384B531D" w14:textId="427D1A1B" w:rsidR="006D6C17" w:rsidRPr="00A608C5" w:rsidRDefault="006D6C17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608C5">
              <w:rPr>
                <w:rFonts w:ascii="Times New Roman" w:hAnsi="Times New Roman" w:cs="Times New Roman"/>
              </w:rPr>
              <w:t>mild: 37%</w:t>
            </w:r>
            <w:r w:rsidR="0059525F" w:rsidRPr="0059525F">
              <w:rPr>
                <w:rFonts w:ascii="Times New Roman" w:hAnsi="Times New Roman" w:cs="Times New Roman"/>
              </w:rPr>
              <w:t>;</w:t>
            </w:r>
          </w:p>
          <w:p w14:paraId="3CC04033" w14:textId="77777777" w:rsidR="006D6C17" w:rsidRPr="00A608C5" w:rsidRDefault="006D6C17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608C5">
              <w:rPr>
                <w:rFonts w:ascii="Times New Roman" w:hAnsi="Times New Roman" w:cs="Times New Roman"/>
              </w:rPr>
              <w:t>moderate: 15%;</w:t>
            </w:r>
          </w:p>
          <w:p w14:paraId="366BB500" w14:textId="77777777" w:rsidR="006D6C17" w:rsidRPr="00A608C5" w:rsidRDefault="006D6C17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severe: 3%.</w:t>
            </w:r>
          </w:p>
        </w:tc>
        <w:tc>
          <w:tcPr>
            <w:tcW w:w="430" w:type="pct"/>
            <w:shd w:val="clear" w:color="auto" w:fill="FFB9B9"/>
            <w:hideMark/>
          </w:tcPr>
          <w:p w14:paraId="5D0B9DFC" w14:textId="77777777" w:rsidR="006D6C17" w:rsidRPr="00A608C5" w:rsidRDefault="006D6C17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All-cause mortality</w:t>
            </w:r>
          </w:p>
        </w:tc>
        <w:tc>
          <w:tcPr>
            <w:tcW w:w="292" w:type="pct"/>
            <w:shd w:val="clear" w:color="auto" w:fill="FFB9B9"/>
            <w:hideMark/>
          </w:tcPr>
          <w:p w14:paraId="21B8B659" w14:textId="77777777" w:rsidR="006D6C17" w:rsidRPr="00A608C5" w:rsidRDefault="006D6C17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6.8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3.1 years</w:t>
            </w:r>
          </w:p>
        </w:tc>
        <w:tc>
          <w:tcPr>
            <w:tcW w:w="1012" w:type="pct"/>
            <w:shd w:val="clear" w:color="auto" w:fill="FFB9B9"/>
            <w:hideMark/>
          </w:tcPr>
          <w:p w14:paraId="46383A17" w14:textId="77777777" w:rsidR="006D6C17" w:rsidRPr="00A608C5" w:rsidRDefault="006D6C17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608C5">
              <w:rPr>
                <w:rFonts w:ascii="Times New Roman" w:hAnsi="Times New Roman" w:cs="Times New Roman"/>
              </w:rPr>
              <w:t xml:space="preserve">For the subgroup after mitral surgery: </w:t>
            </w:r>
          </w:p>
          <w:p w14:paraId="76196250" w14:textId="77777777" w:rsidR="006D6C17" w:rsidRPr="00A608C5" w:rsidRDefault="006D6C17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608C5">
              <w:rPr>
                <w:rFonts w:ascii="Times New Roman" w:hAnsi="Times New Roman" w:cs="Times New Roman"/>
              </w:rPr>
              <w:t xml:space="preserve">FTR on multivariable Cox survival analysis was associated with post-operative survival (HR adjusted for left-sided variables: severe vs trivial 2.16 [1.04–4.50],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 xml:space="preserve">0.04; HR adjusted for right-sided variables: moderate vs trivial 2.11 [1.28–3.50],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 xml:space="preserve">0.004, severe vs trivial 2.90 [1.35–6.21],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0.006).</w:t>
            </w:r>
          </w:p>
          <w:p w14:paraId="46DD8EB9" w14:textId="77777777" w:rsidR="006D6C17" w:rsidRPr="00A608C5" w:rsidRDefault="006D6C17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In patients underwent concomitant tricuspid surgery, pre-operative FTR don't have </w:t>
            </w:r>
            <w:r w:rsidRPr="00A608C5">
              <w:rPr>
                <w:rFonts w:ascii="Times New Roman" w:hAnsi="Times New Roman" w:cs="Times New Roman"/>
              </w:rPr>
              <w:lastRenderedPageBreak/>
              <w:t>any association with post-operative survival (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0.76), while in those without tricuspid correction, pre-operative FTR severity has strongly association with post-operative survival (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&lt;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0.0001).</w:t>
            </w:r>
          </w:p>
        </w:tc>
      </w:tr>
    </w:tbl>
    <w:p w14:paraId="7916004F" w14:textId="26E13D9A" w:rsidR="004313E5" w:rsidRPr="00A608C5" w:rsidRDefault="006D6C17" w:rsidP="006D6C17">
      <w:pPr>
        <w:pStyle w:val="Tablefooter"/>
        <w:rPr>
          <w:rFonts w:eastAsia="等线"/>
        </w:rPr>
      </w:pPr>
      <w:r w:rsidRPr="00A608C5">
        <w:rPr>
          <w:rFonts w:eastAsia="等线"/>
        </w:rPr>
        <w:lastRenderedPageBreak/>
        <w:t xml:space="preserve">The Cell colors conform with Fig. 1. FTR, functional tricuspid regurgitation; LVEF, left ventricular ejection fraction; ICC, intraclass correlation coefficients; CV, coefficient of variation; NA, not available; AUC, area </w:t>
      </w:r>
      <w:r w:rsidRPr="0059525F">
        <w:rPr>
          <w:rFonts w:eastAsia="等线"/>
        </w:rPr>
        <w:t>under cu</w:t>
      </w:r>
      <w:r w:rsidRPr="00A608C5">
        <w:rPr>
          <w:rFonts w:eastAsia="等线"/>
        </w:rPr>
        <w:t>rve; OR, odds ratio; HR, hazard ratio.</w:t>
      </w:r>
    </w:p>
    <w:p w14:paraId="020DEF4B" w14:textId="77777777" w:rsidR="006D6C17" w:rsidRDefault="006D6C17" w:rsidP="006D6C17">
      <w:pPr>
        <w:ind w:firstLine="420"/>
        <w:rPr>
          <w:rFonts w:cs="Times New Roman"/>
          <w:sz w:val="21"/>
          <w:szCs w:val="21"/>
          <w:lang w:bidi="en-US"/>
        </w:rPr>
      </w:pPr>
    </w:p>
    <w:p w14:paraId="6A10F31F" w14:textId="77777777" w:rsidR="00D138DB" w:rsidRPr="00A608C5" w:rsidRDefault="00D138DB" w:rsidP="006D6C17">
      <w:pPr>
        <w:ind w:firstLine="420"/>
        <w:rPr>
          <w:rFonts w:cs="Times New Roman"/>
          <w:sz w:val="21"/>
          <w:szCs w:val="21"/>
          <w:lang w:bidi="en-US"/>
        </w:rPr>
      </w:pPr>
    </w:p>
    <w:p w14:paraId="1EC9AD1C" w14:textId="0AC9F0BC" w:rsidR="00DC4CCF" w:rsidRPr="00A608C5" w:rsidRDefault="00D138DB" w:rsidP="00DC4CCF">
      <w:pPr>
        <w:pStyle w:val="Tablecaption"/>
        <w:spacing w:before="240" w:after="240"/>
        <w:rPr>
          <w:szCs w:val="21"/>
        </w:rPr>
      </w:pPr>
      <w:r w:rsidRPr="00A608C5">
        <w:rPr>
          <w:rFonts w:eastAsiaTheme="minorEastAsia"/>
          <w:szCs w:val="21"/>
        </w:rPr>
        <w:t xml:space="preserve">Supplementary </w:t>
      </w:r>
      <w:r w:rsidR="00DC4CCF" w:rsidRPr="00A608C5">
        <w:rPr>
          <w:szCs w:val="21"/>
        </w:rPr>
        <w:t>Table 7</w:t>
      </w:r>
      <w:r w:rsidR="00DC4CCF" w:rsidRPr="00A608C5">
        <w:rPr>
          <w:rFonts w:eastAsiaTheme="minorEastAsia"/>
          <w:szCs w:val="21"/>
        </w:rPr>
        <w:t>.</w:t>
      </w:r>
      <w:r w:rsidR="00DC4CCF" w:rsidRPr="00A608C5">
        <w:rPr>
          <w:szCs w:val="21"/>
        </w:rPr>
        <w:t xml:space="preserve"> Description of included studies of left ventricular global longitudinal strain.</w:t>
      </w:r>
    </w:p>
    <w:tbl>
      <w:tblPr>
        <w:tblStyle w:val="11"/>
        <w:tblW w:w="5000" w:type="pct"/>
        <w:jc w:val="center"/>
        <w:tblLook w:val="04A0" w:firstRow="1" w:lastRow="0" w:firstColumn="1" w:lastColumn="0" w:noHBand="0" w:noVBand="1"/>
      </w:tblPr>
      <w:tblGrid>
        <w:gridCol w:w="1242"/>
        <w:gridCol w:w="862"/>
        <w:gridCol w:w="467"/>
        <w:gridCol w:w="619"/>
        <w:gridCol w:w="1371"/>
        <w:gridCol w:w="908"/>
        <w:gridCol w:w="1196"/>
        <w:gridCol w:w="763"/>
        <w:gridCol w:w="1788"/>
        <w:gridCol w:w="688"/>
        <w:gridCol w:w="688"/>
        <w:gridCol w:w="1109"/>
        <w:gridCol w:w="1014"/>
        <w:gridCol w:w="1095"/>
        <w:gridCol w:w="976"/>
      </w:tblGrid>
      <w:tr w:rsidR="00DC4CCF" w:rsidRPr="00A608C5" w14:paraId="38520C9C" w14:textId="77777777" w:rsidTr="004D5406">
        <w:trPr>
          <w:trHeight w:val="848"/>
          <w:jc w:val="center"/>
        </w:trPr>
        <w:tc>
          <w:tcPr>
            <w:tcW w:w="360" w:type="pct"/>
            <w:hideMark/>
          </w:tcPr>
          <w:p w14:paraId="3A02C16C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First Author [Ref.];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Year Published;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Journal</w:t>
            </w:r>
          </w:p>
        </w:tc>
        <w:tc>
          <w:tcPr>
            <w:tcW w:w="281" w:type="pct"/>
            <w:hideMark/>
          </w:tcPr>
          <w:p w14:paraId="16C31332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Total Number of Participants</w:t>
            </w:r>
          </w:p>
        </w:tc>
        <w:tc>
          <w:tcPr>
            <w:tcW w:w="194" w:type="pct"/>
            <w:hideMark/>
          </w:tcPr>
          <w:p w14:paraId="54C4192A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Age</w:t>
            </w:r>
          </w:p>
        </w:tc>
        <w:tc>
          <w:tcPr>
            <w:tcW w:w="175" w:type="pct"/>
            <w:hideMark/>
          </w:tcPr>
          <w:p w14:paraId="02063C59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Female (%)</w:t>
            </w:r>
          </w:p>
        </w:tc>
        <w:tc>
          <w:tcPr>
            <w:tcW w:w="361" w:type="pct"/>
            <w:hideMark/>
          </w:tcPr>
          <w:p w14:paraId="4445DEE0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Population (severity/symptom)</w:t>
            </w:r>
          </w:p>
        </w:tc>
        <w:tc>
          <w:tcPr>
            <w:tcW w:w="341" w:type="pct"/>
            <w:hideMark/>
          </w:tcPr>
          <w:p w14:paraId="4784083A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</w:t>
            </w:r>
          </w:p>
        </w:tc>
        <w:tc>
          <w:tcPr>
            <w:tcW w:w="312" w:type="pct"/>
            <w:hideMark/>
          </w:tcPr>
          <w:p w14:paraId="2F3C632D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Vendor for echocardiography</w:t>
            </w:r>
          </w:p>
        </w:tc>
        <w:tc>
          <w:tcPr>
            <w:tcW w:w="252" w:type="pct"/>
            <w:hideMark/>
          </w:tcPr>
          <w:p w14:paraId="3AB5817A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Software for strain analysis</w:t>
            </w:r>
          </w:p>
        </w:tc>
        <w:tc>
          <w:tcPr>
            <w:tcW w:w="566" w:type="pct"/>
            <w:hideMark/>
          </w:tcPr>
          <w:p w14:paraId="6034EDC6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Reproducibility (interobserver/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180" w:type="pct"/>
            <w:hideMark/>
          </w:tcPr>
          <w:p w14:paraId="6992B791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Baseline LVEF (%)</w:t>
            </w:r>
          </w:p>
        </w:tc>
        <w:tc>
          <w:tcPr>
            <w:tcW w:w="195" w:type="pct"/>
            <w:hideMark/>
          </w:tcPr>
          <w:p w14:paraId="3C99326F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Baseline LV GLS (%)</w:t>
            </w:r>
          </w:p>
        </w:tc>
        <w:tc>
          <w:tcPr>
            <w:tcW w:w="320" w:type="pct"/>
            <w:hideMark/>
          </w:tcPr>
          <w:p w14:paraId="5C30905C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Primary Outcome and Composite Cardiac Endpoint</w:t>
            </w:r>
          </w:p>
        </w:tc>
        <w:tc>
          <w:tcPr>
            <w:tcW w:w="257" w:type="pct"/>
            <w:hideMark/>
          </w:tcPr>
          <w:p w14:paraId="4E1EF090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Follow-up</w:t>
            </w:r>
          </w:p>
        </w:tc>
        <w:tc>
          <w:tcPr>
            <w:tcW w:w="759" w:type="pct"/>
            <w:hideMark/>
          </w:tcPr>
          <w:p w14:paraId="13FFA7AC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Association Between LV GLS and Outcomes</w:t>
            </w:r>
          </w:p>
        </w:tc>
        <w:tc>
          <w:tcPr>
            <w:tcW w:w="448" w:type="pct"/>
            <w:hideMark/>
          </w:tcPr>
          <w:p w14:paraId="51D01F6A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Receiver-Operating Characteristic Curve Analysis</w:t>
            </w:r>
          </w:p>
        </w:tc>
      </w:tr>
      <w:tr w:rsidR="00DC4CCF" w:rsidRPr="00A608C5" w14:paraId="1C6C0C6D" w14:textId="77777777" w:rsidTr="004D5406">
        <w:trPr>
          <w:trHeight w:val="1665"/>
          <w:jc w:val="center"/>
        </w:trPr>
        <w:tc>
          <w:tcPr>
            <w:tcW w:w="360" w:type="pct"/>
            <w:hideMark/>
          </w:tcPr>
          <w:p w14:paraId="3EBA941D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Song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[23]</w:t>
            </w:r>
            <w:r w:rsidRPr="00A608C5">
              <w:rPr>
                <w:rFonts w:ascii="Times New Roman" w:eastAsia="等线" w:hAnsi="Times New Roman" w:cs="Times New Roman"/>
              </w:rPr>
              <w:t>, 2011,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Annals of Thoracis Surgery</w:t>
            </w:r>
          </w:p>
        </w:tc>
        <w:tc>
          <w:tcPr>
            <w:tcW w:w="281" w:type="pct"/>
            <w:hideMark/>
          </w:tcPr>
          <w:p w14:paraId="16D0F567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147</w:t>
            </w:r>
          </w:p>
        </w:tc>
        <w:tc>
          <w:tcPr>
            <w:tcW w:w="194" w:type="pct"/>
            <w:hideMark/>
          </w:tcPr>
          <w:p w14:paraId="6963343A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48 ± 15</w:t>
            </w:r>
          </w:p>
        </w:tc>
        <w:tc>
          <w:tcPr>
            <w:tcW w:w="175" w:type="pct"/>
            <w:hideMark/>
          </w:tcPr>
          <w:p w14:paraId="1DD77DAC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39</w:t>
            </w:r>
          </w:p>
        </w:tc>
        <w:tc>
          <w:tcPr>
            <w:tcW w:w="361" w:type="pct"/>
            <w:hideMark/>
          </w:tcPr>
          <w:p w14:paraId="6EFCF8D6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severe/both</w:t>
            </w:r>
          </w:p>
        </w:tc>
        <w:tc>
          <w:tcPr>
            <w:tcW w:w="341" w:type="pct"/>
            <w:hideMark/>
          </w:tcPr>
          <w:p w14:paraId="79E32346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100%)</w:t>
            </w:r>
          </w:p>
        </w:tc>
        <w:tc>
          <w:tcPr>
            <w:tcW w:w="312" w:type="pct"/>
            <w:hideMark/>
          </w:tcPr>
          <w:p w14:paraId="19CD2640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GE</w:t>
            </w:r>
          </w:p>
        </w:tc>
        <w:tc>
          <w:tcPr>
            <w:tcW w:w="252" w:type="pct"/>
            <w:hideMark/>
          </w:tcPr>
          <w:p w14:paraId="6E41156D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EchoPAC</w:t>
            </w:r>
            <w:proofErr w:type="spellEnd"/>
          </w:p>
        </w:tc>
        <w:tc>
          <w:tcPr>
            <w:tcW w:w="566" w:type="pct"/>
            <w:hideMark/>
          </w:tcPr>
          <w:p w14:paraId="51DFEEEF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Interobserver: ICC 0.962 (</w:t>
            </w:r>
            <w:r w:rsidRPr="00A608C5">
              <w:rPr>
                <w:rFonts w:ascii="Times New Roman" w:eastAsia="等线" w:hAnsi="Times New Roman" w:cs="Times New Roman"/>
                <w:i/>
                <w:iCs/>
                <w:lang w:eastAsia="zh-CN"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0.001), CV 4.3%.</w:t>
            </w:r>
          </w:p>
          <w:p w14:paraId="16DE15E0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Interobserver: NA</w:t>
            </w:r>
          </w:p>
        </w:tc>
        <w:tc>
          <w:tcPr>
            <w:tcW w:w="180" w:type="pct"/>
            <w:hideMark/>
          </w:tcPr>
          <w:p w14:paraId="60F9FE0D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63 ± 6.5</w:t>
            </w:r>
          </w:p>
        </w:tc>
        <w:tc>
          <w:tcPr>
            <w:tcW w:w="195" w:type="pct"/>
            <w:hideMark/>
          </w:tcPr>
          <w:p w14:paraId="71942418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19.9 ± 4.0</w:t>
            </w:r>
          </w:p>
        </w:tc>
        <w:tc>
          <w:tcPr>
            <w:tcW w:w="320" w:type="pct"/>
            <w:shd w:val="clear" w:color="auto" w:fill="BDD6EE"/>
            <w:hideMark/>
          </w:tcPr>
          <w:p w14:paraId="5B3991B9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Cardiac events (Death/hospital admission for heart failure) or post-operative LVEF &lt;55%)</w:t>
            </w:r>
          </w:p>
        </w:tc>
        <w:tc>
          <w:tcPr>
            <w:tcW w:w="257" w:type="pct"/>
            <w:shd w:val="clear" w:color="auto" w:fill="BDD6EE"/>
            <w:hideMark/>
          </w:tcPr>
          <w:p w14:paraId="4A983A5A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Immediately/3 m/21 ± 17 m</w:t>
            </w:r>
          </w:p>
        </w:tc>
        <w:tc>
          <w:tcPr>
            <w:tcW w:w="759" w:type="pct"/>
            <w:shd w:val="clear" w:color="auto" w:fill="BDD6EE"/>
            <w:hideMark/>
          </w:tcPr>
          <w:p w14:paraId="4D0367DC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Baseline LV GLS was not associated with post-operative LV dysfunction or clinical events.</w:t>
            </w:r>
          </w:p>
        </w:tc>
        <w:tc>
          <w:tcPr>
            <w:tcW w:w="448" w:type="pct"/>
            <w:shd w:val="clear" w:color="auto" w:fill="BDD6EE"/>
            <w:hideMark/>
          </w:tcPr>
          <w:p w14:paraId="16B4429C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</w:tr>
      <w:tr w:rsidR="00DC4CCF" w:rsidRPr="00A608C5" w14:paraId="3C53FFD6" w14:textId="77777777" w:rsidTr="004D5406">
        <w:trPr>
          <w:trHeight w:val="2220"/>
          <w:jc w:val="center"/>
        </w:trPr>
        <w:tc>
          <w:tcPr>
            <w:tcW w:w="360" w:type="pct"/>
            <w:hideMark/>
          </w:tcPr>
          <w:p w14:paraId="78257C73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Donal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[86]</w:t>
            </w:r>
            <w:r w:rsidRPr="00A608C5">
              <w:rPr>
                <w:rFonts w:ascii="Times New Roman" w:eastAsia="等线" w:hAnsi="Times New Roman" w:cs="Times New Roman"/>
              </w:rPr>
              <w:t>, 2012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,</w:t>
            </w:r>
            <w:r w:rsidRPr="00A608C5">
              <w:rPr>
                <w:rFonts w:ascii="Times New Roman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Eur Heart J Cardiovasc Imaging</w:t>
            </w:r>
          </w:p>
        </w:tc>
        <w:tc>
          <w:tcPr>
            <w:tcW w:w="281" w:type="pct"/>
            <w:hideMark/>
          </w:tcPr>
          <w:p w14:paraId="51243339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77</w:t>
            </w:r>
          </w:p>
        </w:tc>
        <w:tc>
          <w:tcPr>
            <w:tcW w:w="194" w:type="pct"/>
            <w:hideMark/>
          </w:tcPr>
          <w:p w14:paraId="74CDFDD3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63 ± 16</w:t>
            </w:r>
          </w:p>
        </w:tc>
        <w:tc>
          <w:tcPr>
            <w:tcW w:w="175" w:type="pct"/>
            <w:hideMark/>
          </w:tcPr>
          <w:p w14:paraId="1D8F8BFA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33</w:t>
            </w:r>
          </w:p>
        </w:tc>
        <w:tc>
          <w:tcPr>
            <w:tcW w:w="361" w:type="pct"/>
            <w:hideMark/>
          </w:tcPr>
          <w:p w14:paraId="26F9C745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severe/both</w:t>
            </w:r>
          </w:p>
        </w:tc>
        <w:tc>
          <w:tcPr>
            <w:tcW w:w="341" w:type="pct"/>
            <w:hideMark/>
          </w:tcPr>
          <w:p w14:paraId="575E668D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93.5%) + conservative (6.5%)</w:t>
            </w:r>
          </w:p>
        </w:tc>
        <w:tc>
          <w:tcPr>
            <w:tcW w:w="312" w:type="pct"/>
            <w:hideMark/>
          </w:tcPr>
          <w:p w14:paraId="5B9109CF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GE</w:t>
            </w:r>
          </w:p>
        </w:tc>
        <w:tc>
          <w:tcPr>
            <w:tcW w:w="252" w:type="pct"/>
            <w:hideMark/>
          </w:tcPr>
          <w:p w14:paraId="66323B30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EchoPAC</w:t>
            </w:r>
            <w:proofErr w:type="spellEnd"/>
          </w:p>
        </w:tc>
        <w:tc>
          <w:tcPr>
            <w:tcW w:w="566" w:type="pct"/>
            <w:hideMark/>
          </w:tcPr>
          <w:p w14:paraId="30159D58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Interobserver: CV 13.5% </w:t>
            </w:r>
          </w:p>
        </w:tc>
        <w:tc>
          <w:tcPr>
            <w:tcW w:w="180" w:type="pct"/>
            <w:hideMark/>
          </w:tcPr>
          <w:p w14:paraId="48420AF1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67 ± 12</w:t>
            </w:r>
          </w:p>
        </w:tc>
        <w:tc>
          <w:tcPr>
            <w:tcW w:w="195" w:type="pct"/>
            <w:hideMark/>
          </w:tcPr>
          <w:p w14:paraId="28AA8E74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18 ± 5</w:t>
            </w:r>
          </w:p>
        </w:tc>
        <w:tc>
          <w:tcPr>
            <w:tcW w:w="320" w:type="pct"/>
            <w:shd w:val="clear" w:color="auto" w:fill="FFE599"/>
            <w:hideMark/>
          </w:tcPr>
          <w:p w14:paraId="3227B5E2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LVEF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&lt;50%</w:t>
            </w:r>
          </w:p>
        </w:tc>
        <w:tc>
          <w:tcPr>
            <w:tcW w:w="257" w:type="pct"/>
            <w:shd w:val="clear" w:color="auto" w:fill="FFE599"/>
            <w:hideMark/>
          </w:tcPr>
          <w:p w14:paraId="38796C5A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 months</w:t>
            </w:r>
          </w:p>
        </w:tc>
        <w:tc>
          <w:tcPr>
            <w:tcW w:w="759" w:type="pct"/>
            <w:shd w:val="clear" w:color="auto" w:fill="FFE599"/>
            <w:hideMark/>
          </w:tcPr>
          <w:p w14:paraId="253E9CF4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Worse LV GLS on univariate linear regression analysis was associated with poorer post-operative LV function (r = 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0.422;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= 0.011); </w:t>
            </w:r>
          </w:p>
          <w:p w14:paraId="6E17F176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Worse LV GLS on multivaria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te logistic regression analysis was associated with LV dysfunction (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= 0.028).</w:t>
            </w:r>
          </w:p>
          <w:p w14:paraId="27973E3F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However, on the multivariate linear regression model, only exercise LV GLS normalized was associated with LV function (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= 0.019).</w:t>
            </w:r>
          </w:p>
        </w:tc>
        <w:tc>
          <w:tcPr>
            <w:tcW w:w="448" w:type="pct"/>
            <w:shd w:val="clear" w:color="auto" w:fill="FFE599"/>
            <w:hideMark/>
          </w:tcPr>
          <w:p w14:paraId="703BAC75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LV GLS cut-off value 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18% to predict post-operative LV dysfunction with a sensitivity of 77% and specificity of 56% (AUC 0.685).</w:t>
            </w:r>
          </w:p>
        </w:tc>
      </w:tr>
      <w:tr w:rsidR="00DC4CCF" w:rsidRPr="00A608C5" w14:paraId="787AE4DD" w14:textId="77777777" w:rsidTr="004D5406">
        <w:trPr>
          <w:trHeight w:val="970"/>
          <w:jc w:val="center"/>
        </w:trPr>
        <w:tc>
          <w:tcPr>
            <w:tcW w:w="360" w:type="pct"/>
            <w:hideMark/>
          </w:tcPr>
          <w:p w14:paraId="7D8A8DFA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Florescu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[30]</w:t>
            </w:r>
            <w:r w:rsidRPr="00A608C5">
              <w:rPr>
                <w:rFonts w:ascii="Times New Roman" w:eastAsia="等线" w:hAnsi="Times New Roman" w:cs="Times New Roman"/>
              </w:rPr>
              <w:t xml:space="preserve">, 2012,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Echocardiography</w:t>
            </w:r>
          </w:p>
        </w:tc>
        <w:tc>
          <w:tcPr>
            <w:tcW w:w="281" w:type="pct"/>
            <w:hideMark/>
          </w:tcPr>
          <w:p w14:paraId="4775BCD6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28</w:t>
            </w:r>
          </w:p>
        </w:tc>
        <w:tc>
          <w:tcPr>
            <w:tcW w:w="194" w:type="pct"/>
            <w:hideMark/>
          </w:tcPr>
          <w:p w14:paraId="0ADA31E4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59 ± 13</w:t>
            </w:r>
          </w:p>
        </w:tc>
        <w:tc>
          <w:tcPr>
            <w:tcW w:w="175" w:type="pct"/>
            <w:hideMark/>
          </w:tcPr>
          <w:p w14:paraId="6FB8AAA0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36</w:t>
            </w:r>
          </w:p>
        </w:tc>
        <w:tc>
          <w:tcPr>
            <w:tcW w:w="361" w:type="pct"/>
            <w:hideMark/>
          </w:tcPr>
          <w:p w14:paraId="1A76C22D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severe/asymptomatic</w:t>
            </w:r>
          </w:p>
        </w:tc>
        <w:tc>
          <w:tcPr>
            <w:tcW w:w="341" w:type="pct"/>
            <w:hideMark/>
          </w:tcPr>
          <w:p w14:paraId="5903EA2C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100%)</w:t>
            </w:r>
          </w:p>
        </w:tc>
        <w:tc>
          <w:tcPr>
            <w:tcW w:w="312" w:type="pct"/>
            <w:hideMark/>
          </w:tcPr>
          <w:p w14:paraId="063B922C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GE</w:t>
            </w:r>
          </w:p>
        </w:tc>
        <w:tc>
          <w:tcPr>
            <w:tcW w:w="252" w:type="pct"/>
            <w:hideMark/>
          </w:tcPr>
          <w:p w14:paraId="366362F3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EchoPAC</w:t>
            </w:r>
            <w:proofErr w:type="spellEnd"/>
          </w:p>
        </w:tc>
        <w:tc>
          <w:tcPr>
            <w:tcW w:w="566" w:type="pct"/>
            <w:hideMark/>
          </w:tcPr>
          <w:p w14:paraId="1DD7CA43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Interobserver: CV 6.1%; </w:t>
            </w:r>
          </w:p>
          <w:p w14:paraId="7A7738D7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CV 1.8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2.5%</w:t>
            </w:r>
          </w:p>
        </w:tc>
        <w:tc>
          <w:tcPr>
            <w:tcW w:w="180" w:type="pct"/>
            <w:hideMark/>
          </w:tcPr>
          <w:p w14:paraId="4ACC7B67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63 ± 5</w:t>
            </w:r>
          </w:p>
        </w:tc>
        <w:tc>
          <w:tcPr>
            <w:tcW w:w="195" w:type="pct"/>
            <w:hideMark/>
          </w:tcPr>
          <w:p w14:paraId="21A6FC75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19.9 ± 4.4</w:t>
            </w:r>
          </w:p>
        </w:tc>
        <w:tc>
          <w:tcPr>
            <w:tcW w:w="320" w:type="pct"/>
            <w:shd w:val="clear" w:color="auto" w:fill="FFE599"/>
            <w:hideMark/>
          </w:tcPr>
          <w:p w14:paraId="1E2FC669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Decrease in LVEF &gt;10%</w:t>
            </w:r>
          </w:p>
        </w:tc>
        <w:tc>
          <w:tcPr>
            <w:tcW w:w="257" w:type="pct"/>
            <w:shd w:val="clear" w:color="auto" w:fill="FFE599"/>
            <w:hideMark/>
          </w:tcPr>
          <w:p w14:paraId="29DB5C93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0.5 month</w:t>
            </w:r>
          </w:p>
        </w:tc>
        <w:tc>
          <w:tcPr>
            <w:tcW w:w="759" w:type="pct"/>
            <w:shd w:val="clear" w:color="auto" w:fill="FFE599"/>
            <w:hideMark/>
          </w:tcPr>
          <w:p w14:paraId="5F7B303E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Worse LV GLS on univariate linear regression analysis was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associated with poorer LV function; However, on multivariate linear regression model, only mean peak longitudinal systolic velocity was an independent predictor of a post-operative reduction of EF greater than 10% (r</w:t>
            </w:r>
            <w:r w:rsidRPr="00A608C5">
              <w:rPr>
                <w:rFonts w:ascii="Times New Roman" w:eastAsia="等线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eastAsia="等线" w:hAnsi="Times New Roman" w:cs="Times New Roman"/>
              </w:rPr>
              <w:t xml:space="preserve"> = 0.52,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&lt; 0.001), and the combination of mean peak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longitudinal systolic velocity and longitudinal systolic strain was the best predictor of a post-operative reduction of EF reduction greater than 10% (r</w:t>
            </w:r>
            <w:r w:rsidRPr="00A608C5">
              <w:rPr>
                <w:rFonts w:ascii="Times New Roman" w:eastAsia="等线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eastAsia="等线" w:hAnsi="Times New Roman" w:cs="Times New Roman"/>
              </w:rPr>
              <w:t xml:space="preserve"> = 0.70,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&lt; 0.001).</w:t>
            </w:r>
          </w:p>
        </w:tc>
        <w:tc>
          <w:tcPr>
            <w:tcW w:w="448" w:type="pct"/>
            <w:shd w:val="clear" w:color="auto" w:fill="FFE599"/>
            <w:hideMark/>
          </w:tcPr>
          <w:p w14:paraId="13F6A73F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LV GLS cut-off value 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18% to predict a post-operative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decrease in LVEF &gt;10% with a sensitivity of 83% and specificity of 77% (AUC 0.96).</w:t>
            </w:r>
          </w:p>
        </w:tc>
      </w:tr>
      <w:tr w:rsidR="00DC4CCF" w:rsidRPr="00A608C5" w14:paraId="255762D4" w14:textId="77777777" w:rsidTr="004D5406">
        <w:trPr>
          <w:trHeight w:val="1665"/>
          <w:jc w:val="center"/>
        </w:trPr>
        <w:tc>
          <w:tcPr>
            <w:tcW w:w="360" w:type="pct"/>
            <w:hideMark/>
          </w:tcPr>
          <w:p w14:paraId="1DAAEF58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lastRenderedPageBreak/>
              <w:t>Mascle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[21]</w:t>
            </w:r>
            <w:r w:rsidRPr="00A608C5">
              <w:rPr>
                <w:rFonts w:ascii="Times New Roman" w:eastAsia="等线" w:hAnsi="Times New Roman" w:cs="Times New Roman"/>
              </w:rPr>
              <w:t>, 2012,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J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Am Soc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t>Echocardiogr</w:t>
            </w:r>
            <w:proofErr w:type="spellEnd"/>
          </w:p>
        </w:tc>
        <w:tc>
          <w:tcPr>
            <w:tcW w:w="281" w:type="pct"/>
            <w:hideMark/>
          </w:tcPr>
          <w:p w14:paraId="41ACBC97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88</w:t>
            </w:r>
          </w:p>
        </w:tc>
        <w:tc>
          <w:tcPr>
            <w:tcW w:w="194" w:type="pct"/>
            <w:hideMark/>
          </w:tcPr>
          <w:p w14:paraId="1ACBBA7C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63 ± 13</w:t>
            </w:r>
          </w:p>
        </w:tc>
        <w:tc>
          <w:tcPr>
            <w:tcW w:w="175" w:type="pct"/>
            <w:hideMark/>
          </w:tcPr>
          <w:p w14:paraId="14BDE16B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33</w:t>
            </w:r>
          </w:p>
        </w:tc>
        <w:tc>
          <w:tcPr>
            <w:tcW w:w="361" w:type="pct"/>
            <w:hideMark/>
          </w:tcPr>
          <w:p w14:paraId="537D8C74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severe/both</w:t>
            </w:r>
          </w:p>
        </w:tc>
        <w:tc>
          <w:tcPr>
            <w:tcW w:w="341" w:type="pct"/>
            <w:hideMark/>
          </w:tcPr>
          <w:p w14:paraId="12821C07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82%, replacement 18%)</w:t>
            </w:r>
          </w:p>
        </w:tc>
        <w:tc>
          <w:tcPr>
            <w:tcW w:w="312" w:type="pct"/>
            <w:hideMark/>
          </w:tcPr>
          <w:p w14:paraId="247A02E0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GE</w:t>
            </w:r>
          </w:p>
        </w:tc>
        <w:tc>
          <w:tcPr>
            <w:tcW w:w="252" w:type="pct"/>
            <w:hideMark/>
          </w:tcPr>
          <w:p w14:paraId="77CD060A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EchoPAC</w:t>
            </w:r>
            <w:proofErr w:type="spellEnd"/>
          </w:p>
        </w:tc>
        <w:tc>
          <w:tcPr>
            <w:tcW w:w="566" w:type="pct"/>
            <w:hideMark/>
          </w:tcPr>
          <w:p w14:paraId="0F6DB675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Interobserver: absolute difference 1.4 ± 1.5%, relative difference 0.04%;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absolute difference 1.4 ± 1.1%, relative difference 0.05%</w:t>
            </w:r>
          </w:p>
        </w:tc>
        <w:tc>
          <w:tcPr>
            <w:tcW w:w="180" w:type="pct"/>
            <w:hideMark/>
          </w:tcPr>
          <w:p w14:paraId="7EFD4DB0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66 ± 7</w:t>
            </w:r>
          </w:p>
        </w:tc>
        <w:tc>
          <w:tcPr>
            <w:tcW w:w="195" w:type="pct"/>
            <w:hideMark/>
          </w:tcPr>
          <w:p w14:paraId="569A5910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19.1 ± 3.6</w:t>
            </w:r>
          </w:p>
        </w:tc>
        <w:tc>
          <w:tcPr>
            <w:tcW w:w="320" w:type="pct"/>
            <w:shd w:val="clear" w:color="auto" w:fill="FFE599"/>
            <w:hideMark/>
          </w:tcPr>
          <w:p w14:paraId="7A57AC07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LVEF &lt;50%</w:t>
            </w:r>
          </w:p>
        </w:tc>
        <w:tc>
          <w:tcPr>
            <w:tcW w:w="257" w:type="pct"/>
            <w:shd w:val="clear" w:color="auto" w:fill="FFE599"/>
            <w:hideMark/>
          </w:tcPr>
          <w:p w14:paraId="106F73FE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 months</w:t>
            </w:r>
          </w:p>
        </w:tc>
        <w:tc>
          <w:tcPr>
            <w:tcW w:w="759" w:type="pct"/>
            <w:shd w:val="clear" w:color="auto" w:fill="FFE599"/>
            <w:hideMark/>
          </w:tcPr>
          <w:p w14:paraId="1EC19D09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Worse LV GLS on univariate linear regression analysis was associated with post-operative LV function (r = 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0.29;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=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0.007).</w:t>
            </w:r>
          </w:p>
          <w:p w14:paraId="04B219DF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Worse LV GLS than 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18% on multivariate logistic regression was associated with post-operative LVEF &lt;50% (adjusted OR 4.2 [1.4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13],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0.009).</w:t>
            </w:r>
          </w:p>
        </w:tc>
        <w:tc>
          <w:tcPr>
            <w:tcW w:w="448" w:type="pct"/>
            <w:shd w:val="clear" w:color="auto" w:fill="FFE599"/>
            <w:hideMark/>
          </w:tcPr>
          <w:p w14:paraId="3F972AF2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</w:tr>
      <w:tr w:rsidR="00DC4CCF" w:rsidRPr="00A608C5" w14:paraId="2D3DB742" w14:textId="77777777" w:rsidTr="004D5406">
        <w:trPr>
          <w:trHeight w:val="1943"/>
          <w:jc w:val="center"/>
        </w:trPr>
        <w:tc>
          <w:tcPr>
            <w:tcW w:w="360" w:type="pct"/>
            <w:hideMark/>
          </w:tcPr>
          <w:p w14:paraId="24771B7C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Witkowski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[20]</w:t>
            </w:r>
            <w:r w:rsidRPr="00A608C5">
              <w:rPr>
                <w:rFonts w:ascii="Times New Roman" w:eastAsia="等线" w:hAnsi="Times New Roman" w:cs="Times New Roman"/>
              </w:rPr>
              <w:t xml:space="preserve">, 2013,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Eur Heart J Cardiovasc Imaging </w:t>
            </w:r>
          </w:p>
        </w:tc>
        <w:tc>
          <w:tcPr>
            <w:tcW w:w="281" w:type="pct"/>
            <w:hideMark/>
          </w:tcPr>
          <w:p w14:paraId="08662DEE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233</w:t>
            </w:r>
          </w:p>
        </w:tc>
        <w:tc>
          <w:tcPr>
            <w:tcW w:w="194" w:type="pct"/>
            <w:hideMark/>
          </w:tcPr>
          <w:p w14:paraId="52FCBAAF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61 ± 12</w:t>
            </w:r>
          </w:p>
        </w:tc>
        <w:tc>
          <w:tcPr>
            <w:tcW w:w="175" w:type="pct"/>
            <w:hideMark/>
          </w:tcPr>
          <w:p w14:paraId="4492A065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39</w:t>
            </w:r>
          </w:p>
        </w:tc>
        <w:tc>
          <w:tcPr>
            <w:tcW w:w="361" w:type="pct"/>
            <w:hideMark/>
          </w:tcPr>
          <w:p w14:paraId="48200DD8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moderate to severe or severe/both</w:t>
            </w:r>
          </w:p>
        </w:tc>
        <w:tc>
          <w:tcPr>
            <w:tcW w:w="341" w:type="pct"/>
            <w:hideMark/>
          </w:tcPr>
          <w:p w14:paraId="10BFF86E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100%)</w:t>
            </w:r>
          </w:p>
        </w:tc>
        <w:tc>
          <w:tcPr>
            <w:tcW w:w="312" w:type="pct"/>
            <w:hideMark/>
          </w:tcPr>
          <w:p w14:paraId="2FAA4916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GE</w:t>
            </w:r>
          </w:p>
        </w:tc>
        <w:tc>
          <w:tcPr>
            <w:tcW w:w="252" w:type="pct"/>
            <w:hideMark/>
          </w:tcPr>
          <w:p w14:paraId="32C2A284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EchoPAC</w:t>
            </w:r>
            <w:proofErr w:type="spellEnd"/>
          </w:p>
        </w:tc>
        <w:tc>
          <w:tcPr>
            <w:tcW w:w="566" w:type="pct"/>
            <w:hideMark/>
          </w:tcPr>
          <w:p w14:paraId="6FE16D67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Interobserver: absolute difference 0.9 ± 1.0; </w:t>
            </w:r>
          </w:p>
          <w:p w14:paraId="362F0540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absolute difference 1.2 ± 0.5</w:t>
            </w:r>
          </w:p>
        </w:tc>
        <w:tc>
          <w:tcPr>
            <w:tcW w:w="180" w:type="pct"/>
            <w:hideMark/>
          </w:tcPr>
          <w:p w14:paraId="44E93367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66 ± 9</w:t>
            </w:r>
          </w:p>
        </w:tc>
        <w:tc>
          <w:tcPr>
            <w:tcW w:w="195" w:type="pct"/>
            <w:hideMark/>
          </w:tcPr>
          <w:p w14:paraId="4165D760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21.8 ± 4.1</w:t>
            </w:r>
          </w:p>
        </w:tc>
        <w:tc>
          <w:tcPr>
            <w:tcW w:w="320" w:type="pct"/>
            <w:shd w:val="clear" w:color="auto" w:fill="FFE599"/>
            <w:hideMark/>
          </w:tcPr>
          <w:p w14:paraId="7B04595C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LVEF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&lt;50%</w:t>
            </w:r>
          </w:p>
        </w:tc>
        <w:tc>
          <w:tcPr>
            <w:tcW w:w="257" w:type="pct"/>
            <w:shd w:val="clear" w:color="auto" w:fill="FFE599"/>
            <w:hideMark/>
          </w:tcPr>
          <w:p w14:paraId="70E5164E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34 ± 20 months (2.8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1.7 years)</w:t>
            </w:r>
          </w:p>
        </w:tc>
        <w:tc>
          <w:tcPr>
            <w:tcW w:w="759" w:type="pct"/>
            <w:shd w:val="clear" w:color="auto" w:fill="FFE599"/>
            <w:hideMark/>
          </w:tcPr>
          <w:p w14:paraId="1F95A028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Worse LV GLS on multivariate logistic regression was associated with post-operative LV dysfunction (unadjuste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d OR 24.11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[7.95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73.05]); adjusted OR 23.16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[6.53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82.10]).</w:t>
            </w:r>
          </w:p>
          <w:p w14:paraId="4A2DCEB6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Incremental prognostic value of LV GLS was demonstrated (R 0.434→0.605, adjusted R</w:t>
            </w:r>
            <w:r w:rsidRPr="0059525F">
              <w:rPr>
                <w:rFonts w:ascii="Times New Roman" w:eastAsia="等线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eastAsia="等线" w:hAnsi="Times New Roman" w:cs="Times New Roman"/>
              </w:rPr>
              <w:t xml:space="preserve"> 0.178 →0.355)</w:t>
            </w:r>
          </w:p>
        </w:tc>
        <w:tc>
          <w:tcPr>
            <w:tcW w:w="448" w:type="pct"/>
            <w:shd w:val="clear" w:color="auto" w:fill="FFE599"/>
            <w:hideMark/>
          </w:tcPr>
          <w:p w14:paraId="5A5FEE16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LV GLS cut-off value 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19.9% to predict LV dysfunction with a sensitivity of 90% and a specifici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ty of 79% (AUC 0.88 [0.83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0.93];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0.001).</w:t>
            </w:r>
          </w:p>
        </w:tc>
      </w:tr>
      <w:tr w:rsidR="00DC4CCF" w:rsidRPr="00A608C5" w14:paraId="46CFA325" w14:textId="77777777" w:rsidTr="004D5406">
        <w:trPr>
          <w:trHeight w:val="1820"/>
          <w:jc w:val="center"/>
        </w:trPr>
        <w:tc>
          <w:tcPr>
            <w:tcW w:w="360" w:type="pct"/>
            <w:vMerge w:val="restart"/>
            <w:hideMark/>
          </w:tcPr>
          <w:p w14:paraId="33AC1CB8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lastRenderedPageBreak/>
              <w:t>Pandis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[87]</w:t>
            </w:r>
            <w:r w:rsidRPr="00A608C5">
              <w:rPr>
                <w:rFonts w:ascii="Times New Roman" w:eastAsia="等线" w:hAnsi="Times New Roman" w:cs="Times New Roman"/>
              </w:rPr>
              <w:t>, 2014,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J Am Soc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t>Echocardiogr</w:t>
            </w:r>
            <w:proofErr w:type="spellEnd"/>
          </w:p>
        </w:tc>
        <w:tc>
          <w:tcPr>
            <w:tcW w:w="281" w:type="pct"/>
            <w:vMerge w:val="restart"/>
            <w:hideMark/>
          </w:tcPr>
          <w:p w14:paraId="6CD68C18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130</w:t>
            </w:r>
          </w:p>
        </w:tc>
        <w:tc>
          <w:tcPr>
            <w:tcW w:w="194" w:type="pct"/>
            <w:vMerge w:val="restart"/>
            <w:hideMark/>
          </w:tcPr>
          <w:p w14:paraId="7DC958F8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57 ± 14</w:t>
            </w:r>
          </w:p>
        </w:tc>
        <w:tc>
          <w:tcPr>
            <w:tcW w:w="175" w:type="pct"/>
            <w:vMerge w:val="restart"/>
            <w:hideMark/>
          </w:tcPr>
          <w:p w14:paraId="306723CC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35</w:t>
            </w:r>
          </w:p>
        </w:tc>
        <w:tc>
          <w:tcPr>
            <w:tcW w:w="361" w:type="pct"/>
            <w:vMerge w:val="restart"/>
            <w:hideMark/>
          </w:tcPr>
          <w:p w14:paraId="7FD50CC4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severe/NA</w:t>
            </w:r>
          </w:p>
        </w:tc>
        <w:tc>
          <w:tcPr>
            <w:tcW w:w="341" w:type="pct"/>
            <w:vMerge w:val="restart"/>
            <w:hideMark/>
          </w:tcPr>
          <w:p w14:paraId="2B57BC3B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100%)</w:t>
            </w:r>
          </w:p>
        </w:tc>
        <w:tc>
          <w:tcPr>
            <w:tcW w:w="312" w:type="pct"/>
            <w:vMerge w:val="restart"/>
            <w:hideMark/>
          </w:tcPr>
          <w:p w14:paraId="5FDCF52E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252" w:type="pct"/>
            <w:vMerge w:val="restart"/>
            <w:hideMark/>
          </w:tcPr>
          <w:p w14:paraId="3AB6C612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TomTec</w:t>
            </w:r>
            <w:proofErr w:type="spellEnd"/>
          </w:p>
        </w:tc>
        <w:tc>
          <w:tcPr>
            <w:tcW w:w="566" w:type="pct"/>
            <w:vMerge w:val="restart"/>
            <w:hideMark/>
          </w:tcPr>
          <w:p w14:paraId="10D96AA5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Interobserver: ICC 0.83 (0.59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0.93);</w:t>
            </w:r>
          </w:p>
          <w:p w14:paraId="7FDD0811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Interobserver; variability 1.8%;</w:t>
            </w:r>
          </w:p>
          <w:p w14:paraId="5D8B62FE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; variability 1.7%</w:t>
            </w:r>
          </w:p>
        </w:tc>
        <w:tc>
          <w:tcPr>
            <w:tcW w:w="180" w:type="pct"/>
            <w:vMerge w:val="restart"/>
            <w:hideMark/>
          </w:tcPr>
          <w:p w14:paraId="47619CFD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62.6 ± 11</w:t>
            </w:r>
          </w:p>
        </w:tc>
        <w:tc>
          <w:tcPr>
            <w:tcW w:w="195" w:type="pct"/>
            <w:vMerge w:val="restart"/>
            <w:hideMark/>
          </w:tcPr>
          <w:p w14:paraId="06D07346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20.4 ± 0.5</w:t>
            </w:r>
          </w:p>
        </w:tc>
        <w:tc>
          <w:tcPr>
            <w:tcW w:w="320" w:type="pct"/>
            <w:shd w:val="clear" w:color="auto" w:fill="FFE599"/>
            <w:hideMark/>
          </w:tcPr>
          <w:p w14:paraId="05E30459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Decrease in LVEF &gt;10%</w:t>
            </w:r>
          </w:p>
        </w:tc>
        <w:tc>
          <w:tcPr>
            <w:tcW w:w="257" w:type="pct"/>
            <w:shd w:val="clear" w:color="auto" w:fill="FFE599"/>
            <w:hideMark/>
          </w:tcPr>
          <w:p w14:paraId="712A7B7B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Immediate post-operatively</w:t>
            </w:r>
          </w:p>
        </w:tc>
        <w:tc>
          <w:tcPr>
            <w:tcW w:w="759" w:type="pct"/>
            <w:shd w:val="clear" w:color="auto" w:fill="FFE599"/>
            <w:hideMark/>
          </w:tcPr>
          <w:p w14:paraId="05D023E2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Better (higher magnitude) LV GLS on multivariate logistic regression was associated with LVEF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reduction &gt;10% after surgery (adjusted OR 0.81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[0.73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0.88];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0.0001). </w:t>
            </w:r>
          </w:p>
          <w:p w14:paraId="1CFD54DE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Incremental prognostic value of LV GLS was demonstrated (R</w:t>
            </w:r>
            <w:r w:rsidRPr="0059525F">
              <w:rPr>
                <w:rFonts w:ascii="Times New Roman" w:eastAsia="等线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eastAsia="等线" w:hAnsi="Times New Roman" w:cs="Times New Roman"/>
              </w:rPr>
              <w:t xml:space="preserve"> 0.13→0.24, adjusted R</w:t>
            </w:r>
            <w:r w:rsidRPr="00A608C5">
              <w:rPr>
                <w:rFonts w:ascii="Times New Roman" w:eastAsia="等线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eastAsia="等线" w:hAnsi="Times New Roman" w:cs="Times New Roman"/>
              </w:rPr>
              <w:t xml:space="preserve"> 0.12 →0.23).</w:t>
            </w:r>
          </w:p>
        </w:tc>
        <w:tc>
          <w:tcPr>
            <w:tcW w:w="448" w:type="pct"/>
            <w:shd w:val="clear" w:color="auto" w:fill="FFE599"/>
            <w:hideMark/>
          </w:tcPr>
          <w:p w14:paraId="3DAD923A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LV GLS cut-off value 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20.5% to predict a post-operative decrease in LVEF &gt;10%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with a sensitivity of 66.7% and a specificity of 73% (AUC 0.75 [0.66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0.82];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0.0001).</w:t>
            </w:r>
          </w:p>
        </w:tc>
      </w:tr>
      <w:tr w:rsidR="00DC4CCF" w:rsidRPr="00A608C5" w14:paraId="53C94BBC" w14:textId="77777777" w:rsidTr="004D5406">
        <w:trPr>
          <w:trHeight w:val="1820"/>
          <w:jc w:val="center"/>
        </w:trPr>
        <w:tc>
          <w:tcPr>
            <w:tcW w:w="360" w:type="pct"/>
            <w:vMerge/>
            <w:hideMark/>
          </w:tcPr>
          <w:p w14:paraId="26B2A7BF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81" w:type="pct"/>
            <w:vMerge/>
            <w:hideMark/>
          </w:tcPr>
          <w:p w14:paraId="2EDA140B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94" w:type="pct"/>
            <w:vMerge/>
            <w:hideMark/>
          </w:tcPr>
          <w:p w14:paraId="7F3FB2AC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75" w:type="pct"/>
            <w:vMerge/>
            <w:hideMark/>
          </w:tcPr>
          <w:p w14:paraId="49B67808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61" w:type="pct"/>
            <w:vMerge/>
            <w:hideMark/>
          </w:tcPr>
          <w:p w14:paraId="78279502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41" w:type="pct"/>
            <w:vMerge/>
            <w:hideMark/>
          </w:tcPr>
          <w:p w14:paraId="218C6038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12" w:type="pct"/>
            <w:vMerge/>
            <w:hideMark/>
          </w:tcPr>
          <w:p w14:paraId="21540CCD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52" w:type="pct"/>
            <w:vMerge/>
            <w:hideMark/>
          </w:tcPr>
          <w:p w14:paraId="307BE0C0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566" w:type="pct"/>
            <w:vMerge/>
            <w:hideMark/>
          </w:tcPr>
          <w:p w14:paraId="1B69FC25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0" w:type="pct"/>
            <w:vMerge/>
            <w:hideMark/>
          </w:tcPr>
          <w:p w14:paraId="4BFADB7A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95" w:type="pct"/>
            <w:vMerge/>
            <w:hideMark/>
          </w:tcPr>
          <w:p w14:paraId="71C2AE76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20" w:type="pct"/>
            <w:shd w:val="clear" w:color="auto" w:fill="FFE599"/>
            <w:hideMark/>
          </w:tcPr>
          <w:p w14:paraId="54ABC839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LVEF &lt;50% in addition to LVEF reduction &gt;10%</w:t>
            </w:r>
          </w:p>
        </w:tc>
        <w:tc>
          <w:tcPr>
            <w:tcW w:w="257" w:type="pct"/>
            <w:shd w:val="clear" w:color="auto" w:fill="FFE599"/>
            <w:hideMark/>
          </w:tcPr>
          <w:p w14:paraId="5D2D0726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Immediate post-operatively</w:t>
            </w:r>
          </w:p>
        </w:tc>
        <w:tc>
          <w:tcPr>
            <w:tcW w:w="759" w:type="pct"/>
            <w:shd w:val="clear" w:color="auto" w:fill="FFE599"/>
            <w:hideMark/>
          </w:tcPr>
          <w:p w14:paraId="237831D8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448" w:type="pct"/>
            <w:shd w:val="clear" w:color="auto" w:fill="FFE599"/>
            <w:hideMark/>
          </w:tcPr>
          <w:p w14:paraId="551CFAAB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LV GLS cut-off value 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17.9% to predict LV dysfunction with a sensitivity of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80.7% and a specificity of 100% (AUC: 0.93 [0.84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0.98];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0.0001).</w:t>
            </w:r>
          </w:p>
        </w:tc>
      </w:tr>
      <w:tr w:rsidR="00DC4CCF" w:rsidRPr="00A608C5" w14:paraId="378E3B15" w14:textId="77777777" w:rsidTr="004D5406">
        <w:trPr>
          <w:trHeight w:val="1665"/>
          <w:jc w:val="center"/>
        </w:trPr>
        <w:tc>
          <w:tcPr>
            <w:tcW w:w="360" w:type="pct"/>
            <w:vMerge w:val="restart"/>
            <w:hideMark/>
          </w:tcPr>
          <w:p w14:paraId="6C6B4E6D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lastRenderedPageBreak/>
              <w:t>Alashi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[80]</w:t>
            </w:r>
            <w:r w:rsidRPr="00A608C5">
              <w:rPr>
                <w:rFonts w:ascii="Times New Roman" w:eastAsia="等线" w:hAnsi="Times New Roman" w:cs="Times New Roman"/>
              </w:rPr>
              <w:t xml:space="preserve">, 2016,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Circ Cardiovasc Imaging</w:t>
            </w:r>
          </w:p>
        </w:tc>
        <w:tc>
          <w:tcPr>
            <w:tcW w:w="281" w:type="pct"/>
            <w:vMerge w:val="restart"/>
            <w:hideMark/>
          </w:tcPr>
          <w:p w14:paraId="6BAC9159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448</w:t>
            </w:r>
          </w:p>
        </w:tc>
        <w:tc>
          <w:tcPr>
            <w:tcW w:w="194" w:type="pct"/>
            <w:vMerge w:val="restart"/>
            <w:hideMark/>
          </w:tcPr>
          <w:p w14:paraId="5650F6F2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61 ± 12</w:t>
            </w:r>
          </w:p>
        </w:tc>
        <w:tc>
          <w:tcPr>
            <w:tcW w:w="175" w:type="pct"/>
            <w:vMerge w:val="restart"/>
            <w:hideMark/>
          </w:tcPr>
          <w:p w14:paraId="7B1E863D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31</w:t>
            </w:r>
          </w:p>
        </w:tc>
        <w:tc>
          <w:tcPr>
            <w:tcW w:w="361" w:type="pct"/>
            <w:vMerge w:val="restart"/>
            <w:hideMark/>
          </w:tcPr>
          <w:p w14:paraId="5D10DAAE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moderate to severe or severe/asymptomatic</w:t>
            </w:r>
          </w:p>
        </w:tc>
        <w:tc>
          <w:tcPr>
            <w:tcW w:w="341" w:type="pct"/>
            <w:vMerge w:val="restart"/>
            <w:hideMark/>
          </w:tcPr>
          <w:p w14:paraId="6AA21D40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92%, replacement 8%)</w:t>
            </w:r>
          </w:p>
        </w:tc>
        <w:tc>
          <w:tcPr>
            <w:tcW w:w="312" w:type="pct"/>
            <w:vMerge w:val="restart"/>
            <w:hideMark/>
          </w:tcPr>
          <w:p w14:paraId="68490A7F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Philips, Siemens, GE</w:t>
            </w:r>
          </w:p>
        </w:tc>
        <w:tc>
          <w:tcPr>
            <w:tcW w:w="252" w:type="pct"/>
            <w:vMerge w:val="restart"/>
            <w:hideMark/>
          </w:tcPr>
          <w:p w14:paraId="552499B4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Velocity Vector Imaging</w:t>
            </w:r>
          </w:p>
        </w:tc>
        <w:tc>
          <w:tcPr>
            <w:tcW w:w="566" w:type="pct"/>
            <w:vMerge w:val="restart"/>
            <w:hideMark/>
          </w:tcPr>
          <w:p w14:paraId="782979FC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Interobserver: ICC 0.86 (0.71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0.92), CV 7.4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8.7%; </w:t>
            </w:r>
          </w:p>
          <w:p w14:paraId="6A39B274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ICC 0.90 (0.81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0.97), CV 5.5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7.7%</w:t>
            </w:r>
          </w:p>
        </w:tc>
        <w:tc>
          <w:tcPr>
            <w:tcW w:w="180" w:type="pct"/>
            <w:vMerge w:val="restart"/>
            <w:hideMark/>
          </w:tcPr>
          <w:p w14:paraId="427FFA5C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62 ± 3</w:t>
            </w:r>
          </w:p>
        </w:tc>
        <w:tc>
          <w:tcPr>
            <w:tcW w:w="195" w:type="pct"/>
            <w:vMerge w:val="restart"/>
            <w:hideMark/>
          </w:tcPr>
          <w:p w14:paraId="42B47CAE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20 ± 2</w:t>
            </w:r>
          </w:p>
        </w:tc>
        <w:tc>
          <w:tcPr>
            <w:tcW w:w="320" w:type="pct"/>
            <w:shd w:val="clear" w:color="auto" w:fill="FFB9B9"/>
            <w:hideMark/>
          </w:tcPr>
          <w:p w14:paraId="211FF036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All-cause mortality</w:t>
            </w:r>
          </w:p>
        </w:tc>
        <w:tc>
          <w:tcPr>
            <w:tcW w:w="257" w:type="pct"/>
            <w:shd w:val="clear" w:color="auto" w:fill="FFB9B9"/>
            <w:hideMark/>
          </w:tcPr>
          <w:p w14:paraId="614F08A7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7.7 ± 2 years</w:t>
            </w:r>
          </w:p>
        </w:tc>
        <w:tc>
          <w:tcPr>
            <w:tcW w:w="759" w:type="pct"/>
            <w:shd w:val="clear" w:color="auto" w:fill="FFB9B9"/>
            <w:hideMark/>
          </w:tcPr>
          <w:p w14:paraId="300BE1FC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Worse LV GLS on multivariable Cox survival analysis was associated with higher mortality (adjusted HR 1.17 [1.08–1.27],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&lt; 0.002).</w:t>
            </w:r>
          </w:p>
          <w:p w14:paraId="52E948ED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Incremental prognostic value of LV GLS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was demonstrated (</w:t>
            </w:r>
            <w:r w:rsidRPr="00A608C5">
              <w:rPr>
                <w:rFonts w:ascii="Times New Roman" w:eastAsia="等线" w:hAnsi="Times New Roman" w:cs="Times New Roman"/>
              </w:rPr>
              <w:sym w:font="Symbol" w:char="F063"/>
            </w:r>
            <w:r w:rsidRPr="00A608C5">
              <w:rPr>
                <w:rFonts w:ascii="Times New Roman" w:eastAsia="等线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eastAsia="等线" w:hAnsi="Times New Roman" w:cs="Times New Roman"/>
              </w:rPr>
              <w:t xml:space="preserve"> 47→61,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&lt; 0.01; C-statistic 0.68→0.75,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&lt; 0.01).</w:t>
            </w:r>
          </w:p>
        </w:tc>
        <w:tc>
          <w:tcPr>
            <w:tcW w:w="448" w:type="pct"/>
            <w:shd w:val="clear" w:color="auto" w:fill="FFB9B9"/>
            <w:hideMark/>
          </w:tcPr>
          <w:p w14:paraId="5A9F97C5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</w:tr>
      <w:tr w:rsidR="00DC4CCF" w:rsidRPr="00A608C5" w14:paraId="6ED9C334" w14:textId="77777777" w:rsidTr="004D5406">
        <w:trPr>
          <w:trHeight w:val="833"/>
          <w:jc w:val="center"/>
        </w:trPr>
        <w:tc>
          <w:tcPr>
            <w:tcW w:w="360" w:type="pct"/>
            <w:vMerge/>
            <w:hideMark/>
          </w:tcPr>
          <w:p w14:paraId="667D584A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81" w:type="pct"/>
            <w:vMerge/>
            <w:hideMark/>
          </w:tcPr>
          <w:p w14:paraId="71B0E98B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94" w:type="pct"/>
            <w:vMerge/>
            <w:hideMark/>
          </w:tcPr>
          <w:p w14:paraId="2AFC7175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75" w:type="pct"/>
            <w:vMerge/>
            <w:hideMark/>
          </w:tcPr>
          <w:p w14:paraId="31996800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61" w:type="pct"/>
            <w:vMerge/>
            <w:hideMark/>
          </w:tcPr>
          <w:p w14:paraId="6537A150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41" w:type="pct"/>
            <w:vMerge/>
            <w:hideMark/>
          </w:tcPr>
          <w:p w14:paraId="223467AF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12" w:type="pct"/>
            <w:vMerge/>
            <w:hideMark/>
          </w:tcPr>
          <w:p w14:paraId="4F7A7472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52" w:type="pct"/>
            <w:vMerge/>
            <w:hideMark/>
          </w:tcPr>
          <w:p w14:paraId="27D22B62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566" w:type="pct"/>
            <w:vMerge/>
            <w:hideMark/>
          </w:tcPr>
          <w:p w14:paraId="44D70CA4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0" w:type="pct"/>
            <w:vMerge/>
            <w:hideMark/>
          </w:tcPr>
          <w:p w14:paraId="090CD8B5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95" w:type="pct"/>
            <w:vMerge/>
            <w:hideMark/>
          </w:tcPr>
          <w:p w14:paraId="4CE24529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20" w:type="pct"/>
            <w:shd w:val="clear" w:color="auto" w:fill="FFE599"/>
            <w:hideMark/>
          </w:tcPr>
          <w:p w14:paraId="1F841295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LVEF &lt;50%</w:t>
            </w:r>
          </w:p>
        </w:tc>
        <w:tc>
          <w:tcPr>
            <w:tcW w:w="257" w:type="pct"/>
            <w:shd w:val="clear" w:color="auto" w:fill="FFE599"/>
            <w:hideMark/>
          </w:tcPr>
          <w:p w14:paraId="28C9AC0E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11 (10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12) months</w:t>
            </w:r>
          </w:p>
        </w:tc>
        <w:tc>
          <w:tcPr>
            <w:tcW w:w="759" w:type="pct"/>
            <w:shd w:val="clear" w:color="auto" w:fill="FFE599"/>
            <w:hideMark/>
          </w:tcPr>
          <w:p w14:paraId="5BDA6B54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Worse LV GLS on multivariate logistic regression was associated with post-operative LV dysfunction (adjusted OR 1.19 [1.09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1.30]).</w:t>
            </w:r>
          </w:p>
        </w:tc>
        <w:tc>
          <w:tcPr>
            <w:tcW w:w="448" w:type="pct"/>
            <w:shd w:val="clear" w:color="auto" w:fill="FFE599"/>
            <w:hideMark/>
          </w:tcPr>
          <w:p w14:paraId="655451FA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</w:tr>
      <w:tr w:rsidR="00DC4CCF" w:rsidRPr="00A608C5" w14:paraId="327DC9A6" w14:textId="77777777" w:rsidTr="004D5406">
        <w:trPr>
          <w:trHeight w:val="1665"/>
          <w:jc w:val="center"/>
        </w:trPr>
        <w:tc>
          <w:tcPr>
            <w:tcW w:w="360" w:type="pct"/>
            <w:hideMark/>
          </w:tcPr>
          <w:p w14:paraId="3322847F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Cho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[81]</w:t>
            </w:r>
            <w:r w:rsidRPr="00A608C5">
              <w:rPr>
                <w:rFonts w:ascii="Times New Roman" w:eastAsia="等线" w:hAnsi="Times New Roman" w:cs="Times New Roman"/>
              </w:rPr>
              <w:t xml:space="preserve">, 2016,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echocardiography</w:t>
            </w:r>
          </w:p>
        </w:tc>
        <w:tc>
          <w:tcPr>
            <w:tcW w:w="281" w:type="pct"/>
            <w:hideMark/>
          </w:tcPr>
          <w:p w14:paraId="4E41D779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43</w:t>
            </w:r>
          </w:p>
        </w:tc>
        <w:tc>
          <w:tcPr>
            <w:tcW w:w="194" w:type="pct"/>
            <w:hideMark/>
          </w:tcPr>
          <w:p w14:paraId="4EF426E8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51.7 ± 14.3</w:t>
            </w:r>
          </w:p>
        </w:tc>
        <w:tc>
          <w:tcPr>
            <w:tcW w:w="175" w:type="pct"/>
            <w:hideMark/>
          </w:tcPr>
          <w:p w14:paraId="078565FB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42</w:t>
            </w:r>
          </w:p>
        </w:tc>
        <w:tc>
          <w:tcPr>
            <w:tcW w:w="361" w:type="pct"/>
            <w:hideMark/>
          </w:tcPr>
          <w:p w14:paraId="23A5FD8A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severe/both</w:t>
            </w:r>
          </w:p>
        </w:tc>
        <w:tc>
          <w:tcPr>
            <w:tcW w:w="341" w:type="pct"/>
            <w:hideMark/>
          </w:tcPr>
          <w:p w14:paraId="31FC692E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79%, replacement 21%)</w:t>
            </w:r>
          </w:p>
        </w:tc>
        <w:tc>
          <w:tcPr>
            <w:tcW w:w="312" w:type="pct"/>
            <w:hideMark/>
          </w:tcPr>
          <w:p w14:paraId="3B5BDF94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GE</w:t>
            </w:r>
          </w:p>
        </w:tc>
        <w:tc>
          <w:tcPr>
            <w:tcW w:w="252" w:type="pct"/>
            <w:hideMark/>
          </w:tcPr>
          <w:p w14:paraId="4E9D10C0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EchoPAC</w:t>
            </w:r>
            <w:proofErr w:type="spellEnd"/>
          </w:p>
        </w:tc>
        <w:tc>
          <w:tcPr>
            <w:tcW w:w="566" w:type="pct"/>
            <w:hideMark/>
          </w:tcPr>
          <w:p w14:paraId="7A98635F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Interobserver: ICC 0.927 (0.846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0.965);</w:t>
            </w:r>
          </w:p>
          <w:p w14:paraId="43293A9C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ICC 0.942 (0.879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0.973)</w:t>
            </w:r>
          </w:p>
        </w:tc>
        <w:tc>
          <w:tcPr>
            <w:tcW w:w="180" w:type="pct"/>
            <w:hideMark/>
          </w:tcPr>
          <w:p w14:paraId="1FBA3955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64.4 ± 6.5</w:t>
            </w:r>
          </w:p>
        </w:tc>
        <w:tc>
          <w:tcPr>
            <w:tcW w:w="195" w:type="pct"/>
            <w:hideMark/>
          </w:tcPr>
          <w:p w14:paraId="4636305E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20.3 ± 3.1</w:t>
            </w:r>
          </w:p>
        </w:tc>
        <w:tc>
          <w:tcPr>
            <w:tcW w:w="320" w:type="pct"/>
            <w:shd w:val="clear" w:color="auto" w:fill="C5E0B3"/>
            <w:hideMark/>
          </w:tcPr>
          <w:p w14:paraId="27EA72B9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LV remodeling (a decrease of GLS or LVEF that did not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decrease LV end-diastolic dimension (LVEDD)</w:t>
            </w:r>
          </w:p>
        </w:tc>
        <w:tc>
          <w:tcPr>
            <w:tcW w:w="257" w:type="pct"/>
            <w:shd w:val="clear" w:color="auto" w:fill="C5E0B3"/>
            <w:hideMark/>
          </w:tcPr>
          <w:p w14:paraId="683FDE40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3 months</w:t>
            </w:r>
          </w:p>
        </w:tc>
        <w:tc>
          <w:tcPr>
            <w:tcW w:w="759" w:type="pct"/>
            <w:shd w:val="clear" w:color="auto" w:fill="C5E0B3"/>
            <w:hideMark/>
          </w:tcPr>
          <w:p w14:paraId="753E1C2E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Worse LV GLS on multivariate logistic regression was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associated with post-operative LV remodeling or LV dysfunction (unadjusted OR 1.418 [1.083–1.856], adjusted OR 2.44 [1.259–4.729]).</w:t>
            </w:r>
          </w:p>
        </w:tc>
        <w:tc>
          <w:tcPr>
            <w:tcW w:w="448" w:type="pct"/>
            <w:shd w:val="clear" w:color="auto" w:fill="C5E0B3"/>
            <w:hideMark/>
          </w:tcPr>
          <w:p w14:paraId="6ACC163B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LV GLS cut-off value 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20.5% to predict LV remodeli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ng with a sensitivity of 70% and a specificity of 75%.</w:t>
            </w:r>
          </w:p>
        </w:tc>
      </w:tr>
      <w:tr w:rsidR="00DC4CCF" w:rsidRPr="00A608C5" w14:paraId="74CC8257" w14:textId="77777777" w:rsidTr="004D5406">
        <w:trPr>
          <w:trHeight w:val="1388"/>
          <w:jc w:val="center"/>
        </w:trPr>
        <w:tc>
          <w:tcPr>
            <w:tcW w:w="360" w:type="pct"/>
            <w:hideMark/>
          </w:tcPr>
          <w:p w14:paraId="1EADB4A8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lastRenderedPageBreak/>
              <w:t>Mentias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[82]</w:t>
            </w:r>
            <w:r w:rsidRPr="00A608C5">
              <w:rPr>
                <w:rFonts w:ascii="Times New Roman" w:eastAsia="等线" w:hAnsi="Times New Roman" w:cs="Times New Roman"/>
              </w:rPr>
              <w:t xml:space="preserve">, 2016,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J Am Coll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t>Cardiol</w:t>
            </w:r>
            <w:proofErr w:type="spellEnd"/>
          </w:p>
        </w:tc>
        <w:tc>
          <w:tcPr>
            <w:tcW w:w="281" w:type="pct"/>
            <w:hideMark/>
          </w:tcPr>
          <w:p w14:paraId="08F85239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737</w:t>
            </w:r>
          </w:p>
        </w:tc>
        <w:tc>
          <w:tcPr>
            <w:tcW w:w="194" w:type="pct"/>
            <w:hideMark/>
          </w:tcPr>
          <w:p w14:paraId="3977093C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57.6 ± 13.4</w:t>
            </w:r>
          </w:p>
        </w:tc>
        <w:tc>
          <w:tcPr>
            <w:tcW w:w="175" w:type="pct"/>
            <w:hideMark/>
          </w:tcPr>
          <w:p w14:paraId="26AA02F0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32</w:t>
            </w:r>
          </w:p>
        </w:tc>
        <w:tc>
          <w:tcPr>
            <w:tcW w:w="361" w:type="pct"/>
            <w:hideMark/>
          </w:tcPr>
          <w:p w14:paraId="633F773E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moderate to severe or severe/asymptomatic</w:t>
            </w:r>
          </w:p>
        </w:tc>
        <w:tc>
          <w:tcPr>
            <w:tcW w:w="341" w:type="pct"/>
            <w:hideMark/>
          </w:tcPr>
          <w:p w14:paraId="14CE7F5C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65% (repair 92%, replacement 8%) + conservative (35%)</w:t>
            </w:r>
          </w:p>
        </w:tc>
        <w:tc>
          <w:tcPr>
            <w:tcW w:w="312" w:type="pct"/>
            <w:hideMark/>
          </w:tcPr>
          <w:p w14:paraId="50F8AD3C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Philips, Siemens, GE</w:t>
            </w:r>
          </w:p>
        </w:tc>
        <w:tc>
          <w:tcPr>
            <w:tcW w:w="252" w:type="pct"/>
            <w:hideMark/>
          </w:tcPr>
          <w:p w14:paraId="6F1AB534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Velocity Vector Imaging</w:t>
            </w:r>
          </w:p>
        </w:tc>
        <w:tc>
          <w:tcPr>
            <w:tcW w:w="566" w:type="pct"/>
            <w:hideMark/>
          </w:tcPr>
          <w:p w14:paraId="6EA686FF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Interobserver: ICC 0.86 (0.71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0.92);</w:t>
            </w:r>
          </w:p>
          <w:p w14:paraId="0595CF43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ICC 0.89 (0.81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0.96)</w:t>
            </w:r>
          </w:p>
        </w:tc>
        <w:tc>
          <w:tcPr>
            <w:tcW w:w="180" w:type="pct"/>
            <w:hideMark/>
          </w:tcPr>
          <w:p w14:paraId="5F3D0319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61.6 ± 2.1</w:t>
            </w:r>
          </w:p>
        </w:tc>
        <w:tc>
          <w:tcPr>
            <w:tcW w:w="195" w:type="pct"/>
            <w:hideMark/>
          </w:tcPr>
          <w:p w14:paraId="42ACB40B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21.6 ± 2.0</w:t>
            </w:r>
          </w:p>
        </w:tc>
        <w:tc>
          <w:tcPr>
            <w:tcW w:w="320" w:type="pct"/>
            <w:shd w:val="clear" w:color="auto" w:fill="FFB9B9"/>
            <w:hideMark/>
          </w:tcPr>
          <w:p w14:paraId="7683DB4A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All-cause mortality</w:t>
            </w:r>
          </w:p>
        </w:tc>
        <w:tc>
          <w:tcPr>
            <w:tcW w:w="257" w:type="pct"/>
            <w:shd w:val="clear" w:color="auto" w:fill="FFB9B9"/>
            <w:hideMark/>
          </w:tcPr>
          <w:p w14:paraId="3B80A928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8.3 ± 3 years</w:t>
            </w:r>
          </w:p>
        </w:tc>
        <w:tc>
          <w:tcPr>
            <w:tcW w:w="759" w:type="pct"/>
            <w:shd w:val="clear" w:color="auto" w:fill="FFB9B9"/>
            <w:hideMark/>
          </w:tcPr>
          <w:p w14:paraId="51E6465C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For the subgroup after mitral surgery: better LV GLS than cut-off 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21.7% (i.e., median value) on multivariable Cox survival analysis was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associated with better survival (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&lt; 0.001).</w:t>
            </w:r>
          </w:p>
        </w:tc>
        <w:tc>
          <w:tcPr>
            <w:tcW w:w="448" w:type="pct"/>
            <w:shd w:val="clear" w:color="auto" w:fill="FFB9B9"/>
            <w:hideMark/>
          </w:tcPr>
          <w:p w14:paraId="0A2627AB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</w:tr>
      <w:tr w:rsidR="00DC4CCF" w:rsidRPr="00A608C5" w14:paraId="2ED4E1C2" w14:textId="77777777" w:rsidTr="004D5406">
        <w:trPr>
          <w:trHeight w:val="1665"/>
          <w:jc w:val="center"/>
        </w:trPr>
        <w:tc>
          <w:tcPr>
            <w:tcW w:w="360" w:type="pct"/>
            <w:hideMark/>
          </w:tcPr>
          <w:p w14:paraId="64B13EC9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Candan </w:t>
            </w:r>
            <w:r w:rsidRPr="00A608C5">
              <w:rPr>
                <w:rFonts w:ascii="Times New Roman" w:hAnsi="Times New Roman" w:cs="Times New Roman"/>
                <w:i/>
              </w:rPr>
              <w:t>et al.</w:t>
            </w:r>
            <w:r w:rsidRPr="00A608C5">
              <w:rPr>
                <w:rFonts w:ascii="Times New Roman" w:hAnsi="Times New Roman" w:cs="Times New Roman"/>
              </w:rPr>
              <w:t xml:space="preserve"> </w:t>
            </w:r>
            <w:r w:rsidRPr="00A608C5">
              <w:rPr>
                <w:rFonts w:ascii="Times New Roman" w:hAnsi="Times New Roman" w:cs="Times New Roman"/>
                <w:noProof/>
              </w:rPr>
              <w:t>[18]</w:t>
            </w:r>
            <w:r w:rsidRPr="00A608C5">
              <w:rPr>
                <w:rFonts w:ascii="Times New Roman" w:hAnsi="Times New Roman" w:cs="Times New Roman"/>
              </w:rPr>
              <w:t xml:space="preserve">, 2017,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Echocardiography</w:t>
            </w:r>
          </w:p>
        </w:tc>
        <w:tc>
          <w:tcPr>
            <w:tcW w:w="281" w:type="pct"/>
            <w:hideMark/>
          </w:tcPr>
          <w:p w14:paraId="7EC29688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194" w:type="pct"/>
            <w:hideMark/>
          </w:tcPr>
          <w:p w14:paraId="0A15E6BB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46.7 ± 13</w:t>
            </w:r>
          </w:p>
        </w:tc>
        <w:tc>
          <w:tcPr>
            <w:tcW w:w="175" w:type="pct"/>
            <w:hideMark/>
          </w:tcPr>
          <w:p w14:paraId="05414936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361" w:type="pct"/>
            <w:hideMark/>
          </w:tcPr>
          <w:p w14:paraId="34A255B7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severe/asymptomatic</w:t>
            </w:r>
          </w:p>
        </w:tc>
        <w:tc>
          <w:tcPr>
            <w:tcW w:w="341" w:type="pct"/>
            <w:hideMark/>
          </w:tcPr>
          <w:p w14:paraId="52BF10B1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Surgery (repair 79%, replacement 21%)</w:t>
            </w:r>
          </w:p>
        </w:tc>
        <w:tc>
          <w:tcPr>
            <w:tcW w:w="312" w:type="pct"/>
            <w:hideMark/>
          </w:tcPr>
          <w:p w14:paraId="06F02D85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GE</w:t>
            </w:r>
          </w:p>
        </w:tc>
        <w:tc>
          <w:tcPr>
            <w:tcW w:w="252" w:type="pct"/>
            <w:hideMark/>
          </w:tcPr>
          <w:p w14:paraId="470F0B47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proofErr w:type="spellStart"/>
            <w:r w:rsidRPr="00A608C5">
              <w:rPr>
                <w:rFonts w:ascii="Times New Roman" w:hAnsi="Times New Roman" w:cs="Times New Roman"/>
              </w:rPr>
              <w:t>EchoPAC</w:t>
            </w:r>
            <w:proofErr w:type="spellEnd"/>
          </w:p>
        </w:tc>
        <w:tc>
          <w:tcPr>
            <w:tcW w:w="566" w:type="pct"/>
            <w:hideMark/>
          </w:tcPr>
          <w:p w14:paraId="273072F8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80" w:type="pct"/>
            <w:hideMark/>
          </w:tcPr>
          <w:p w14:paraId="08B75536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65.2 ± 8</w:t>
            </w:r>
          </w:p>
        </w:tc>
        <w:tc>
          <w:tcPr>
            <w:tcW w:w="195" w:type="pct"/>
            <w:hideMark/>
          </w:tcPr>
          <w:p w14:paraId="7C4CA62C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>20.2 ± 4.5</w:t>
            </w:r>
          </w:p>
        </w:tc>
        <w:tc>
          <w:tcPr>
            <w:tcW w:w="320" w:type="pct"/>
            <w:shd w:val="clear" w:color="auto" w:fill="FFE599"/>
            <w:hideMark/>
          </w:tcPr>
          <w:p w14:paraId="238FD09C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LVEF &lt;50%</w:t>
            </w:r>
          </w:p>
        </w:tc>
        <w:tc>
          <w:tcPr>
            <w:tcW w:w="257" w:type="pct"/>
            <w:shd w:val="clear" w:color="auto" w:fill="FFE599"/>
            <w:hideMark/>
          </w:tcPr>
          <w:p w14:paraId="5F42B66E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8.3 ± 3 years</w:t>
            </w:r>
          </w:p>
        </w:tc>
        <w:tc>
          <w:tcPr>
            <w:tcW w:w="759" w:type="pct"/>
            <w:shd w:val="clear" w:color="auto" w:fill="FFE599"/>
            <w:hideMark/>
          </w:tcPr>
          <w:p w14:paraId="1D5D77EC" w14:textId="77777777" w:rsidR="00DC4CCF" w:rsidRPr="00A608C5" w:rsidRDefault="00DC4CCF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608C5">
              <w:rPr>
                <w:rFonts w:ascii="Times New Roman" w:hAnsi="Times New Roman" w:cs="Times New Roman"/>
              </w:rPr>
              <w:t>Worse LV GLS on univariate linear regression analysis was associated with poorer post-operative LVEF (r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 xml:space="preserve">0.59;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&lt;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0.001).</w:t>
            </w:r>
          </w:p>
          <w:p w14:paraId="25CE6A09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Worse LV GLS on multivariate logistic regression analysis was associated with post-operative </w:t>
            </w:r>
            <w:r w:rsidRPr="00A608C5">
              <w:rPr>
                <w:rFonts w:ascii="Times New Roman" w:hAnsi="Times New Roman" w:cs="Times New Roman"/>
              </w:rPr>
              <w:lastRenderedPageBreak/>
              <w:t xml:space="preserve">LV dysfunction (adjusted OR 0.74 [0.56–0.98],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0.03).</w:t>
            </w:r>
          </w:p>
        </w:tc>
        <w:tc>
          <w:tcPr>
            <w:tcW w:w="448" w:type="pct"/>
            <w:shd w:val="clear" w:color="auto" w:fill="FFE599"/>
            <w:hideMark/>
          </w:tcPr>
          <w:p w14:paraId="7AC691D0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lastRenderedPageBreak/>
              <w:t xml:space="preserve">LV GLS cut-off value 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>18.4% to predict LV dysfunction with a sensitivity of 85% and a specificity of 83% (AUC 0.844 [0.727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>0.961]).</w:t>
            </w:r>
          </w:p>
        </w:tc>
      </w:tr>
      <w:tr w:rsidR="00DC4CCF" w:rsidRPr="00A608C5" w14:paraId="52E6DBFE" w14:textId="77777777" w:rsidTr="004D5406">
        <w:trPr>
          <w:trHeight w:val="1893"/>
          <w:jc w:val="center"/>
        </w:trPr>
        <w:tc>
          <w:tcPr>
            <w:tcW w:w="360" w:type="pct"/>
            <w:vMerge w:val="restart"/>
            <w:hideMark/>
          </w:tcPr>
          <w:p w14:paraId="37E5996E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Kim </w:t>
            </w:r>
            <w:r w:rsidRPr="00A608C5">
              <w:rPr>
                <w:rFonts w:ascii="Times New Roman" w:hAnsi="Times New Roman" w:cs="Times New Roman"/>
                <w:i/>
              </w:rPr>
              <w:t>et al.</w:t>
            </w:r>
            <w:r w:rsidRPr="00A608C5">
              <w:rPr>
                <w:rFonts w:ascii="Times New Roman" w:hAnsi="Times New Roman" w:cs="Times New Roman"/>
              </w:rPr>
              <w:t xml:space="preserve"> </w:t>
            </w:r>
            <w:r w:rsidRPr="00A608C5">
              <w:rPr>
                <w:rFonts w:ascii="Times New Roman" w:hAnsi="Times New Roman" w:cs="Times New Roman"/>
                <w:noProof/>
              </w:rPr>
              <w:t>[39]</w:t>
            </w:r>
            <w:r w:rsidRPr="00A608C5">
              <w:rPr>
                <w:rFonts w:ascii="Times New Roman" w:hAnsi="Times New Roman" w:cs="Times New Roman"/>
              </w:rPr>
              <w:t xml:space="preserve">, 2018,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JACC Cardiovasc Imaging</w:t>
            </w:r>
          </w:p>
        </w:tc>
        <w:tc>
          <w:tcPr>
            <w:tcW w:w="281" w:type="pct"/>
            <w:vMerge w:val="restart"/>
            <w:hideMark/>
          </w:tcPr>
          <w:p w14:paraId="7E3BF583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506</w:t>
            </w:r>
          </w:p>
        </w:tc>
        <w:tc>
          <w:tcPr>
            <w:tcW w:w="194" w:type="pct"/>
            <w:vMerge w:val="restart"/>
            <w:hideMark/>
          </w:tcPr>
          <w:p w14:paraId="5D4699A6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58.5 ± 13.7</w:t>
            </w:r>
          </w:p>
        </w:tc>
        <w:tc>
          <w:tcPr>
            <w:tcW w:w="175" w:type="pct"/>
            <w:vMerge w:val="restart"/>
            <w:hideMark/>
          </w:tcPr>
          <w:p w14:paraId="78816744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361" w:type="pct"/>
            <w:vMerge w:val="restart"/>
            <w:hideMark/>
          </w:tcPr>
          <w:p w14:paraId="1763A679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severe/both</w:t>
            </w:r>
          </w:p>
        </w:tc>
        <w:tc>
          <w:tcPr>
            <w:tcW w:w="341" w:type="pct"/>
            <w:vMerge w:val="restart"/>
            <w:hideMark/>
          </w:tcPr>
          <w:p w14:paraId="64F632B7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Surgery (repair 75%, replacement 25%)</w:t>
            </w:r>
          </w:p>
        </w:tc>
        <w:tc>
          <w:tcPr>
            <w:tcW w:w="312" w:type="pct"/>
            <w:vMerge w:val="restart"/>
            <w:hideMark/>
          </w:tcPr>
          <w:p w14:paraId="5404909D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52" w:type="pct"/>
            <w:vMerge w:val="restart"/>
            <w:hideMark/>
          </w:tcPr>
          <w:p w14:paraId="4E2CB3B9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proofErr w:type="spellStart"/>
            <w:r w:rsidRPr="00A608C5">
              <w:rPr>
                <w:rFonts w:ascii="Times New Roman" w:hAnsi="Times New Roman" w:cs="Times New Roman"/>
              </w:rPr>
              <w:t>TomTec</w:t>
            </w:r>
            <w:proofErr w:type="spellEnd"/>
          </w:p>
        </w:tc>
        <w:tc>
          <w:tcPr>
            <w:tcW w:w="566" w:type="pct"/>
            <w:vMerge w:val="restart"/>
            <w:hideMark/>
          </w:tcPr>
          <w:p w14:paraId="23F78E22" w14:textId="77777777" w:rsidR="00DC4CCF" w:rsidRPr="00A608C5" w:rsidRDefault="00DC4CCF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608C5">
              <w:rPr>
                <w:rFonts w:ascii="Times New Roman" w:hAnsi="Times New Roman" w:cs="Times New Roman"/>
              </w:rPr>
              <w:t xml:space="preserve">Interobserver: ICC 0.96; </w:t>
            </w:r>
          </w:p>
          <w:p w14:paraId="6B148497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proofErr w:type="spellStart"/>
            <w:r w:rsidRPr="00A608C5">
              <w:rPr>
                <w:rFonts w:ascii="Times New Roman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hAnsi="Times New Roman" w:cs="Times New Roman"/>
              </w:rPr>
              <w:t>: NA</w:t>
            </w:r>
          </w:p>
        </w:tc>
        <w:tc>
          <w:tcPr>
            <w:tcW w:w="180" w:type="pct"/>
            <w:vMerge w:val="restart"/>
            <w:hideMark/>
          </w:tcPr>
          <w:p w14:paraId="0D2F97AF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59.9 ± 8.2</w:t>
            </w:r>
          </w:p>
        </w:tc>
        <w:tc>
          <w:tcPr>
            <w:tcW w:w="195" w:type="pct"/>
            <w:vMerge w:val="restart"/>
            <w:hideMark/>
          </w:tcPr>
          <w:p w14:paraId="75DACDBE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>19.6 ± 4.2</w:t>
            </w:r>
          </w:p>
        </w:tc>
        <w:tc>
          <w:tcPr>
            <w:tcW w:w="320" w:type="pct"/>
            <w:shd w:val="clear" w:color="auto" w:fill="BDD6EE"/>
            <w:hideMark/>
          </w:tcPr>
          <w:p w14:paraId="6613E290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Cardiac events (cardiac death, worsening heart failure, reoperation for failure of MV surgery)</w:t>
            </w:r>
          </w:p>
        </w:tc>
        <w:tc>
          <w:tcPr>
            <w:tcW w:w="257" w:type="pct"/>
            <w:shd w:val="clear" w:color="auto" w:fill="BDD6EE"/>
            <w:hideMark/>
          </w:tcPr>
          <w:p w14:paraId="23E7A7EC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3.5 (1.3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>6.3) years</w:t>
            </w:r>
          </w:p>
        </w:tc>
        <w:tc>
          <w:tcPr>
            <w:tcW w:w="759" w:type="pct"/>
            <w:shd w:val="clear" w:color="auto" w:fill="BDD6EE"/>
            <w:hideMark/>
          </w:tcPr>
          <w:p w14:paraId="0921DB02" w14:textId="77777777" w:rsidR="00DC4CCF" w:rsidRPr="00A608C5" w:rsidRDefault="00DC4CCF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608C5">
              <w:rPr>
                <w:rFonts w:ascii="Times New Roman" w:hAnsi="Times New Roman" w:cs="Times New Roman"/>
              </w:rPr>
              <w:t>Worse LV GLS on multivariable Cox survival analysis was associated with higher cardiac events (adjusted HR 1.229 [1.135–1.331]).</w:t>
            </w:r>
          </w:p>
          <w:p w14:paraId="72DBA022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Incremental prognostic value of LV GLS was demonstrated (</w:t>
            </w:r>
            <w:r w:rsidRPr="00A608C5">
              <w:rPr>
                <w:rFonts w:ascii="Times New Roman" w:hAnsi="Times New Roman" w:cs="Times New Roman"/>
              </w:rPr>
              <w:sym w:font="Symbol" w:char="F063"/>
            </w:r>
            <w:r w:rsidRPr="00A608C5">
              <w:rPr>
                <w:rFonts w:ascii="Times New Roman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hAnsi="Times New Roman" w:cs="Times New Roma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lastRenderedPageBreak/>
              <w:t>36.0→60.5 [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hAnsi="Times New Roman" w:cs="Times New Roman"/>
              </w:rPr>
              <w:t xml:space="preserve"> &lt; 0.001]).</w:t>
            </w:r>
          </w:p>
        </w:tc>
        <w:tc>
          <w:tcPr>
            <w:tcW w:w="448" w:type="pct"/>
            <w:shd w:val="clear" w:color="auto" w:fill="BDD6EE"/>
            <w:hideMark/>
          </w:tcPr>
          <w:p w14:paraId="6E9B3255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lastRenderedPageBreak/>
              <w:t xml:space="preserve">LV GLS cut-off 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 xml:space="preserve">18.1% to predict cardiac events with a sensitivity of 71.4% and a specificity of 70.7% (AUC 0.738 [0.673–0.803]). </w:t>
            </w:r>
          </w:p>
        </w:tc>
      </w:tr>
      <w:tr w:rsidR="00DC4CCF" w:rsidRPr="00A608C5" w14:paraId="46E8984B" w14:textId="77777777" w:rsidTr="004D5406">
        <w:trPr>
          <w:trHeight w:val="1110"/>
          <w:jc w:val="center"/>
        </w:trPr>
        <w:tc>
          <w:tcPr>
            <w:tcW w:w="360" w:type="pct"/>
            <w:vMerge/>
            <w:hideMark/>
          </w:tcPr>
          <w:p w14:paraId="7D927583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281" w:type="pct"/>
            <w:vMerge/>
            <w:hideMark/>
          </w:tcPr>
          <w:p w14:paraId="76B32569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194" w:type="pct"/>
            <w:vMerge/>
            <w:hideMark/>
          </w:tcPr>
          <w:p w14:paraId="51AF330A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175" w:type="pct"/>
            <w:vMerge/>
            <w:hideMark/>
          </w:tcPr>
          <w:p w14:paraId="4945F740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61" w:type="pct"/>
            <w:vMerge/>
            <w:hideMark/>
          </w:tcPr>
          <w:p w14:paraId="1C2B2C51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41" w:type="pct"/>
            <w:vMerge/>
            <w:hideMark/>
          </w:tcPr>
          <w:p w14:paraId="3F4FDFA4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12" w:type="pct"/>
            <w:vMerge/>
            <w:hideMark/>
          </w:tcPr>
          <w:p w14:paraId="7643639A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252" w:type="pct"/>
            <w:vMerge/>
            <w:hideMark/>
          </w:tcPr>
          <w:p w14:paraId="125100A9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566" w:type="pct"/>
            <w:vMerge/>
            <w:hideMark/>
          </w:tcPr>
          <w:p w14:paraId="489314A8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vMerge/>
            <w:hideMark/>
          </w:tcPr>
          <w:p w14:paraId="4D8C52E3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195" w:type="pct"/>
            <w:vMerge/>
            <w:hideMark/>
          </w:tcPr>
          <w:p w14:paraId="1B54B0D9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</w:p>
        </w:tc>
        <w:tc>
          <w:tcPr>
            <w:tcW w:w="320" w:type="pct"/>
            <w:shd w:val="clear" w:color="auto" w:fill="FFB9B9"/>
            <w:hideMark/>
          </w:tcPr>
          <w:p w14:paraId="1B113B44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All-cause mortality</w:t>
            </w:r>
          </w:p>
        </w:tc>
        <w:tc>
          <w:tcPr>
            <w:tcW w:w="257" w:type="pct"/>
            <w:shd w:val="clear" w:color="auto" w:fill="FFB9B9"/>
            <w:hideMark/>
          </w:tcPr>
          <w:p w14:paraId="7F1B6FA6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3.5 (1.3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–</w:t>
            </w:r>
            <w:r w:rsidRPr="00A608C5">
              <w:rPr>
                <w:rFonts w:ascii="Times New Roman" w:hAnsi="Times New Roman" w:cs="Times New Roman"/>
              </w:rPr>
              <w:t>6.3) years</w:t>
            </w:r>
          </w:p>
        </w:tc>
        <w:tc>
          <w:tcPr>
            <w:tcW w:w="759" w:type="pct"/>
            <w:shd w:val="clear" w:color="auto" w:fill="FFB9B9"/>
            <w:hideMark/>
          </w:tcPr>
          <w:p w14:paraId="5A972C3D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Worse LV GLS on multivariable Cox survival analysis was associated with higher mortality (adjusted HR 1.068 [1.003–1.136]).</w:t>
            </w:r>
          </w:p>
        </w:tc>
        <w:tc>
          <w:tcPr>
            <w:tcW w:w="448" w:type="pct"/>
            <w:shd w:val="clear" w:color="auto" w:fill="FFB9B9"/>
            <w:hideMark/>
          </w:tcPr>
          <w:p w14:paraId="74890097" w14:textId="77777777" w:rsidR="00DC4CCF" w:rsidRPr="00A608C5" w:rsidRDefault="00DC4CCF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NA</w:t>
            </w:r>
          </w:p>
        </w:tc>
      </w:tr>
      <w:tr w:rsidR="00DC4CCF" w:rsidRPr="00A608C5" w14:paraId="1F54E7A1" w14:textId="77777777" w:rsidTr="004D5406">
        <w:trPr>
          <w:trHeight w:val="686"/>
          <w:jc w:val="center"/>
        </w:trPr>
        <w:tc>
          <w:tcPr>
            <w:tcW w:w="360" w:type="pct"/>
            <w:vMerge w:val="restart"/>
            <w:hideMark/>
          </w:tcPr>
          <w:p w14:paraId="64273D66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Hiemstra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[83]</w:t>
            </w:r>
            <w:r w:rsidRPr="00A608C5">
              <w:rPr>
                <w:rFonts w:ascii="Times New Roman" w:eastAsia="等线" w:hAnsi="Times New Roman" w:cs="Times New Roman"/>
              </w:rPr>
              <w:t xml:space="preserve">, 2020,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JACC Cardiovasc Imaging</w:t>
            </w:r>
          </w:p>
        </w:tc>
        <w:tc>
          <w:tcPr>
            <w:tcW w:w="281" w:type="pct"/>
            <w:vMerge w:val="restart"/>
            <w:hideMark/>
          </w:tcPr>
          <w:p w14:paraId="506B6F2F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593</w:t>
            </w:r>
          </w:p>
        </w:tc>
        <w:tc>
          <w:tcPr>
            <w:tcW w:w="194" w:type="pct"/>
            <w:vMerge w:val="restart"/>
            <w:hideMark/>
          </w:tcPr>
          <w:p w14:paraId="449544F3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65 ± 12</w:t>
            </w:r>
          </w:p>
        </w:tc>
        <w:tc>
          <w:tcPr>
            <w:tcW w:w="175" w:type="pct"/>
            <w:vMerge w:val="restart"/>
            <w:hideMark/>
          </w:tcPr>
          <w:p w14:paraId="2D83072E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36</w:t>
            </w:r>
          </w:p>
        </w:tc>
        <w:tc>
          <w:tcPr>
            <w:tcW w:w="361" w:type="pct"/>
            <w:vMerge w:val="restart"/>
            <w:hideMark/>
          </w:tcPr>
          <w:p w14:paraId="16B72E94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severe/both</w:t>
            </w:r>
          </w:p>
        </w:tc>
        <w:tc>
          <w:tcPr>
            <w:tcW w:w="341" w:type="pct"/>
            <w:vMerge w:val="restart"/>
            <w:hideMark/>
          </w:tcPr>
          <w:p w14:paraId="0C82A675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98%, replacement 2%)</w:t>
            </w:r>
          </w:p>
        </w:tc>
        <w:tc>
          <w:tcPr>
            <w:tcW w:w="312" w:type="pct"/>
            <w:vMerge w:val="restart"/>
            <w:hideMark/>
          </w:tcPr>
          <w:p w14:paraId="0B387CF2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GE</w:t>
            </w:r>
          </w:p>
        </w:tc>
        <w:tc>
          <w:tcPr>
            <w:tcW w:w="252" w:type="pct"/>
            <w:vMerge w:val="restart"/>
            <w:hideMark/>
          </w:tcPr>
          <w:p w14:paraId="111E0A5C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EchoPAC</w:t>
            </w:r>
            <w:proofErr w:type="spellEnd"/>
          </w:p>
        </w:tc>
        <w:tc>
          <w:tcPr>
            <w:tcW w:w="566" w:type="pct"/>
            <w:vMerge w:val="restart"/>
            <w:hideMark/>
          </w:tcPr>
          <w:p w14:paraId="488038F9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180" w:type="pct"/>
            <w:vMerge w:val="restart"/>
            <w:hideMark/>
          </w:tcPr>
          <w:p w14:paraId="7A168238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65 ± 8</w:t>
            </w:r>
          </w:p>
        </w:tc>
        <w:tc>
          <w:tcPr>
            <w:tcW w:w="195" w:type="pct"/>
            <w:vMerge w:val="restart"/>
            <w:hideMark/>
          </w:tcPr>
          <w:p w14:paraId="4C8E8F69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21 ± 4</w:t>
            </w:r>
          </w:p>
        </w:tc>
        <w:tc>
          <w:tcPr>
            <w:tcW w:w="320" w:type="pct"/>
            <w:shd w:val="clear" w:color="auto" w:fill="FFB9B9"/>
            <w:hideMark/>
          </w:tcPr>
          <w:p w14:paraId="14208CBC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All-cause mortality</w:t>
            </w:r>
          </w:p>
        </w:tc>
        <w:tc>
          <w:tcPr>
            <w:tcW w:w="257" w:type="pct"/>
            <w:shd w:val="clear" w:color="auto" w:fill="FFB9B9"/>
            <w:hideMark/>
          </w:tcPr>
          <w:p w14:paraId="3FC3B6C1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6.4 (3.6</w:t>
            </w: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10.4) years</w:t>
            </w:r>
          </w:p>
        </w:tc>
        <w:tc>
          <w:tcPr>
            <w:tcW w:w="759" w:type="pct"/>
            <w:shd w:val="clear" w:color="auto" w:fill="FFB9B9"/>
            <w:hideMark/>
          </w:tcPr>
          <w:p w14:paraId="5246D544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Worse LV GLS on multivariable Cox survival analysis was associated with higher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mortality (adjusted HR 1.13 [1.06–1.21]); better LV GLS than cutoff </w:t>
            </w: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20.6% (i.e., median value) was associated with better survival (log-rank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&lt; 0.001). Better LV GLS than cutoff </w:t>
            </w: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19.5% and </w:t>
            </w: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22.3% was associated with better survival (log-rank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&lt; 0.001).</w:t>
            </w:r>
          </w:p>
          <w:p w14:paraId="027072AA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Incremental prognostic value of LV GLS was demonstrated (C-statistic 0.74→0.77,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&lt; 0.001)</w:t>
            </w:r>
          </w:p>
        </w:tc>
        <w:tc>
          <w:tcPr>
            <w:tcW w:w="448" w:type="pct"/>
            <w:shd w:val="clear" w:color="auto" w:fill="FFB9B9"/>
            <w:hideMark/>
          </w:tcPr>
          <w:p w14:paraId="2EEB98E2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</w:tr>
      <w:tr w:rsidR="00DC4CCF" w:rsidRPr="00A608C5" w14:paraId="199C3FBF" w14:textId="77777777" w:rsidTr="004D5406">
        <w:trPr>
          <w:trHeight w:val="1665"/>
          <w:jc w:val="center"/>
        </w:trPr>
        <w:tc>
          <w:tcPr>
            <w:tcW w:w="360" w:type="pct"/>
            <w:vMerge/>
            <w:hideMark/>
          </w:tcPr>
          <w:p w14:paraId="1746C795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81" w:type="pct"/>
            <w:vMerge/>
            <w:hideMark/>
          </w:tcPr>
          <w:p w14:paraId="11636C88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94" w:type="pct"/>
            <w:vMerge/>
            <w:hideMark/>
          </w:tcPr>
          <w:p w14:paraId="2E47693C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75" w:type="pct"/>
            <w:vMerge/>
            <w:hideMark/>
          </w:tcPr>
          <w:p w14:paraId="049CF5BF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61" w:type="pct"/>
            <w:vMerge/>
            <w:hideMark/>
          </w:tcPr>
          <w:p w14:paraId="148C56CA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41" w:type="pct"/>
            <w:vMerge/>
            <w:hideMark/>
          </w:tcPr>
          <w:p w14:paraId="66EA31E9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12" w:type="pct"/>
            <w:vMerge/>
            <w:hideMark/>
          </w:tcPr>
          <w:p w14:paraId="4189B021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52" w:type="pct"/>
            <w:vMerge/>
            <w:hideMark/>
          </w:tcPr>
          <w:p w14:paraId="5A36BED3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566" w:type="pct"/>
            <w:vMerge/>
            <w:hideMark/>
          </w:tcPr>
          <w:p w14:paraId="01438085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0" w:type="pct"/>
            <w:vMerge/>
            <w:hideMark/>
          </w:tcPr>
          <w:p w14:paraId="15A615F5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95" w:type="pct"/>
            <w:vMerge/>
            <w:hideMark/>
          </w:tcPr>
          <w:p w14:paraId="1FA50EDB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20" w:type="pct"/>
            <w:shd w:val="clear" w:color="auto" w:fill="BDD6EE"/>
            <w:hideMark/>
          </w:tcPr>
          <w:p w14:paraId="1A37A50A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Cardiac events (cardiovascular death, heart failure hospitalizations, and cerebrovascular accidents)</w:t>
            </w:r>
          </w:p>
        </w:tc>
        <w:tc>
          <w:tcPr>
            <w:tcW w:w="257" w:type="pct"/>
            <w:shd w:val="clear" w:color="auto" w:fill="BDD6EE"/>
            <w:hideMark/>
          </w:tcPr>
          <w:p w14:paraId="63C338AD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6.4 (3.6</w:t>
            </w: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10.4) years</w:t>
            </w:r>
          </w:p>
        </w:tc>
        <w:tc>
          <w:tcPr>
            <w:tcW w:w="759" w:type="pct"/>
            <w:shd w:val="clear" w:color="auto" w:fill="BDD6EE"/>
            <w:hideMark/>
          </w:tcPr>
          <w:p w14:paraId="53622458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Worse LV GLS on multivariable Cox survival analysis was associated with higher cardiac events (adjusted HR 1.08 [1.01–1.15],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0.019)</w:t>
            </w:r>
          </w:p>
        </w:tc>
        <w:tc>
          <w:tcPr>
            <w:tcW w:w="448" w:type="pct"/>
            <w:shd w:val="clear" w:color="auto" w:fill="BDD6EE"/>
            <w:hideMark/>
          </w:tcPr>
          <w:p w14:paraId="77191DE1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</w:tr>
      <w:tr w:rsidR="00DC4CCF" w:rsidRPr="00A608C5" w14:paraId="34D681AE" w14:textId="77777777" w:rsidTr="004D5406">
        <w:trPr>
          <w:trHeight w:val="998"/>
          <w:jc w:val="center"/>
        </w:trPr>
        <w:tc>
          <w:tcPr>
            <w:tcW w:w="360" w:type="pct"/>
            <w:vMerge w:val="restart"/>
            <w:hideMark/>
          </w:tcPr>
          <w:p w14:paraId="1A46315F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Kislitsina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[84]</w:t>
            </w:r>
            <w:r w:rsidRPr="00A608C5">
              <w:rPr>
                <w:rFonts w:ascii="Times New Roman" w:eastAsia="等线" w:hAnsi="Times New Roman" w:cs="Times New Roman"/>
              </w:rPr>
              <w:t xml:space="preserve">, 2020,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Ann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lastRenderedPageBreak/>
              <w:t>Thorac</w:t>
            </w:r>
            <w:proofErr w:type="spellEnd"/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Surg</w:t>
            </w:r>
          </w:p>
        </w:tc>
        <w:tc>
          <w:tcPr>
            <w:tcW w:w="281" w:type="pct"/>
            <w:vMerge w:val="restart"/>
            <w:hideMark/>
          </w:tcPr>
          <w:p w14:paraId="11E0B8B8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119 (Strain was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measured in 119/520 patients)</w:t>
            </w:r>
          </w:p>
        </w:tc>
        <w:tc>
          <w:tcPr>
            <w:tcW w:w="194" w:type="pct"/>
            <w:vMerge w:val="restart"/>
            <w:hideMark/>
          </w:tcPr>
          <w:p w14:paraId="751B2EF3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58.5 ±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58.2</w:t>
            </w:r>
          </w:p>
        </w:tc>
        <w:tc>
          <w:tcPr>
            <w:tcW w:w="175" w:type="pct"/>
            <w:vMerge w:val="restart"/>
            <w:hideMark/>
          </w:tcPr>
          <w:p w14:paraId="2EE524C0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34</w:t>
            </w:r>
          </w:p>
        </w:tc>
        <w:tc>
          <w:tcPr>
            <w:tcW w:w="361" w:type="pct"/>
            <w:vMerge w:val="restart"/>
            <w:hideMark/>
          </w:tcPr>
          <w:p w14:paraId="27BFB8FC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≥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moderate/both</w:t>
            </w:r>
          </w:p>
        </w:tc>
        <w:tc>
          <w:tcPr>
            <w:tcW w:w="341" w:type="pct"/>
            <w:vMerge w:val="restart"/>
            <w:hideMark/>
          </w:tcPr>
          <w:p w14:paraId="01287038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Surgery (repair 98%,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replacement 2%)</w:t>
            </w:r>
          </w:p>
        </w:tc>
        <w:tc>
          <w:tcPr>
            <w:tcW w:w="312" w:type="pct"/>
            <w:vMerge w:val="restart"/>
            <w:hideMark/>
          </w:tcPr>
          <w:p w14:paraId="0765D190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  <w:tc>
          <w:tcPr>
            <w:tcW w:w="252" w:type="pct"/>
            <w:vMerge w:val="restart"/>
            <w:hideMark/>
          </w:tcPr>
          <w:p w14:paraId="68254426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TomTec</w:t>
            </w:r>
            <w:proofErr w:type="spellEnd"/>
          </w:p>
        </w:tc>
        <w:tc>
          <w:tcPr>
            <w:tcW w:w="566" w:type="pct"/>
            <w:vMerge w:val="restart"/>
            <w:hideMark/>
          </w:tcPr>
          <w:p w14:paraId="78B44C0B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180" w:type="pct"/>
            <w:vMerge w:val="restart"/>
            <w:hideMark/>
          </w:tcPr>
          <w:p w14:paraId="37D62940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Median 65</w:t>
            </w:r>
          </w:p>
        </w:tc>
        <w:tc>
          <w:tcPr>
            <w:tcW w:w="195" w:type="pct"/>
            <w:vMerge w:val="restart"/>
            <w:hideMark/>
          </w:tcPr>
          <w:p w14:paraId="2DF93B6A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21.2 ± 4.2</w:t>
            </w:r>
          </w:p>
        </w:tc>
        <w:tc>
          <w:tcPr>
            <w:tcW w:w="320" w:type="pct"/>
            <w:shd w:val="clear" w:color="auto" w:fill="FFB9B9"/>
            <w:hideMark/>
          </w:tcPr>
          <w:p w14:paraId="4D693011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All-cause mortality</w:t>
            </w:r>
          </w:p>
        </w:tc>
        <w:tc>
          <w:tcPr>
            <w:tcW w:w="257" w:type="pct"/>
            <w:shd w:val="clear" w:color="auto" w:fill="FFB9B9"/>
            <w:hideMark/>
          </w:tcPr>
          <w:p w14:paraId="5765DEDB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5.0 ± 3.6 years</w:t>
            </w:r>
          </w:p>
        </w:tc>
        <w:tc>
          <w:tcPr>
            <w:tcW w:w="759" w:type="pct"/>
            <w:shd w:val="clear" w:color="auto" w:fill="FFB9B9"/>
            <w:hideMark/>
          </w:tcPr>
          <w:p w14:paraId="7A2359DC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Baseline LV GLS on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multivariable Cox survival analysis was not significantly associated with post-operative mortality (HR 0.932 [0.723</w:t>
            </w: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1.178],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0.573).</w:t>
            </w:r>
          </w:p>
        </w:tc>
        <w:tc>
          <w:tcPr>
            <w:tcW w:w="448" w:type="pct"/>
            <w:shd w:val="clear" w:color="auto" w:fill="FFB9B9"/>
            <w:hideMark/>
          </w:tcPr>
          <w:p w14:paraId="393B591D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</w:tr>
      <w:tr w:rsidR="00DC4CCF" w:rsidRPr="00A608C5" w14:paraId="31B73809" w14:textId="77777777" w:rsidTr="004D5406">
        <w:trPr>
          <w:trHeight w:val="1665"/>
          <w:jc w:val="center"/>
        </w:trPr>
        <w:tc>
          <w:tcPr>
            <w:tcW w:w="360" w:type="pct"/>
            <w:vMerge/>
            <w:hideMark/>
          </w:tcPr>
          <w:p w14:paraId="2439C961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81" w:type="pct"/>
            <w:vMerge/>
            <w:hideMark/>
          </w:tcPr>
          <w:p w14:paraId="57EF478F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94" w:type="pct"/>
            <w:vMerge/>
            <w:hideMark/>
          </w:tcPr>
          <w:p w14:paraId="11991111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75" w:type="pct"/>
            <w:vMerge/>
            <w:hideMark/>
          </w:tcPr>
          <w:p w14:paraId="38308408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61" w:type="pct"/>
            <w:vMerge/>
            <w:hideMark/>
          </w:tcPr>
          <w:p w14:paraId="3845EBFE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41" w:type="pct"/>
            <w:vMerge/>
            <w:hideMark/>
          </w:tcPr>
          <w:p w14:paraId="6D7B34E1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12" w:type="pct"/>
            <w:vMerge/>
            <w:hideMark/>
          </w:tcPr>
          <w:p w14:paraId="2AA89220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52" w:type="pct"/>
            <w:vMerge/>
            <w:hideMark/>
          </w:tcPr>
          <w:p w14:paraId="1FFAAF2B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566" w:type="pct"/>
            <w:vMerge/>
            <w:hideMark/>
          </w:tcPr>
          <w:p w14:paraId="6F1EBA6B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80" w:type="pct"/>
            <w:vMerge/>
            <w:hideMark/>
          </w:tcPr>
          <w:p w14:paraId="08E284C0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95" w:type="pct"/>
            <w:vMerge/>
            <w:hideMark/>
          </w:tcPr>
          <w:p w14:paraId="750B602F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20" w:type="pct"/>
            <w:shd w:val="clear" w:color="auto" w:fill="FFE599"/>
            <w:hideMark/>
          </w:tcPr>
          <w:p w14:paraId="5075F23F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LVEF &lt;50%</w:t>
            </w:r>
          </w:p>
        </w:tc>
        <w:tc>
          <w:tcPr>
            <w:tcW w:w="257" w:type="pct"/>
            <w:shd w:val="clear" w:color="auto" w:fill="FFE599"/>
            <w:hideMark/>
          </w:tcPr>
          <w:p w14:paraId="57DB2870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Pre-discharge</w:t>
            </w:r>
          </w:p>
        </w:tc>
        <w:tc>
          <w:tcPr>
            <w:tcW w:w="759" w:type="pct"/>
            <w:shd w:val="clear" w:color="auto" w:fill="FFE599"/>
            <w:hideMark/>
          </w:tcPr>
          <w:p w14:paraId="0DAB2A74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Worse LV GLS on multivariate logistic regression was associated with post-operative LV dysfunction (OR 2.314 [1.528–3.504]).</w:t>
            </w:r>
          </w:p>
          <w:p w14:paraId="7A886ED7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Increment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al prognostic value of strain (LV GLS, RV-GLS, LA-GLS) was demonstrated (AUC 0.687→0.955,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&lt; 0.001).</w:t>
            </w:r>
          </w:p>
        </w:tc>
        <w:tc>
          <w:tcPr>
            <w:tcW w:w="448" w:type="pct"/>
            <w:shd w:val="clear" w:color="auto" w:fill="FFE599"/>
            <w:hideMark/>
          </w:tcPr>
          <w:p w14:paraId="5F1131FA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</w:tr>
      <w:tr w:rsidR="00DC4CCF" w:rsidRPr="00A608C5" w14:paraId="42085F5F" w14:textId="77777777" w:rsidTr="004D5406">
        <w:trPr>
          <w:trHeight w:val="833"/>
          <w:jc w:val="center"/>
        </w:trPr>
        <w:tc>
          <w:tcPr>
            <w:tcW w:w="360" w:type="pct"/>
            <w:hideMark/>
          </w:tcPr>
          <w:p w14:paraId="5CED808B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Stassen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[85]</w:t>
            </w:r>
            <w:r w:rsidRPr="00A608C5">
              <w:rPr>
                <w:rFonts w:ascii="Times New Roman" w:eastAsia="等线" w:hAnsi="Times New Roman" w:cs="Times New Roman"/>
                <w:noProof/>
                <w:lang w:eastAsia="zh-CN"/>
              </w:rPr>
              <w:t xml:space="preserve">, </w:t>
            </w:r>
            <w:r w:rsidRPr="00A608C5">
              <w:rPr>
                <w:rFonts w:ascii="Times New Roman" w:eastAsia="等线" w:hAnsi="Times New Roman" w:cs="Times New Roman"/>
              </w:rPr>
              <w:t xml:space="preserve">2022,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Eur Heart J Cardiovasc Imaging</w:t>
            </w:r>
          </w:p>
        </w:tc>
        <w:tc>
          <w:tcPr>
            <w:tcW w:w="281" w:type="pct"/>
            <w:hideMark/>
          </w:tcPr>
          <w:p w14:paraId="1E693515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566</w:t>
            </w:r>
          </w:p>
        </w:tc>
        <w:tc>
          <w:tcPr>
            <w:tcW w:w="194" w:type="pct"/>
            <w:hideMark/>
          </w:tcPr>
          <w:p w14:paraId="45261F46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64 ± 12</w:t>
            </w:r>
          </w:p>
        </w:tc>
        <w:tc>
          <w:tcPr>
            <w:tcW w:w="175" w:type="pct"/>
            <w:hideMark/>
          </w:tcPr>
          <w:p w14:paraId="628AA68E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34</w:t>
            </w:r>
          </w:p>
        </w:tc>
        <w:tc>
          <w:tcPr>
            <w:tcW w:w="361" w:type="pct"/>
            <w:hideMark/>
          </w:tcPr>
          <w:p w14:paraId="7C248587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moderate to severe or severe/both</w:t>
            </w:r>
          </w:p>
        </w:tc>
        <w:tc>
          <w:tcPr>
            <w:tcW w:w="341" w:type="pct"/>
            <w:hideMark/>
          </w:tcPr>
          <w:p w14:paraId="2023741F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100%)</w:t>
            </w:r>
          </w:p>
        </w:tc>
        <w:tc>
          <w:tcPr>
            <w:tcW w:w="312" w:type="pct"/>
            <w:hideMark/>
          </w:tcPr>
          <w:p w14:paraId="0B2A8848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GE</w:t>
            </w:r>
          </w:p>
        </w:tc>
        <w:tc>
          <w:tcPr>
            <w:tcW w:w="252" w:type="pct"/>
            <w:hideMark/>
          </w:tcPr>
          <w:p w14:paraId="79BADC6A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EchoPAC</w:t>
            </w:r>
            <w:proofErr w:type="spellEnd"/>
          </w:p>
        </w:tc>
        <w:tc>
          <w:tcPr>
            <w:tcW w:w="566" w:type="pct"/>
            <w:hideMark/>
          </w:tcPr>
          <w:p w14:paraId="10A6B96F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Interobserver: ICC </w:t>
            </w: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0.92 (0.84</w:t>
            </w: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0.97);</w:t>
            </w:r>
          </w:p>
          <w:p w14:paraId="67249297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ICC 0.94 (0.85</w:t>
            </w: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0.98)</w:t>
            </w:r>
          </w:p>
        </w:tc>
        <w:tc>
          <w:tcPr>
            <w:tcW w:w="180" w:type="pct"/>
            <w:hideMark/>
          </w:tcPr>
          <w:p w14:paraId="01189EB3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64 ± 8</w:t>
            </w:r>
          </w:p>
        </w:tc>
        <w:tc>
          <w:tcPr>
            <w:tcW w:w="195" w:type="pct"/>
            <w:hideMark/>
          </w:tcPr>
          <w:p w14:paraId="288CE576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21.4 ± 4.0</w:t>
            </w:r>
          </w:p>
        </w:tc>
        <w:tc>
          <w:tcPr>
            <w:tcW w:w="320" w:type="pct"/>
            <w:shd w:val="clear" w:color="auto" w:fill="FFB9B9"/>
            <w:hideMark/>
          </w:tcPr>
          <w:p w14:paraId="404BAEB1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All-cause mortality</w:t>
            </w:r>
          </w:p>
        </w:tc>
        <w:tc>
          <w:tcPr>
            <w:tcW w:w="257" w:type="pct"/>
            <w:shd w:val="clear" w:color="auto" w:fill="FFB9B9"/>
            <w:hideMark/>
          </w:tcPr>
          <w:p w14:paraId="3279A4F0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7 (4</w:t>
            </w: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12) years</w:t>
            </w:r>
          </w:p>
        </w:tc>
        <w:tc>
          <w:tcPr>
            <w:tcW w:w="759" w:type="pct"/>
            <w:shd w:val="clear" w:color="auto" w:fill="FFB9B9"/>
            <w:hideMark/>
          </w:tcPr>
          <w:p w14:paraId="7FB96B3E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Worse LV GLS on multivariable Cox survival analysis was associated with all-cause mortality (HR 0.924 [0.868–0.984],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0.014).</w:t>
            </w:r>
          </w:p>
        </w:tc>
        <w:tc>
          <w:tcPr>
            <w:tcW w:w="448" w:type="pct"/>
            <w:shd w:val="clear" w:color="auto" w:fill="FFB9B9"/>
            <w:hideMark/>
          </w:tcPr>
          <w:p w14:paraId="0754247C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</w:tr>
      <w:tr w:rsidR="00DC4CCF" w:rsidRPr="00A608C5" w14:paraId="4F6D1086" w14:textId="77777777" w:rsidTr="004D5406">
        <w:trPr>
          <w:trHeight w:val="1395"/>
          <w:jc w:val="center"/>
        </w:trPr>
        <w:tc>
          <w:tcPr>
            <w:tcW w:w="360" w:type="pct"/>
            <w:hideMark/>
          </w:tcPr>
          <w:p w14:paraId="563F8D70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lastRenderedPageBreak/>
              <w:t>Althunayyan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[24]</w:t>
            </w:r>
            <w:r w:rsidRPr="00A608C5">
              <w:rPr>
                <w:rFonts w:ascii="Times New Roman" w:eastAsia="等线" w:hAnsi="Times New Roman" w:cs="Times New Roman"/>
              </w:rPr>
              <w:t xml:space="preserve">, 2023,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Eur Heart J Cardiovasc Imaging</w:t>
            </w:r>
          </w:p>
        </w:tc>
        <w:tc>
          <w:tcPr>
            <w:tcW w:w="281" w:type="pct"/>
            <w:hideMark/>
          </w:tcPr>
          <w:p w14:paraId="5F21D7EE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87</w:t>
            </w:r>
          </w:p>
        </w:tc>
        <w:tc>
          <w:tcPr>
            <w:tcW w:w="194" w:type="pct"/>
            <w:hideMark/>
          </w:tcPr>
          <w:p w14:paraId="3065A1EC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64 (54</w:t>
            </w: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72)</w:t>
            </w:r>
          </w:p>
        </w:tc>
        <w:tc>
          <w:tcPr>
            <w:tcW w:w="175" w:type="pct"/>
            <w:hideMark/>
          </w:tcPr>
          <w:p w14:paraId="4601BA1E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40</w:t>
            </w:r>
          </w:p>
        </w:tc>
        <w:tc>
          <w:tcPr>
            <w:tcW w:w="361" w:type="pct"/>
            <w:hideMark/>
          </w:tcPr>
          <w:p w14:paraId="4B4DF381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severe/both</w:t>
            </w:r>
          </w:p>
        </w:tc>
        <w:tc>
          <w:tcPr>
            <w:tcW w:w="341" w:type="pct"/>
            <w:hideMark/>
          </w:tcPr>
          <w:p w14:paraId="08837734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77%, replacement 23%)</w:t>
            </w:r>
          </w:p>
        </w:tc>
        <w:tc>
          <w:tcPr>
            <w:tcW w:w="312" w:type="pct"/>
            <w:hideMark/>
          </w:tcPr>
          <w:p w14:paraId="3680C97A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GE</w:t>
            </w:r>
          </w:p>
        </w:tc>
        <w:tc>
          <w:tcPr>
            <w:tcW w:w="252" w:type="pct"/>
            <w:hideMark/>
          </w:tcPr>
          <w:p w14:paraId="05BE2105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EchoPAC</w:t>
            </w:r>
            <w:proofErr w:type="spellEnd"/>
          </w:p>
        </w:tc>
        <w:tc>
          <w:tcPr>
            <w:tcW w:w="566" w:type="pct"/>
            <w:hideMark/>
          </w:tcPr>
          <w:p w14:paraId="6A056C2B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180" w:type="pct"/>
            <w:hideMark/>
          </w:tcPr>
          <w:p w14:paraId="6D13A607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62 (58</w:t>
            </w: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66)</w:t>
            </w:r>
          </w:p>
        </w:tc>
        <w:tc>
          <w:tcPr>
            <w:tcW w:w="195" w:type="pct"/>
            <w:hideMark/>
          </w:tcPr>
          <w:p w14:paraId="25D556C7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20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±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3</w:t>
            </w:r>
          </w:p>
        </w:tc>
        <w:tc>
          <w:tcPr>
            <w:tcW w:w="320" w:type="pct"/>
            <w:shd w:val="clear" w:color="auto" w:fill="FFE599"/>
            <w:hideMark/>
          </w:tcPr>
          <w:p w14:paraId="046ECA11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LVEF &lt;50%</w:t>
            </w:r>
          </w:p>
        </w:tc>
        <w:tc>
          <w:tcPr>
            <w:tcW w:w="257" w:type="pct"/>
            <w:shd w:val="clear" w:color="auto" w:fill="FFE599"/>
            <w:hideMark/>
          </w:tcPr>
          <w:p w14:paraId="294AA360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12 months</w:t>
            </w:r>
          </w:p>
        </w:tc>
        <w:tc>
          <w:tcPr>
            <w:tcW w:w="759" w:type="pct"/>
            <w:shd w:val="clear" w:color="auto" w:fill="FFE599"/>
            <w:hideMark/>
          </w:tcPr>
          <w:p w14:paraId="2F6A725E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Worse LV GLS on multivariate logistic regression was associated with post-operative LV dysfunction (OR 1.46 [1.00–2.14],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0.054).</w:t>
            </w:r>
          </w:p>
        </w:tc>
        <w:tc>
          <w:tcPr>
            <w:tcW w:w="448" w:type="pct"/>
            <w:shd w:val="clear" w:color="auto" w:fill="FFE599"/>
            <w:hideMark/>
          </w:tcPr>
          <w:p w14:paraId="21B2477B" w14:textId="77777777" w:rsidR="00DC4CCF" w:rsidRPr="00A608C5" w:rsidRDefault="00DC4CCF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LV GLS cut-off </w:t>
            </w: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19.5% to predict LV dysfunction with a sensitivity of 73% and a specificity of 68% (AUC 0.738 [0.56–0.71). </w:t>
            </w:r>
          </w:p>
        </w:tc>
      </w:tr>
    </w:tbl>
    <w:p w14:paraId="3A3CE698" w14:textId="26F2DE73" w:rsidR="006D6C17" w:rsidRPr="00A608C5" w:rsidRDefault="00DC4CCF" w:rsidP="00DC4CCF">
      <w:pPr>
        <w:pStyle w:val="Tablefooter"/>
        <w:rPr>
          <w:rFonts w:eastAsiaTheme="minorEastAsia"/>
          <w:lang w:eastAsia="zh-CN"/>
        </w:rPr>
      </w:pPr>
      <w:r w:rsidRPr="00A608C5">
        <w:t xml:space="preserve">The Cell colors conform with Fig. 1. LV GLS, left ventricular global longitudinal strain; LV, left ventricle; LVEF, left ventricular ejection fraction; ICC, intraclass correlation coefficients; CV, coefficient of variation; NA, not available; AUC, area </w:t>
      </w:r>
      <w:r w:rsidRPr="0059525F">
        <w:t>under cu</w:t>
      </w:r>
      <w:r w:rsidRPr="00A608C5">
        <w:t>rve; OR, odds ratio; HR, hazard ratio.</w:t>
      </w:r>
    </w:p>
    <w:p w14:paraId="3C5B1D07" w14:textId="77777777" w:rsidR="00DC4CCF" w:rsidRPr="00A608C5" w:rsidRDefault="00DC4CCF" w:rsidP="00DC4CCF">
      <w:pPr>
        <w:ind w:firstLine="420"/>
        <w:rPr>
          <w:rFonts w:cs="Times New Roman"/>
          <w:sz w:val="21"/>
          <w:szCs w:val="21"/>
          <w:lang w:bidi="en-US"/>
        </w:rPr>
      </w:pPr>
    </w:p>
    <w:p w14:paraId="6886B943" w14:textId="77777777" w:rsidR="00D138DB" w:rsidRDefault="00D138DB" w:rsidP="00D138DB">
      <w:pPr>
        <w:pStyle w:val="Tablefooter"/>
        <w:rPr>
          <w:rFonts w:eastAsiaTheme="minorEastAsia"/>
        </w:rPr>
      </w:pPr>
    </w:p>
    <w:p w14:paraId="08466375" w14:textId="19E7B13A" w:rsidR="00D14D46" w:rsidRPr="00A608C5" w:rsidRDefault="00D138DB" w:rsidP="00D14D46">
      <w:pPr>
        <w:pStyle w:val="Tablecaption"/>
        <w:spacing w:before="240" w:after="240"/>
        <w:rPr>
          <w:rFonts w:eastAsiaTheme="minorEastAsia"/>
          <w:szCs w:val="21"/>
        </w:rPr>
      </w:pPr>
      <w:r w:rsidRPr="00A608C5">
        <w:rPr>
          <w:rFonts w:eastAsiaTheme="minorEastAsia"/>
          <w:szCs w:val="21"/>
        </w:rPr>
        <w:t xml:space="preserve">Supplementary </w:t>
      </w:r>
      <w:r w:rsidR="00D14D46" w:rsidRPr="00A608C5">
        <w:rPr>
          <w:szCs w:val="21"/>
        </w:rPr>
        <w:t>Table 8</w:t>
      </w:r>
      <w:r w:rsidR="00D14D46" w:rsidRPr="00A608C5">
        <w:rPr>
          <w:rFonts w:eastAsiaTheme="minorEastAsia"/>
          <w:szCs w:val="21"/>
        </w:rPr>
        <w:t>.</w:t>
      </w:r>
      <w:r w:rsidR="00D14D46" w:rsidRPr="00A608C5">
        <w:rPr>
          <w:szCs w:val="21"/>
        </w:rPr>
        <w:t xml:space="preserve"> Description of included studies of left atrial strain</w:t>
      </w:r>
      <w:r w:rsidR="00D14D46" w:rsidRPr="00A608C5">
        <w:rPr>
          <w:rFonts w:eastAsiaTheme="minorEastAsia"/>
          <w:szCs w:val="21"/>
        </w:rPr>
        <w:t>.</w:t>
      </w:r>
    </w:p>
    <w:tbl>
      <w:tblPr>
        <w:tblStyle w:val="11"/>
        <w:tblW w:w="5000" w:type="pct"/>
        <w:jc w:val="center"/>
        <w:tblLook w:val="04A0" w:firstRow="1" w:lastRow="0" w:firstColumn="1" w:lastColumn="0" w:noHBand="0" w:noVBand="1"/>
      </w:tblPr>
      <w:tblGrid>
        <w:gridCol w:w="1005"/>
        <w:gridCol w:w="888"/>
        <w:gridCol w:w="650"/>
        <w:gridCol w:w="884"/>
        <w:gridCol w:w="1330"/>
        <w:gridCol w:w="935"/>
        <w:gridCol w:w="1235"/>
        <w:gridCol w:w="785"/>
        <w:gridCol w:w="1850"/>
        <w:gridCol w:w="792"/>
        <w:gridCol w:w="722"/>
        <w:gridCol w:w="848"/>
        <w:gridCol w:w="822"/>
        <w:gridCol w:w="1034"/>
        <w:gridCol w:w="1006"/>
      </w:tblGrid>
      <w:tr w:rsidR="00D14D46" w:rsidRPr="00A608C5" w14:paraId="0951D5A2" w14:textId="77777777" w:rsidTr="004D5406">
        <w:trPr>
          <w:trHeight w:val="1125"/>
          <w:jc w:val="center"/>
        </w:trPr>
        <w:tc>
          <w:tcPr>
            <w:tcW w:w="358" w:type="pct"/>
            <w:hideMark/>
          </w:tcPr>
          <w:p w14:paraId="0F6246C4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First Author [Ref.];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Year Published;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Journal</w:t>
            </w:r>
          </w:p>
        </w:tc>
        <w:tc>
          <w:tcPr>
            <w:tcW w:w="314" w:type="pct"/>
            <w:hideMark/>
          </w:tcPr>
          <w:p w14:paraId="484176B7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Total Number of Participants</w:t>
            </w:r>
          </w:p>
        </w:tc>
        <w:tc>
          <w:tcPr>
            <w:tcW w:w="280" w:type="pct"/>
            <w:noWrap/>
            <w:hideMark/>
          </w:tcPr>
          <w:p w14:paraId="12741616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Age</w:t>
            </w:r>
          </w:p>
        </w:tc>
        <w:tc>
          <w:tcPr>
            <w:tcW w:w="313" w:type="pct"/>
            <w:noWrap/>
            <w:hideMark/>
          </w:tcPr>
          <w:p w14:paraId="0A800809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Female (%)</w:t>
            </w:r>
          </w:p>
        </w:tc>
        <w:tc>
          <w:tcPr>
            <w:tcW w:w="397" w:type="pct"/>
            <w:hideMark/>
          </w:tcPr>
          <w:p w14:paraId="6CC10407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Population (severity/symptom)</w:t>
            </w:r>
          </w:p>
        </w:tc>
        <w:tc>
          <w:tcPr>
            <w:tcW w:w="360" w:type="pct"/>
            <w:hideMark/>
          </w:tcPr>
          <w:p w14:paraId="43C47AAD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</w:t>
            </w:r>
          </w:p>
        </w:tc>
        <w:tc>
          <w:tcPr>
            <w:tcW w:w="440" w:type="pct"/>
            <w:hideMark/>
          </w:tcPr>
          <w:p w14:paraId="63A31BAF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Vendor for echocardiography</w:t>
            </w:r>
          </w:p>
        </w:tc>
        <w:tc>
          <w:tcPr>
            <w:tcW w:w="277" w:type="pct"/>
            <w:hideMark/>
          </w:tcPr>
          <w:p w14:paraId="0369E471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Software for strain analysis</w:t>
            </w:r>
          </w:p>
        </w:tc>
        <w:tc>
          <w:tcPr>
            <w:tcW w:w="394" w:type="pct"/>
            <w:hideMark/>
          </w:tcPr>
          <w:p w14:paraId="106D6AB1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Reproducibility (interobserver/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254" w:type="pct"/>
            <w:hideMark/>
          </w:tcPr>
          <w:p w14:paraId="50A2BF26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Baseline LVEF (%)</w:t>
            </w:r>
          </w:p>
        </w:tc>
        <w:tc>
          <w:tcPr>
            <w:tcW w:w="297" w:type="pct"/>
            <w:hideMark/>
          </w:tcPr>
          <w:p w14:paraId="0E8BED26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Baseline LA reservoir strain (%)</w:t>
            </w:r>
          </w:p>
        </w:tc>
        <w:tc>
          <w:tcPr>
            <w:tcW w:w="300" w:type="pct"/>
            <w:hideMark/>
          </w:tcPr>
          <w:p w14:paraId="29158434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Primary Outcome and Composite Cardiac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Endpoint</w:t>
            </w:r>
          </w:p>
        </w:tc>
        <w:tc>
          <w:tcPr>
            <w:tcW w:w="291" w:type="pct"/>
            <w:hideMark/>
          </w:tcPr>
          <w:p w14:paraId="397D779D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Follow-up</w:t>
            </w:r>
          </w:p>
        </w:tc>
        <w:tc>
          <w:tcPr>
            <w:tcW w:w="367" w:type="pct"/>
            <w:hideMark/>
          </w:tcPr>
          <w:p w14:paraId="1D6288C5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Association Between LA Strain and Outcomes</w:t>
            </w:r>
          </w:p>
        </w:tc>
        <w:tc>
          <w:tcPr>
            <w:tcW w:w="357" w:type="pct"/>
            <w:hideMark/>
          </w:tcPr>
          <w:p w14:paraId="6825B306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Receiver-Operating Characteristic Curve Analysis</w:t>
            </w:r>
          </w:p>
        </w:tc>
      </w:tr>
      <w:tr w:rsidR="00D14D46" w:rsidRPr="00A608C5" w14:paraId="69B9B01A" w14:textId="77777777" w:rsidTr="004D5406">
        <w:trPr>
          <w:trHeight w:val="1943"/>
          <w:jc w:val="center"/>
        </w:trPr>
        <w:tc>
          <w:tcPr>
            <w:tcW w:w="358" w:type="pct"/>
            <w:hideMark/>
          </w:tcPr>
          <w:p w14:paraId="237D6346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Debonnaire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[89]</w:t>
            </w:r>
            <w:r w:rsidRPr="00A608C5">
              <w:rPr>
                <w:rFonts w:ascii="Times New Roman" w:eastAsia="等线" w:hAnsi="Times New Roman" w:cs="Times New Roman"/>
              </w:rPr>
              <w:t xml:space="preserve">, 2013,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J Am Soc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t>Echocardiogr</w:t>
            </w:r>
            <w:proofErr w:type="spellEnd"/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</w:t>
            </w:r>
          </w:p>
        </w:tc>
        <w:tc>
          <w:tcPr>
            <w:tcW w:w="314" w:type="pct"/>
            <w:noWrap/>
            <w:hideMark/>
          </w:tcPr>
          <w:p w14:paraId="1C56297B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121</w:t>
            </w:r>
          </w:p>
        </w:tc>
        <w:tc>
          <w:tcPr>
            <w:tcW w:w="280" w:type="pct"/>
            <w:noWrap/>
            <w:hideMark/>
          </w:tcPr>
          <w:p w14:paraId="30821E3D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63 ± 13</w:t>
            </w:r>
          </w:p>
        </w:tc>
        <w:tc>
          <w:tcPr>
            <w:tcW w:w="313" w:type="pct"/>
            <w:noWrap/>
            <w:hideMark/>
          </w:tcPr>
          <w:p w14:paraId="0ACED9BD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36</w:t>
            </w:r>
          </w:p>
        </w:tc>
        <w:tc>
          <w:tcPr>
            <w:tcW w:w="397" w:type="pct"/>
            <w:noWrap/>
            <w:hideMark/>
          </w:tcPr>
          <w:p w14:paraId="3C83D764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severe/both</w:t>
            </w:r>
          </w:p>
        </w:tc>
        <w:tc>
          <w:tcPr>
            <w:tcW w:w="360" w:type="pct"/>
            <w:hideMark/>
          </w:tcPr>
          <w:p w14:paraId="28EAE5DB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96.7% +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conservative (3.3%)</w:t>
            </w:r>
          </w:p>
        </w:tc>
        <w:tc>
          <w:tcPr>
            <w:tcW w:w="440" w:type="pct"/>
            <w:noWrap/>
            <w:hideMark/>
          </w:tcPr>
          <w:p w14:paraId="5680C3D2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GE</w:t>
            </w:r>
          </w:p>
        </w:tc>
        <w:tc>
          <w:tcPr>
            <w:tcW w:w="277" w:type="pct"/>
            <w:noWrap/>
            <w:hideMark/>
          </w:tcPr>
          <w:p w14:paraId="24E53126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EchoPAC</w:t>
            </w:r>
            <w:proofErr w:type="spellEnd"/>
          </w:p>
        </w:tc>
        <w:tc>
          <w:tcPr>
            <w:tcW w:w="394" w:type="pct"/>
            <w:hideMark/>
          </w:tcPr>
          <w:p w14:paraId="079B3AD3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Interobserver: ICC 1.1% (–4.2%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to </w:t>
            </w:r>
            <w:r w:rsidRPr="00A608C5">
              <w:rPr>
                <w:rFonts w:ascii="Times New Roman" w:eastAsia="等线" w:hAnsi="Times New Roman" w:cs="Times New Roman"/>
              </w:rPr>
              <w:t>6.4%);</w:t>
            </w:r>
          </w:p>
          <w:p w14:paraId="692C7715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ICC –1.3% (–6.6% to 3.9%)</w:t>
            </w:r>
          </w:p>
        </w:tc>
        <w:tc>
          <w:tcPr>
            <w:tcW w:w="254" w:type="pct"/>
            <w:noWrap/>
            <w:hideMark/>
          </w:tcPr>
          <w:p w14:paraId="69E156F0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68 ± 8</w:t>
            </w:r>
          </w:p>
        </w:tc>
        <w:tc>
          <w:tcPr>
            <w:tcW w:w="297" w:type="pct"/>
            <w:hideMark/>
          </w:tcPr>
          <w:p w14:paraId="04D12E20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22 ± 8.4</w:t>
            </w:r>
          </w:p>
        </w:tc>
        <w:tc>
          <w:tcPr>
            <w:tcW w:w="300" w:type="pct"/>
            <w:shd w:val="clear" w:color="auto" w:fill="FFB9B9"/>
            <w:hideMark/>
          </w:tcPr>
          <w:p w14:paraId="67E33B8B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All-cause mortality</w:t>
            </w:r>
          </w:p>
        </w:tc>
        <w:tc>
          <w:tcPr>
            <w:tcW w:w="291" w:type="pct"/>
            <w:shd w:val="clear" w:color="auto" w:fill="FFB9B9"/>
            <w:hideMark/>
          </w:tcPr>
          <w:p w14:paraId="13702D00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6.4 (4.7–8.7) years</w:t>
            </w:r>
          </w:p>
        </w:tc>
        <w:tc>
          <w:tcPr>
            <w:tcW w:w="367" w:type="pct"/>
            <w:shd w:val="clear" w:color="auto" w:fill="FFB9B9"/>
            <w:hideMark/>
          </w:tcPr>
          <w:p w14:paraId="517B02E2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Worse LA reservoir strain on multivariable Cox survival analysis was significantly associated with mortality (HR 3.5 [1.03–12.20],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0.045) </w:t>
            </w:r>
          </w:p>
          <w:p w14:paraId="772A868B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The incremental prognostic value of LA reservoir strain was demonstrated by the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likelihood ratio test (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0.03).</w:t>
            </w:r>
          </w:p>
        </w:tc>
        <w:tc>
          <w:tcPr>
            <w:tcW w:w="357" w:type="pct"/>
            <w:shd w:val="clear" w:color="auto" w:fill="FFB9B9"/>
            <w:noWrap/>
            <w:hideMark/>
          </w:tcPr>
          <w:p w14:paraId="357878A9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</w:tr>
      <w:tr w:rsidR="00D14D46" w:rsidRPr="00A608C5" w14:paraId="0C141613" w14:textId="77777777" w:rsidTr="004D5406">
        <w:trPr>
          <w:trHeight w:val="1110"/>
          <w:jc w:val="center"/>
        </w:trPr>
        <w:tc>
          <w:tcPr>
            <w:tcW w:w="358" w:type="pct"/>
            <w:hideMark/>
          </w:tcPr>
          <w:p w14:paraId="13A5C4F1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Candan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[42]</w:t>
            </w:r>
            <w:r w:rsidRPr="00A608C5">
              <w:rPr>
                <w:rFonts w:ascii="Times New Roman" w:eastAsia="等线" w:hAnsi="Times New Roman" w:cs="Times New Roman"/>
              </w:rPr>
              <w:t xml:space="preserve">, 2014,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Int J Cardiovasc Imaging </w:t>
            </w:r>
          </w:p>
        </w:tc>
        <w:tc>
          <w:tcPr>
            <w:tcW w:w="314" w:type="pct"/>
            <w:noWrap/>
            <w:hideMark/>
          </w:tcPr>
          <w:p w14:paraId="59810FD1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53</w:t>
            </w:r>
          </w:p>
        </w:tc>
        <w:tc>
          <w:tcPr>
            <w:tcW w:w="280" w:type="pct"/>
            <w:hideMark/>
          </w:tcPr>
          <w:p w14:paraId="47489C97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45.7 ± 13.5</w:t>
            </w:r>
          </w:p>
        </w:tc>
        <w:tc>
          <w:tcPr>
            <w:tcW w:w="313" w:type="pct"/>
            <w:noWrap/>
            <w:hideMark/>
          </w:tcPr>
          <w:p w14:paraId="47AC3AA0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55</w:t>
            </w:r>
          </w:p>
        </w:tc>
        <w:tc>
          <w:tcPr>
            <w:tcW w:w="397" w:type="pct"/>
            <w:noWrap/>
            <w:hideMark/>
          </w:tcPr>
          <w:p w14:paraId="3551E9F0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severe/both</w:t>
            </w:r>
          </w:p>
        </w:tc>
        <w:tc>
          <w:tcPr>
            <w:tcW w:w="360" w:type="pct"/>
            <w:hideMark/>
          </w:tcPr>
          <w:p w14:paraId="22885F8D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56.6%, replacement 43.4%)</w:t>
            </w:r>
          </w:p>
        </w:tc>
        <w:tc>
          <w:tcPr>
            <w:tcW w:w="440" w:type="pct"/>
            <w:noWrap/>
            <w:hideMark/>
          </w:tcPr>
          <w:p w14:paraId="64C66303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GE</w:t>
            </w:r>
          </w:p>
        </w:tc>
        <w:tc>
          <w:tcPr>
            <w:tcW w:w="277" w:type="pct"/>
            <w:noWrap/>
            <w:hideMark/>
          </w:tcPr>
          <w:p w14:paraId="29D14C2C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EchoPAC</w:t>
            </w:r>
            <w:proofErr w:type="spellEnd"/>
          </w:p>
        </w:tc>
        <w:tc>
          <w:tcPr>
            <w:tcW w:w="394" w:type="pct"/>
            <w:hideMark/>
          </w:tcPr>
          <w:p w14:paraId="5D6404E8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Interobserver: absolute bias 2.7 (–1.9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59525F">
              <w:rPr>
                <w:rFonts w:ascii="Times New Roman" w:eastAsia="等线" w:hAnsi="Times New Roman" w:cs="Times New Roman"/>
                <w:lang w:eastAsia="zh-CN"/>
              </w:rPr>
              <w:t>to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7.3);</w:t>
            </w:r>
          </w:p>
          <w:p w14:paraId="611D18B6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absolute bias 0.90 (0.84–0.95).</w:t>
            </w:r>
          </w:p>
        </w:tc>
        <w:tc>
          <w:tcPr>
            <w:tcW w:w="254" w:type="pct"/>
            <w:noWrap/>
            <w:hideMark/>
          </w:tcPr>
          <w:p w14:paraId="3449F58E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64.6 ± 7.1</w:t>
            </w:r>
          </w:p>
        </w:tc>
        <w:tc>
          <w:tcPr>
            <w:tcW w:w="297" w:type="pct"/>
            <w:hideMark/>
          </w:tcPr>
          <w:p w14:paraId="145E1098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300" w:type="pct"/>
            <w:shd w:val="clear" w:color="auto" w:fill="C5E0B3"/>
            <w:hideMark/>
          </w:tcPr>
          <w:p w14:paraId="77AF600C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LARR (Reduction of indexed LA Volume) </w:t>
            </w:r>
          </w:p>
        </w:tc>
        <w:tc>
          <w:tcPr>
            <w:tcW w:w="291" w:type="pct"/>
            <w:shd w:val="clear" w:color="auto" w:fill="C5E0B3"/>
            <w:noWrap/>
            <w:hideMark/>
          </w:tcPr>
          <w:p w14:paraId="1E049B7B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&gt;6 months</w:t>
            </w:r>
          </w:p>
        </w:tc>
        <w:tc>
          <w:tcPr>
            <w:tcW w:w="367" w:type="pct"/>
            <w:shd w:val="clear" w:color="auto" w:fill="C5E0B3"/>
            <w:hideMark/>
          </w:tcPr>
          <w:p w14:paraId="31CD7F8C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Better LA reservoir strain on multivariate linear regression analysis was associated with better LA reverse remodeling (β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0.54,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0.001)</w:t>
            </w:r>
            <w:r w:rsidRPr="00A608C5">
              <w:rPr>
                <w:rFonts w:ascii="Times New Roman" w:hAnsi="Times New Roman" w:cs="Times New Roman"/>
              </w:rPr>
              <w:t>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</w:p>
        </w:tc>
        <w:tc>
          <w:tcPr>
            <w:tcW w:w="357" w:type="pct"/>
            <w:shd w:val="clear" w:color="auto" w:fill="C5E0B3"/>
            <w:noWrap/>
            <w:hideMark/>
          </w:tcPr>
          <w:p w14:paraId="33A2EABD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</w:tr>
      <w:tr w:rsidR="00D14D46" w:rsidRPr="00A608C5" w14:paraId="4C6CEC31" w14:textId="77777777" w:rsidTr="004D5406">
        <w:trPr>
          <w:trHeight w:val="1110"/>
          <w:jc w:val="center"/>
        </w:trPr>
        <w:tc>
          <w:tcPr>
            <w:tcW w:w="358" w:type="pct"/>
            <w:vMerge w:val="restart"/>
            <w:hideMark/>
          </w:tcPr>
          <w:p w14:paraId="799FA054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Kislitsina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[84]</w:t>
            </w:r>
            <w:r w:rsidRPr="00A608C5">
              <w:rPr>
                <w:rFonts w:ascii="Times New Roman" w:eastAsia="等线" w:hAnsi="Times New Roman" w:cs="Times New Roman"/>
              </w:rPr>
              <w:t xml:space="preserve">, 2020,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Ann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t>Thorac</w:t>
            </w:r>
            <w:proofErr w:type="spellEnd"/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 Surg</w:t>
            </w:r>
          </w:p>
        </w:tc>
        <w:tc>
          <w:tcPr>
            <w:tcW w:w="314" w:type="pct"/>
            <w:vMerge w:val="restart"/>
            <w:hideMark/>
          </w:tcPr>
          <w:p w14:paraId="7BD6B704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119 (Strain was measured in 119/520 patients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)</w:t>
            </w:r>
          </w:p>
        </w:tc>
        <w:tc>
          <w:tcPr>
            <w:tcW w:w="280" w:type="pct"/>
            <w:vMerge w:val="restart"/>
            <w:hideMark/>
          </w:tcPr>
          <w:p w14:paraId="77380212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58.5 ± 58.2</w:t>
            </w:r>
          </w:p>
        </w:tc>
        <w:tc>
          <w:tcPr>
            <w:tcW w:w="313" w:type="pct"/>
            <w:vMerge w:val="restart"/>
            <w:hideMark/>
          </w:tcPr>
          <w:p w14:paraId="3AB462DA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34</w:t>
            </w:r>
          </w:p>
        </w:tc>
        <w:tc>
          <w:tcPr>
            <w:tcW w:w="397" w:type="pct"/>
            <w:vMerge w:val="restart"/>
            <w:hideMark/>
          </w:tcPr>
          <w:p w14:paraId="354117D8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≥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moderate/both</w:t>
            </w:r>
          </w:p>
        </w:tc>
        <w:tc>
          <w:tcPr>
            <w:tcW w:w="360" w:type="pct"/>
            <w:vMerge w:val="restart"/>
            <w:hideMark/>
          </w:tcPr>
          <w:p w14:paraId="1D3C7A5C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98%, replacement 2%)</w:t>
            </w:r>
          </w:p>
        </w:tc>
        <w:tc>
          <w:tcPr>
            <w:tcW w:w="440" w:type="pct"/>
            <w:vMerge w:val="restart"/>
            <w:hideMark/>
          </w:tcPr>
          <w:p w14:paraId="342EDA70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277" w:type="pct"/>
            <w:vMerge w:val="restart"/>
            <w:hideMark/>
          </w:tcPr>
          <w:p w14:paraId="047ECB50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TomTec</w:t>
            </w:r>
            <w:proofErr w:type="spellEnd"/>
          </w:p>
        </w:tc>
        <w:tc>
          <w:tcPr>
            <w:tcW w:w="394" w:type="pct"/>
            <w:vMerge w:val="restart"/>
            <w:hideMark/>
          </w:tcPr>
          <w:p w14:paraId="0F4A80A0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254" w:type="pct"/>
            <w:vMerge w:val="restart"/>
            <w:hideMark/>
          </w:tcPr>
          <w:p w14:paraId="38353552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Median 65</w:t>
            </w:r>
          </w:p>
        </w:tc>
        <w:tc>
          <w:tcPr>
            <w:tcW w:w="297" w:type="pct"/>
            <w:vMerge w:val="restart"/>
            <w:hideMark/>
          </w:tcPr>
          <w:p w14:paraId="6C4B514B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–19.9 ± 4.2%</w:t>
            </w:r>
          </w:p>
        </w:tc>
        <w:tc>
          <w:tcPr>
            <w:tcW w:w="300" w:type="pct"/>
            <w:shd w:val="clear" w:color="auto" w:fill="FFB9B9"/>
            <w:hideMark/>
          </w:tcPr>
          <w:p w14:paraId="207AA787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All-cause mortality</w:t>
            </w:r>
          </w:p>
        </w:tc>
        <w:tc>
          <w:tcPr>
            <w:tcW w:w="291" w:type="pct"/>
            <w:shd w:val="clear" w:color="auto" w:fill="FFB9B9"/>
            <w:hideMark/>
          </w:tcPr>
          <w:p w14:paraId="1C79B47F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5.0 ± 3.6 years</w:t>
            </w:r>
          </w:p>
        </w:tc>
        <w:tc>
          <w:tcPr>
            <w:tcW w:w="367" w:type="pct"/>
            <w:shd w:val="clear" w:color="auto" w:fill="FFB9B9"/>
            <w:hideMark/>
          </w:tcPr>
          <w:p w14:paraId="040E266F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Baseline LA reservoir strain on multivariate Cox survival analysis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was not significantly associated with post-operative mortality (HR 0.931 [0.855–1.016],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0.931).</w:t>
            </w:r>
          </w:p>
        </w:tc>
        <w:tc>
          <w:tcPr>
            <w:tcW w:w="357" w:type="pct"/>
            <w:shd w:val="clear" w:color="auto" w:fill="FFB9B9"/>
            <w:hideMark/>
          </w:tcPr>
          <w:p w14:paraId="2DE52FF1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</w:tr>
      <w:tr w:rsidR="00D14D46" w:rsidRPr="00A608C5" w14:paraId="4B89CC29" w14:textId="77777777" w:rsidTr="004D5406">
        <w:trPr>
          <w:trHeight w:val="1808"/>
          <w:jc w:val="center"/>
        </w:trPr>
        <w:tc>
          <w:tcPr>
            <w:tcW w:w="358" w:type="pct"/>
            <w:vMerge/>
            <w:hideMark/>
          </w:tcPr>
          <w:p w14:paraId="09AE041F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14" w:type="pct"/>
            <w:vMerge/>
            <w:hideMark/>
          </w:tcPr>
          <w:p w14:paraId="73E0D773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80" w:type="pct"/>
            <w:vMerge/>
            <w:hideMark/>
          </w:tcPr>
          <w:p w14:paraId="13B64DD7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13" w:type="pct"/>
            <w:vMerge/>
            <w:hideMark/>
          </w:tcPr>
          <w:p w14:paraId="53D4FCB5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97" w:type="pct"/>
            <w:vMerge/>
            <w:hideMark/>
          </w:tcPr>
          <w:p w14:paraId="2CEF9029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60" w:type="pct"/>
            <w:vMerge/>
            <w:hideMark/>
          </w:tcPr>
          <w:p w14:paraId="7D7A37A7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40" w:type="pct"/>
            <w:vMerge/>
            <w:hideMark/>
          </w:tcPr>
          <w:p w14:paraId="54B5FBCD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77" w:type="pct"/>
            <w:vMerge/>
            <w:hideMark/>
          </w:tcPr>
          <w:p w14:paraId="6489C44F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94" w:type="pct"/>
            <w:vMerge/>
            <w:hideMark/>
          </w:tcPr>
          <w:p w14:paraId="143CE690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54" w:type="pct"/>
            <w:vMerge/>
            <w:hideMark/>
          </w:tcPr>
          <w:p w14:paraId="7F65F04F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97" w:type="pct"/>
            <w:vMerge/>
            <w:hideMark/>
          </w:tcPr>
          <w:p w14:paraId="04C10A47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00" w:type="pct"/>
            <w:shd w:val="clear" w:color="auto" w:fill="FFE599"/>
            <w:hideMark/>
          </w:tcPr>
          <w:p w14:paraId="7CB3F7C4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LVEF &lt;50%</w:t>
            </w:r>
          </w:p>
        </w:tc>
        <w:tc>
          <w:tcPr>
            <w:tcW w:w="291" w:type="pct"/>
            <w:shd w:val="clear" w:color="auto" w:fill="FFE599"/>
            <w:hideMark/>
          </w:tcPr>
          <w:p w14:paraId="1F352054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Pre-discharge</w:t>
            </w:r>
          </w:p>
        </w:tc>
        <w:tc>
          <w:tcPr>
            <w:tcW w:w="367" w:type="pct"/>
            <w:shd w:val="clear" w:color="auto" w:fill="FFE599"/>
            <w:hideMark/>
          </w:tcPr>
          <w:p w14:paraId="5425EF63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Worse LA reservoir strain on multivariate logistic regression was associated with post-operative LV dysfunction (OR 0.888 [0.808–0.977]).</w:t>
            </w:r>
          </w:p>
          <w:p w14:paraId="4E5D7DA2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Incremen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tal prognostic value of strain (LV GLS, RV-GLS, LA reservoir strain) was demonstrated (AUC 0.687→0.955,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&lt; 0.001)</w:t>
            </w:r>
          </w:p>
        </w:tc>
        <w:tc>
          <w:tcPr>
            <w:tcW w:w="357" w:type="pct"/>
            <w:shd w:val="clear" w:color="auto" w:fill="FFE599"/>
            <w:hideMark/>
          </w:tcPr>
          <w:p w14:paraId="73A9936E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NA</w:t>
            </w:r>
          </w:p>
        </w:tc>
      </w:tr>
      <w:tr w:rsidR="00D14D46" w:rsidRPr="00A608C5" w14:paraId="6E4B55DE" w14:textId="77777777" w:rsidTr="004D5406">
        <w:trPr>
          <w:trHeight w:val="1665"/>
          <w:jc w:val="center"/>
        </w:trPr>
        <w:tc>
          <w:tcPr>
            <w:tcW w:w="358" w:type="pct"/>
            <w:vMerge w:val="restart"/>
            <w:hideMark/>
          </w:tcPr>
          <w:p w14:paraId="006A1BA3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Mandoli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[90]</w:t>
            </w:r>
            <w:r w:rsidRPr="00A608C5">
              <w:rPr>
                <w:rFonts w:ascii="Times New Roman" w:eastAsia="等线" w:hAnsi="Times New Roman" w:cs="Times New Roman"/>
              </w:rPr>
              <w:t xml:space="preserve">, 2021,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 xml:space="preserve">Int J </w:t>
            </w:r>
            <w:proofErr w:type="spellStart"/>
            <w:r w:rsidRPr="00A608C5">
              <w:rPr>
                <w:rFonts w:ascii="Times New Roman" w:eastAsia="等线" w:hAnsi="Times New Roman" w:cs="Times New Roman"/>
                <w:i/>
                <w:iCs/>
              </w:rPr>
              <w:t>Cardiol</w:t>
            </w:r>
            <w:proofErr w:type="spellEnd"/>
          </w:p>
        </w:tc>
        <w:tc>
          <w:tcPr>
            <w:tcW w:w="314" w:type="pct"/>
            <w:vMerge w:val="restart"/>
            <w:hideMark/>
          </w:tcPr>
          <w:p w14:paraId="01B2EE6C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65</w:t>
            </w:r>
          </w:p>
        </w:tc>
        <w:tc>
          <w:tcPr>
            <w:tcW w:w="280" w:type="pct"/>
            <w:vMerge w:val="restart"/>
            <w:hideMark/>
          </w:tcPr>
          <w:p w14:paraId="48714D2C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71 ± 8</w:t>
            </w:r>
          </w:p>
        </w:tc>
        <w:tc>
          <w:tcPr>
            <w:tcW w:w="313" w:type="pct"/>
            <w:vMerge w:val="restart"/>
            <w:hideMark/>
          </w:tcPr>
          <w:p w14:paraId="3DAA6F34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39</w:t>
            </w:r>
          </w:p>
        </w:tc>
        <w:tc>
          <w:tcPr>
            <w:tcW w:w="397" w:type="pct"/>
            <w:vMerge w:val="restart"/>
            <w:hideMark/>
          </w:tcPr>
          <w:p w14:paraId="4E7903CB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severe/both</w:t>
            </w:r>
          </w:p>
        </w:tc>
        <w:tc>
          <w:tcPr>
            <w:tcW w:w="360" w:type="pct"/>
            <w:vMerge w:val="restart"/>
            <w:hideMark/>
          </w:tcPr>
          <w:p w14:paraId="13935DC9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69%, replacement 31%)</w:t>
            </w:r>
          </w:p>
        </w:tc>
        <w:tc>
          <w:tcPr>
            <w:tcW w:w="440" w:type="pct"/>
            <w:vMerge w:val="restart"/>
            <w:hideMark/>
          </w:tcPr>
          <w:p w14:paraId="1781B619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GE</w:t>
            </w:r>
          </w:p>
        </w:tc>
        <w:tc>
          <w:tcPr>
            <w:tcW w:w="277" w:type="pct"/>
            <w:vMerge w:val="restart"/>
            <w:hideMark/>
          </w:tcPr>
          <w:p w14:paraId="66339AE5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EchoPAC</w:t>
            </w:r>
            <w:proofErr w:type="spellEnd"/>
          </w:p>
        </w:tc>
        <w:tc>
          <w:tcPr>
            <w:tcW w:w="394" w:type="pct"/>
            <w:vMerge w:val="restart"/>
            <w:hideMark/>
          </w:tcPr>
          <w:p w14:paraId="64CA3DC6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254" w:type="pct"/>
            <w:vMerge w:val="restart"/>
            <w:hideMark/>
          </w:tcPr>
          <w:p w14:paraId="3DB0B510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60.1 ± 1.0</w:t>
            </w:r>
          </w:p>
        </w:tc>
        <w:tc>
          <w:tcPr>
            <w:tcW w:w="297" w:type="pct"/>
            <w:vMerge w:val="restart"/>
            <w:hideMark/>
          </w:tcPr>
          <w:p w14:paraId="3F1F0260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22.9 ± 5.5</w:t>
            </w:r>
          </w:p>
        </w:tc>
        <w:tc>
          <w:tcPr>
            <w:tcW w:w="300" w:type="pct"/>
            <w:shd w:val="clear" w:color="auto" w:fill="BDD6EE"/>
            <w:hideMark/>
          </w:tcPr>
          <w:p w14:paraId="23AAF55E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Composite events (Heart failure and mortality)</w:t>
            </w:r>
          </w:p>
        </w:tc>
        <w:tc>
          <w:tcPr>
            <w:tcW w:w="291" w:type="pct"/>
            <w:shd w:val="clear" w:color="auto" w:fill="BDD6EE"/>
            <w:hideMark/>
          </w:tcPr>
          <w:p w14:paraId="7093DE7A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3.7 ± 1 years for the event-group, 6.8 ± 1 years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for non-event group</w:t>
            </w:r>
          </w:p>
        </w:tc>
        <w:tc>
          <w:tcPr>
            <w:tcW w:w="367" w:type="pct"/>
            <w:shd w:val="clear" w:color="auto" w:fill="BDD6EE"/>
            <w:hideMark/>
          </w:tcPr>
          <w:p w14:paraId="73CAEB86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Worse LA reservoir strain on multivariate Cox survival models was all significantly associated with higher mortality (HR 0.74–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0.91, all the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0.05).</w:t>
            </w:r>
          </w:p>
          <w:p w14:paraId="4ABA6199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The incremental prognostic value of strain LA reservoir strain was demonstrated (</w:t>
            </w:r>
            <w:r w:rsidRPr="00A608C5">
              <w:rPr>
                <w:rFonts w:ascii="Times New Roman" w:eastAsia="等线" w:hAnsi="Times New Roman" w:cs="Times New Roman"/>
              </w:rPr>
              <w:sym w:font="Symbol" w:char="F063"/>
            </w:r>
            <w:r w:rsidRPr="00A608C5">
              <w:rPr>
                <w:rFonts w:ascii="Times New Roman" w:eastAsia="等线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eastAsia="等线" w:hAnsi="Times New Roman" w:cs="Times New Roman"/>
              </w:rPr>
              <w:t xml:space="preserve"> 6.80→17.61,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= 0.001).</w:t>
            </w:r>
          </w:p>
        </w:tc>
        <w:tc>
          <w:tcPr>
            <w:tcW w:w="357" w:type="pct"/>
            <w:shd w:val="clear" w:color="auto" w:fill="BDD6EE"/>
            <w:hideMark/>
          </w:tcPr>
          <w:p w14:paraId="6B3F1667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LA reservoir strain cut-off value –21% to predict post-operative composite events (AUC 0.78,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&lt;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0.01).</w:t>
            </w:r>
          </w:p>
        </w:tc>
      </w:tr>
      <w:tr w:rsidR="00D14D46" w:rsidRPr="00A608C5" w14:paraId="5397289E" w14:textId="77777777" w:rsidTr="004D5406">
        <w:trPr>
          <w:trHeight w:val="1388"/>
          <w:jc w:val="center"/>
        </w:trPr>
        <w:tc>
          <w:tcPr>
            <w:tcW w:w="358" w:type="pct"/>
            <w:vMerge/>
            <w:hideMark/>
          </w:tcPr>
          <w:p w14:paraId="5B2A0794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14" w:type="pct"/>
            <w:vMerge/>
            <w:hideMark/>
          </w:tcPr>
          <w:p w14:paraId="7671A230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80" w:type="pct"/>
            <w:vMerge/>
            <w:hideMark/>
          </w:tcPr>
          <w:p w14:paraId="0067FB16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13" w:type="pct"/>
            <w:vMerge/>
            <w:hideMark/>
          </w:tcPr>
          <w:p w14:paraId="301820FB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97" w:type="pct"/>
            <w:vMerge/>
            <w:hideMark/>
          </w:tcPr>
          <w:p w14:paraId="28B61A8C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60" w:type="pct"/>
            <w:vMerge/>
            <w:hideMark/>
          </w:tcPr>
          <w:p w14:paraId="6D253B28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440" w:type="pct"/>
            <w:vMerge/>
            <w:hideMark/>
          </w:tcPr>
          <w:p w14:paraId="485B669D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77" w:type="pct"/>
            <w:vMerge/>
            <w:hideMark/>
          </w:tcPr>
          <w:p w14:paraId="757C8340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94" w:type="pct"/>
            <w:vMerge/>
            <w:hideMark/>
          </w:tcPr>
          <w:p w14:paraId="44C435DF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54" w:type="pct"/>
            <w:vMerge/>
            <w:hideMark/>
          </w:tcPr>
          <w:p w14:paraId="36537D29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97" w:type="pct"/>
            <w:vMerge/>
            <w:hideMark/>
          </w:tcPr>
          <w:p w14:paraId="3BF55CDF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00" w:type="pct"/>
            <w:shd w:val="clear" w:color="auto" w:fill="D9D9D9"/>
            <w:hideMark/>
          </w:tcPr>
          <w:p w14:paraId="4EF89BB8" w14:textId="77777777" w:rsidR="00D14D46" w:rsidRPr="00A608C5" w:rsidRDefault="00D14D46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Post-operative functional capacity (NYHA class and Borg CR 10 scale)</w:t>
            </w:r>
          </w:p>
        </w:tc>
        <w:tc>
          <w:tcPr>
            <w:tcW w:w="291" w:type="pct"/>
            <w:shd w:val="clear" w:color="auto" w:fill="D9D9D9"/>
            <w:hideMark/>
          </w:tcPr>
          <w:p w14:paraId="327AD157" w14:textId="77777777" w:rsidR="00D14D46" w:rsidRPr="00A608C5" w:rsidRDefault="00D14D46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3.7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1 years for the event-group, 6.8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1 years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for non-event group</w:t>
            </w:r>
          </w:p>
        </w:tc>
        <w:tc>
          <w:tcPr>
            <w:tcW w:w="367" w:type="pct"/>
            <w:shd w:val="clear" w:color="auto" w:fill="D9D9D9"/>
            <w:hideMark/>
          </w:tcPr>
          <w:p w14:paraId="2CBDB4DF" w14:textId="77777777" w:rsidR="00D14D46" w:rsidRPr="00A608C5" w:rsidRDefault="00D14D46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LA reservoir strain was associated with post-operative NYHA class (r</w:t>
            </w:r>
            <w:r w:rsidRPr="00A608C5">
              <w:rPr>
                <w:rFonts w:ascii="Times New Roman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 xml:space="preserve">0.11,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0.04) and Borg CR 10 scale (r</w:t>
            </w:r>
            <w:r w:rsidRPr="00A608C5">
              <w:rPr>
                <w:rFonts w:ascii="Times New Roman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lastRenderedPageBreak/>
              <w:t>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 xml:space="preserve">0.10,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0.02).</w:t>
            </w:r>
          </w:p>
        </w:tc>
        <w:tc>
          <w:tcPr>
            <w:tcW w:w="357" w:type="pct"/>
            <w:shd w:val="clear" w:color="auto" w:fill="D9D9D9"/>
            <w:hideMark/>
          </w:tcPr>
          <w:p w14:paraId="04D0A6AF" w14:textId="77777777" w:rsidR="00D14D46" w:rsidRPr="00A608C5" w:rsidRDefault="00D14D46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lastRenderedPageBreak/>
              <w:t>NA</w:t>
            </w:r>
          </w:p>
        </w:tc>
      </w:tr>
      <w:tr w:rsidR="00D14D46" w:rsidRPr="00A608C5" w14:paraId="3E221E14" w14:textId="77777777" w:rsidTr="004D5406">
        <w:trPr>
          <w:trHeight w:val="2180"/>
          <w:jc w:val="center"/>
        </w:trPr>
        <w:tc>
          <w:tcPr>
            <w:tcW w:w="358" w:type="pct"/>
            <w:hideMark/>
          </w:tcPr>
          <w:p w14:paraId="68FE1335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Stassen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[85]</w:t>
            </w:r>
            <w:r w:rsidRPr="00A608C5">
              <w:rPr>
                <w:rFonts w:ascii="Times New Roman" w:eastAsia="等线" w:hAnsi="Times New Roman" w:cs="Times New Roman"/>
              </w:rPr>
              <w:t xml:space="preserve">, 2022,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Eur Heart J Cardiovasc Imaging</w:t>
            </w:r>
          </w:p>
        </w:tc>
        <w:tc>
          <w:tcPr>
            <w:tcW w:w="314" w:type="pct"/>
            <w:hideMark/>
          </w:tcPr>
          <w:p w14:paraId="7633C1FA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566</w:t>
            </w:r>
          </w:p>
        </w:tc>
        <w:tc>
          <w:tcPr>
            <w:tcW w:w="280" w:type="pct"/>
            <w:hideMark/>
          </w:tcPr>
          <w:p w14:paraId="3AA578F9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64 ± 12</w:t>
            </w:r>
          </w:p>
        </w:tc>
        <w:tc>
          <w:tcPr>
            <w:tcW w:w="313" w:type="pct"/>
            <w:hideMark/>
          </w:tcPr>
          <w:p w14:paraId="791ECAAF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34</w:t>
            </w:r>
          </w:p>
        </w:tc>
        <w:tc>
          <w:tcPr>
            <w:tcW w:w="397" w:type="pct"/>
            <w:hideMark/>
          </w:tcPr>
          <w:p w14:paraId="2D52A0CC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moderate to severe or severe/both</w:t>
            </w:r>
          </w:p>
        </w:tc>
        <w:tc>
          <w:tcPr>
            <w:tcW w:w="360" w:type="pct"/>
            <w:hideMark/>
          </w:tcPr>
          <w:p w14:paraId="55EF8A73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100%)</w:t>
            </w:r>
          </w:p>
        </w:tc>
        <w:tc>
          <w:tcPr>
            <w:tcW w:w="440" w:type="pct"/>
            <w:hideMark/>
          </w:tcPr>
          <w:p w14:paraId="619F3D89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GE</w:t>
            </w:r>
          </w:p>
        </w:tc>
        <w:tc>
          <w:tcPr>
            <w:tcW w:w="277" w:type="pct"/>
            <w:hideMark/>
          </w:tcPr>
          <w:p w14:paraId="35088FDB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EchoPAC</w:t>
            </w:r>
            <w:proofErr w:type="spellEnd"/>
          </w:p>
        </w:tc>
        <w:tc>
          <w:tcPr>
            <w:tcW w:w="394" w:type="pct"/>
            <w:hideMark/>
          </w:tcPr>
          <w:p w14:paraId="24838B4B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Interobserver: ICC 0.92 (0.84–0.97);</w:t>
            </w:r>
          </w:p>
          <w:p w14:paraId="658381B4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ICC 0.94 (0.85–0.98)</w:t>
            </w:r>
          </w:p>
        </w:tc>
        <w:tc>
          <w:tcPr>
            <w:tcW w:w="254" w:type="pct"/>
            <w:hideMark/>
          </w:tcPr>
          <w:p w14:paraId="0113BED8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64 ± 8</w:t>
            </w:r>
          </w:p>
        </w:tc>
        <w:tc>
          <w:tcPr>
            <w:tcW w:w="297" w:type="pct"/>
            <w:hideMark/>
          </w:tcPr>
          <w:p w14:paraId="6D8D1FE2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23.0 ± 9.7</w:t>
            </w:r>
          </w:p>
        </w:tc>
        <w:tc>
          <w:tcPr>
            <w:tcW w:w="300" w:type="pct"/>
            <w:shd w:val="clear" w:color="auto" w:fill="FFB9B9"/>
            <w:hideMark/>
          </w:tcPr>
          <w:p w14:paraId="5A0D22E1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All-cause mortality</w:t>
            </w:r>
          </w:p>
        </w:tc>
        <w:tc>
          <w:tcPr>
            <w:tcW w:w="291" w:type="pct"/>
            <w:shd w:val="clear" w:color="auto" w:fill="FFB9B9"/>
            <w:hideMark/>
          </w:tcPr>
          <w:p w14:paraId="44FFE7D5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7 (4–12) years</w:t>
            </w:r>
          </w:p>
        </w:tc>
        <w:tc>
          <w:tcPr>
            <w:tcW w:w="367" w:type="pct"/>
            <w:shd w:val="clear" w:color="auto" w:fill="FFB9B9"/>
            <w:hideMark/>
          </w:tcPr>
          <w:p w14:paraId="286DA4E8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Worse LA reservoir strain on multivariable Cox survival analysis was significantly associated with higher all-cause mortality (HR 0.961 [0.932–0.992];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0.014).</w:t>
            </w:r>
          </w:p>
          <w:p w14:paraId="115C198C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The incremental prognostic value of LA reservoir strain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>was demonstrated (</w:t>
            </w:r>
            <w:r w:rsidRPr="00A608C5">
              <w:rPr>
                <w:rFonts w:ascii="Times New Roman" w:eastAsia="等线" w:hAnsi="Times New Roman" w:cs="Times New Roman"/>
              </w:rPr>
              <w:sym w:font="Symbol" w:char="F063"/>
            </w:r>
            <w:r w:rsidRPr="00A608C5">
              <w:rPr>
                <w:rFonts w:ascii="Times New Roman" w:eastAsia="等线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eastAsia="等线" w:hAnsi="Times New Roman" w:cs="Times New Roman"/>
              </w:rPr>
              <w:t xml:space="preserve"> 98.3→105.2,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= 0.011).</w:t>
            </w:r>
          </w:p>
        </w:tc>
        <w:tc>
          <w:tcPr>
            <w:tcW w:w="357" w:type="pct"/>
            <w:shd w:val="clear" w:color="auto" w:fill="FFB9B9"/>
            <w:hideMark/>
          </w:tcPr>
          <w:p w14:paraId="154CCB5B" w14:textId="77777777" w:rsidR="00D14D46" w:rsidRPr="00A608C5" w:rsidRDefault="00D14D46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LA reservoir strain PALS cut-off value –22% derived from spline curve to predict all-cause mortality (i.e.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>,</w:t>
            </w:r>
            <w:r w:rsidRPr="00A608C5">
              <w:rPr>
                <w:rFonts w:ascii="Times New Roman" w:eastAsia="等线" w:hAnsi="Times New Roman" w:cs="Times New Roman"/>
              </w:rPr>
              <w:t xml:space="preserve"> in which the predicted HR is ≥1).</w:t>
            </w:r>
          </w:p>
        </w:tc>
      </w:tr>
    </w:tbl>
    <w:p w14:paraId="476A74DD" w14:textId="3DE8ABB3" w:rsidR="00DC4CCF" w:rsidRPr="00A608C5" w:rsidRDefault="00D14D46" w:rsidP="00D14D46">
      <w:pPr>
        <w:pStyle w:val="Tablefooter"/>
        <w:rPr>
          <w:rFonts w:eastAsiaTheme="minorEastAsia"/>
          <w:lang w:eastAsia="zh-CN"/>
        </w:rPr>
      </w:pPr>
      <w:r w:rsidRPr="00A608C5">
        <w:t>The Cell colors conform with Fig. 1. LA, left atrium; LV, left ventricle; LVEF, left ventricular ejection fraction; ICC, intraclass correlation coefficients; CV, coefficient of variation; NA, not available; AUC, are</w:t>
      </w:r>
      <w:r w:rsidRPr="0059525F">
        <w:t>a under cu</w:t>
      </w:r>
      <w:r w:rsidRPr="00A608C5">
        <w:t>rve; LV GLS, left ventricular global longitudinal strain; OR, odds ratio; HR, hazard ratio.</w:t>
      </w:r>
    </w:p>
    <w:p w14:paraId="23257308" w14:textId="77777777" w:rsidR="00D14D46" w:rsidRDefault="00D14D46" w:rsidP="00D14D46">
      <w:pPr>
        <w:ind w:firstLine="420"/>
        <w:rPr>
          <w:rFonts w:cs="Times New Roman"/>
          <w:sz w:val="21"/>
          <w:szCs w:val="21"/>
          <w:lang w:bidi="en-US"/>
        </w:rPr>
      </w:pPr>
    </w:p>
    <w:p w14:paraId="053D40B2" w14:textId="77777777" w:rsidR="00D138DB" w:rsidRPr="00A608C5" w:rsidRDefault="00D138DB" w:rsidP="00D14D46">
      <w:pPr>
        <w:ind w:firstLine="420"/>
        <w:rPr>
          <w:rFonts w:cs="Times New Roman"/>
          <w:sz w:val="21"/>
          <w:szCs w:val="21"/>
          <w:lang w:bidi="en-US"/>
        </w:rPr>
      </w:pPr>
    </w:p>
    <w:p w14:paraId="37C8D8C6" w14:textId="2108E46C" w:rsidR="00A608C5" w:rsidRPr="00A608C5" w:rsidRDefault="00D138DB" w:rsidP="00A608C5">
      <w:pPr>
        <w:pStyle w:val="Tablecaption"/>
        <w:spacing w:before="240" w:after="240"/>
        <w:rPr>
          <w:szCs w:val="21"/>
        </w:rPr>
      </w:pPr>
      <w:r w:rsidRPr="00A608C5">
        <w:rPr>
          <w:rFonts w:eastAsiaTheme="minorEastAsia"/>
          <w:szCs w:val="21"/>
        </w:rPr>
        <w:t xml:space="preserve">Supplementary </w:t>
      </w:r>
      <w:r w:rsidR="00A608C5" w:rsidRPr="00A608C5">
        <w:rPr>
          <w:szCs w:val="21"/>
        </w:rPr>
        <w:t>Table 9</w:t>
      </w:r>
      <w:r w:rsidR="00A608C5" w:rsidRPr="00A608C5">
        <w:rPr>
          <w:rFonts w:eastAsiaTheme="minorEastAsia"/>
          <w:szCs w:val="21"/>
        </w:rPr>
        <w:t>.</w:t>
      </w:r>
      <w:r w:rsidR="00A608C5" w:rsidRPr="00A608C5">
        <w:rPr>
          <w:szCs w:val="21"/>
        </w:rPr>
        <w:t xml:space="preserve"> Description of included studies of stress echocardiography.</w:t>
      </w:r>
    </w:p>
    <w:tbl>
      <w:tblPr>
        <w:tblStyle w:val="11"/>
        <w:tblW w:w="5000" w:type="pct"/>
        <w:jc w:val="center"/>
        <w:tblLook w:val="04A0" w:firstRow="1" w:lastRow="0" w:firstColumn="1" w:lastColumn="0" w:noHBand="0" w:noVBand="1"/>
      </w:tblPr>
      <w:tblGrid>
        <w:gridCol w:w="1164"/>
        <w:gridCol w:w="1023"/>
        <w:gridCol w:w="501"/>
        <w:gridCol w:w="719"/>
        <w:gridCol w:w="1658"/>
        <w:gridCol w:w="1051"/>
        <w:gridCol w:w="2179"/>
        <w:gridCol w:w="805"/>
        <w:gridCol w:w="1026"/>
        <w:gridCol w:w="1222"/>
        <w:gridCol w:w="758"/>
        <w:gridCol w:w="1468"/>
        <w:gridCol w:w="1212"/>
      </w:tblGrid>
      <w:tr w:rsidR="00A608C5" w:rsidRPr="00A608C5" w14:paraId="107400D0" w14:textId="77777777" w:rsidTr="004D5406">
        <w:trPr>
          <w:trHeight w:val="848"/>
          <w:jc w:val="center"/>
        </w:trPr>
        <w:tc>
          <w:tcPr>
            <w:tcW w:w="394" w:type="pct"/>
            <w:hideMark/>
          </w:tcPr>
          <w:p w14:paraId="2F30E93D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First Author [Ref.];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Year Published;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Journal</w:t>
            </w:r>
          </w:p>
        </w:tc>
        <w:tc>
          <w:tcPr>
            <w:tcW w:w="346" w:type="pct"/>
            <w:hideMark/>
          </w:tcPr>
          <w:p w14:paraId="0270A3AD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Total Number of Participants</w:t>
            </w:r>
          </w:p>
        </w:tc>
        <w:tc>
          <w:tcPr>
            <w:tcW w:w="168" w:type="pct"/>
            <w:hideMark/>
          </w:tcPr>
          <w:p w14:paraId="3643E782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Age</w:t>
            </w:r>
          </w:p>
        </w:tc>
        <w:tc>
          <w:tcPr>
            <w:tcW w:w="243" w:type="pct"/>
            <w:hideMark/>
          </w:tcPr>
          <w:p w14:paraId="661540E4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Female (%)</w:t>
            </w:r>
          </w:p>
        </w:tc>
        <w:tc>
          <w:tcPr>
            <w:tcW w:w="562" w:type="pct"/>
            <w:hideMark/>
          </w:tcPr>
          <w:p w14:paraId="5867536D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Population (severity/symptom)</w:t>
            </w:r>
          </w:p>
        </w:tc>
        <w:tc>
          <w:tcPr>
            <w:tcW w:w="355" w:type="pct"/>
            <w:hideMark/>
          </w:tcPr>
          <w:p w14:paraId="0EF86C52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</w:t>
            </w:r>
          </w:p>
        </w:tc>
        <w:tc>
          <w:tcPr>
            <w:tcW w:w="649" w:type="pct"/>
            <w:hideMark/>
          </w:tcPr>
          <w:p w14:paraId="6B603298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Reproducibility (interobserver/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361" w:type="pct"/>
            <w:hideMark/>
          </w:tcPr>
          <w:p w14:paraId="6481E2E2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Baseline LVEF (%)</w:t>
            </w:r>
          </w:p>
        </w:tc>
        <w:tc>
          <w:tcPr>
            <w:tcW w:w="347" w:type="pct"/>
            <w:hideMark/>
          </w:tcPr>
          <w:p w14:paraId="65E9E712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Baseline stress-induced parameters (mm)</w:t>
            </w:r>
          </w:p>
        </w:tc>
        <w:tc>
          <w:tcPr>
            <w:tcW w:w="413" w:type="pct"/>
            <w:hideMark/>
          </w:tcPr>
          <w:p w14:paraId="595277C0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Outcomes</w:t>
            </w:r>
          </w:p>
        </w:tc>
        <w:tc>
          <w:tcPr>
            <w:tcW w:w="256" w:type="pct"/>
            <w:hideMark/>
          </w:tcPr>
          <w:p w14:paraId="4BC8F543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Follow-up</w:t>
            </w:r>
          </w:p>
        </w:tc>
        <w:tc>
          <w:tcPr>
            <w:tcW w:w="497" w:type="pct"/>
            <w:hideMark/>
          </w:tcPr>
          <w:p w14:paraId="7775F67C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Association Between Stress Echocardiography and Outcomes</w:t>
            </w:r>
          </w:p>
        </w:tc>
        <w:tc>
          <w:tcPr>
            <w:tcW w:w="410" w:type="pct"/>
            <w:hideMark/>
          </w:tcPr>
          <w:p w14:paraId="037DE983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Receiver-Operating Characteristic Curve Analysis</w:t>
            </w:r>
          </w:p>
        </w:tc>
      </w:tr>
      <w:tr w:rsidR="00A608C5" w:rsidRPr="00A608C5" w14:paraId="503CADDE" w14:textId="77777777" w:rsidTr="004D5406">
        <w:trPr>
          <w:trHeight w:val="1975"/>
          <w:jc w:val="center"/>
        </w:trPr>
        <w:tc>
          <w:tcPr>
            <w:tcW w:w="394" w:type="pct"/>
            <w:hideMark/>
          </w:tcPr>
          <w:p w14:paraId="4D4FE435" w14:textId="77777777" w:rsidR="00A608C5" w:rsidRPr="00A608C5" w:rsidRDefault="00A608C5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Leung </w:t>
            </w:r>
            <w:r w:rsidRPr="00A608C5">
              <w:rPr>
                <w:rFonts w:ascii="Times New Roman" w:hAnsi="Times New Roman" w:cs="Times New Roman"/>
                <w:i/>
              </w:rPr>
              <w:t>et al.</w:t>
            </w:r>
            <w:r w:rsidRPr="00A608C5">
              <w:rPr>
                <w:rFonts w:ascii="Times New Roman" w:hAnsi="Times New Roman" w:cs="Times New Roman"/>
              </w:rPr>
              <w:t xml:space="preserve"> </w:t>
            </w:r>
            <w:r w:rsidRPr="00A608C5">
              <w:rPr>
                <w:rFonts w:ascii="Times New Roman" w:hAnsi="Times New Roman" w:cs="Times New Roman"/>
                <w:noProof/>
              </w:rPr>
              <w:t>[96]</w:t>
            </w:r>
            <w:r w:rsidRPr="00A608C5">
              <w:rPr>
                <w:rFonts w:ascii="Times New Roman" w:hAnsi="Times New Roman" w:cs="Times New Roman"/>
              </w:rPr>
              <w:t>, 1996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>,</w:t>
            </w:r>
            <w:r w:rsidRPr="00A608C5">
              <w:rPr>
                <w:rFonts w:ascii="Times New Roman" w:hAnsi="Times New Roman" w:cs="Times New Roman"/>
                <w:i/>
                <w:iCs/>
              </w:rPr>
              <w:t xml:space="preserve"> J Am Coll </w:t>
            </w:r>
            <w:proofErr w:type="spellStart"/>
            <w:r w:rsidRPr="00A608C5">
              <w:rPr>
                <w:rFonts w:ascii="Times New Roman" w:hAnsi="Times New Roman" w:cs="Times New Roman"/>
                <w:i/>
                <w:iCs/>
              </w:rPr>
              <w:t>Cardiol</w:t>
            </w:r>
            <w:proofErr w:type="spellEnd"/>
          </w:p>
        </w:tc>
        <w:tc>
          <w:tcPr>
            <w:tcW w:w="346" w:type="pct"/>
            <w:hideMark/>
          </w:tcPr>
          <w:p w14:paraId="0CF2AB62" w14:textId="77777777" w:rsidR="00A608C5" w:rsidRPr="00A608C5" w:rsidRDefault="00A608C5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68" w:type="pct"/>
            <w:hideMark/>
          </w:tcPr>
          <w:p w14:paraId="54A5982E" w14:textId="77777777" w:rsidR="00A608C5" w:rsidRPr="00A608C5" w:rsidRDefault="00A608C5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54 ± 13</w:t>
            </w:r>
          </w:p>
        </w:tc>
        <w:tc>
          <w:tcPr>
            <w:tcW w:w="243" w:type="pct"/>
            <w:hideMark/>
          </w:tcPr>
          <w:p w14:paraId="6FCC04C9" w14:textId="77777777" w:rsidR="00A608C5" w:rsidRPr="00A608C5" w:rsidRDefault="00A608C5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562" w:type="pct"/>
            <w:hideMark/>
          </w:tcPr>
          <w:p w14:paraId="00E07854" w14:textId="77777777" w:rsidR="00A608C5" w:rsidRPr="00A608C5" w:rsidRDefault="00A608C5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moderate and severe/asymptomatic</w:t>
            </w:r>
          </w:p>
        </w:tc>
        <w:tc>
          <w:tcPr>
            <w:tcW w:w="355" w:type="pct"/>
            <w:hideMark/>
          </w:tcPr>
          <w:p w14:paraId="3E74D1CF" w14:textId="77777777" w:rsidR="00A608C5" w:rsidRPr="00A608C5" w:rsidRDefault="00A608C5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Surgery (repair 100%)</w:t>
            </w:r>
          </w:p>
        </w:tc>
        <w:tc>
          <w:tcPr>
            <w:tcW w:w="649" w:type="pct"/>
            <w:hideMark/>
          </w:tcPr>
          <w:p w14:paraId="22A1BAE2" w14:textId="77777777" w:rsidR="00A608C5" w:rsidRPr="00A608C5" w:rsidRDefault="00A608C5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608C5">
              <w:rPr>
                <w:rFonts w:ascii="Times New Roman" w:hAnsi="Times New Roman" w:cs="Times New Roman"/>
              </w:rPr>
              <w:t>Interobserver: CV and ICC for LVEDD, LVESD, and LVEF after exercise were 1.2 ± 14.5 cm</w:t>
            </w:r>
            <w:r w:rsidRPr="00A608C5">
              <w:rPr>
                <w:rFonts w:ascii="Times New Roman" w:hAnsi="Times New Roman" w:cs="Times New Roman"/>
                <w:vertAlign w:val="superscript"/>
              </w:rPr>
              <w:t>3</w:t>
            </w:r>
            <w:r w:rsidRPr="00A608C5">
              <w:rPr>
                <w:rFonts w:ascii="Times New Roman" w:eastAsia="宋体" w:hAnsi="Times New Roman" w:cs="Times New Roman"/>
              </w:rPr>
              <w:t>（</w:t>
            </w:r>
            <w:r w:rsidRPr="00A608C5">
              <w:rPr>
                <w:rFonts w:ascii="Times New Roman" w:hAnsi="Times New Roman" w:cs="Times New Roman"/>
              </w:rPr>
              <w:t>r = 0.94), –1.8 ± 4.7 cm</w:t>
            </w:r>
            <w:r w:rsidRPr="00A608C5">
              <w:rPr>
                <w:rFonts w:ascii="Times New Roman" w:hAnsi="Times New Roman" w:cs="Times New Roman"/>
                <w:vertAlign w:val="superscript"/>
              </w:rPr>
              <w:t>3</w:t>
            </w:r>
            <w:r w:rsidRPr="00A608C5">
              <w:rPr>
                <w:rFonts w:ascii="Times New Roman" w:hAnsi="Times New Roman" w:cs="Times New Roman"/>
              </w:rPr>
              <w:t xml:space="preserve"> (r = 0.96), and 1 ± 3 cm</w:t>
            </w:r>
            <w:r w:rsidRPr="00A608C5">
              <w:rPr>
                <w:rFonts w:ascii="Times New Roman" w:hAnsi="Times New Roman" w:cs="Times New Roman"/>
                <w:vertAlign w:val="superscript"/>
              </w:rPr>
              <w:t>3</w:t>
            </w:r>
            <w:r w:rsidRPr="00A608C5">
              <w:rPr>
                <w:rFonts w:ascii="Times New Roman" w:hAnsi="Times New Roman" w:cs="Times New Roman"/>
              </w:rPr>
              <w:t>, respectively.</w:t>
            </w:r>
          </w:p>
          <w:p w14:paraId="318B3663" w14:textId="77777777" w:rsidR="00A608C5" w:rsidRPr="00A608C5" w:rsidRDefault="00A608C5" w:rsidP="004D5406">
            <w:pPr>
              <w:pStyle w:val="Tablebody"/>
              <w:rPr>
                <w:rFonts w:ascii="Times New Roman" w:hAnsi="Times New Roman" w:cs="Times New Roman"/>
              </w:rPr>
            </w:pPr>
            <w:proofErr w:type="spellStart"/>
            <w:r w:rsidRPr="00A608C5">
              <w:rPr>
                <w:rFonts w:ascii="Times New Roman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hAnsi="Times New Roman" w:cs="Times New Roman"/>
              </w:rPr>
              <w:t>: CV and ICC for LVEDD, LVESD, and LVEF after exercise were –</w:t>
            </w:r>
            <w:r w:rsidRPr="00A608C5">
              <w:rPr>
                <w:rFonts w:ascii="Times New Roman" w:hAnsi="Times New Roman" w:cs="Times New Roman"/>
              </w:rPr>
              <w:lastRenderedPageBreak/>
              <w:t>0.8 ± 9.5 cm</w:t>
            </w:r>
            <w:r w:rsidRPr="00A608C5">
              <w:rPr>
                <w:rFonts w:ascii="Times New Roman" w:hAnsi="Times New Roman" w:cs="Times New Roman"/>
                <w:vertAlign w:val="superscript"/>
              </w:rPr>
              <w:t>3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宋体" w:hAnsi="Times New Roman" w:cs="Times New Roman"/>
                <w:lang w:eastAsia="zh-CN"/>
              </w:rPr>
              <w:t>(</w:t>
            </w:r>
            <w:r w:rsidRPr="00A608C5">
              <w:rPr>
                <w:rFonts w:ascii="Times New Roman" w:hAnsi="Times New Roman" w:cs="Times New Roman"/>
              </w:rPr>
              <w:t>r = 0.98), –0.9 ± 3.2 cm</w:t>
            </w:r>
            <w:r w:rsidRPr="00A608C5">
              <w:rPr>
                <w:rFonts w:ascii="Times New Roman" w:hAnsi="Times New Roman" w:cs="Times New Roman"/>
                <w:vertAlign w:val="superscript"/>
              </w:rPr>
              <w:t>3</w:t>
            </w:r>
            <w:r w:rsidRPr="00A608C5">
              <w:rPr>
                <w:rFonts w:ascii="Times New Roman" w:hAnsi="Times New Roman" w:cs="Times New Roman"/>
              </w:rPr>
              <w:t xml:space="preserve"> (r = 0.99), and –1 ± 2 cm</w:t>
            </w:r>
            <w:r w:rsidRPr="00A608C5">
              <w:rPr>
                <w:rFonts w:ascii="Times New Roman" w:hAnsi="Times New Roman" w:cs="Times New Roman"/>
                <w:vertAlign w:val="superscript"/>
              </w:rPr>
              <w:t>3</w:t>
            </w:r>
            <w:r w:rsidRPr="00A608C5">
              <w:rPr>
                <w:rFonts w:ascii="Times New Roman" w:hAnsi="Times New Roman" w:cs="Times New Roman"/>
              </w:rPr>
              <w:t xml:space="preserve">. respectively. </w:t>
            </w:r>
          </w:p>
        </w:tc>
        <w:tc>
          <w:tcPr>
            <w:tcW w:w="361" w:type="pct"/>
            <w:hideMark/>
          </w:tcPr>
          <w:p w14:paraId="44B235FA" w14:textId="77777777" w:rsidR="00A608C5" w:rsidRPr="00A608C5" w:rsidRDefault="00A608C5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lastRenderedPageBreak/>
              <w:t>64 ± 9</w:t>
            </w:r>
          </w:p>
        </w:tc>
        <w:tc>
          <w:tcPr>
            <w:tcW w:w="347" w:type="pct"/>
            <w:hideMark/>
          </w:tcPr>
          <w:p w14:paraId="03CD92A3" w14:textId="77777777" w:rsidR="00A608C5" w:rsidRPr="00A608C5" w:rsidRDefault="00A608C5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proofErr w:type="spellStart"/>
            <w:r w:rsidRPr="00A608C5">
              <w:rPr>
                <w:rFonts w:ascii="Times New Roman" w:hAnsi="Times New Roman" w:cs="Times New Roman"/>
              </w:rPr>
              <w:t>LVEDV</w:t>
            </w:r>
            <w:r w:rsidRPr="00A608C5">
              <w:rPr>
                <w:rFonts w:ascii="Times New Roman" w:hAnsi="Times New Roman" w:cs="Times New Roman"/>
                <w:vertAlign w:val="subscript"/>
              </w:rPr>
              <w:t>ex</w:t>
            </w:r>
            <w:proofErr w:type="spellEnd"/>
            <w:r w:rsidRPr="00A608C5">
              <w:rPr>
                <w:rFonts w:ascii="Times New Roman" w:hAnsi="Times New Roman" w:cs="Times New Roman"/>
              </w:rPr>
              <w:t>: 135 ± 32 cm</w:t>
            </w:r>
            <w:r w:rsidRPr="00A608C5">
              <w:rPr>
                <w:rFonts w:ascii="Times New Roman" w:hAnsi="Times New Roman" w:cs="Times New Roman"/>
                <w:vertAlign w:val="superscript"/>
              </w:rPr>
              <w:t>3</w:t>
            </w:r>
            <w:r w:rsidRPr="00A608C5">
              <w:rPr>
                <w:rFonts w:ascii="Times New Roman" w:hAnsi="Times New Roman" w:cs="Times New Roman"/>
              </w:rPr>
              <w:t>;</w:t>
            </w:r>
          </w:p>
          <w:p w14:paraId="007F3064" w14:textId="77777777" w:rsidR="00A608C5" w:rsidRPr="00A608C5" w:rsidRDefault="00A608C5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proofErr w:type="spellStart"/>
            <w:r w:rsidRPr="00A608C5">
              <w:rPr>
                <w:rFonts w:ascii="Times New Roman" w:hAnsi="Times New Roman" w:cs="Times New Roman"/>
              </w:rPr>
              <w:t>LVESV</w:t>
            </w:r>
            <w:r w:rsidRPr="00A608C5">
              <w:rPr>
                <w:rFonts w:ascii="Times New Roman" w:hAnsi="Times New Roman" w:cs="Times New Roman"/>
                <w:vertAlign w:val="subscript"/>
              </w:rPr>
              <w:t>ex</w:t>
            </w:r>
            <w:proofErr w:type="spellEnd"/>
            <w:r w:rsidRPr="00A608C5">
              <w:rPr>
                <w:rFonts w:ascii="Times New Roman" w:hAnsi="Times New Roman" w:cs="Times New Roman"/>
              </w:rPr>
              <w:t>: 41 ± 17 cm</w:t>
            </w:r>
            <w:r w:rsidRPr="00A608C5">
              <w:rPr>
                <w:rFonts w:ascii="Times New Roman" w:hAnsi="Times New Roman" w:cs="Times New Roman"/>
                <w:vertAlign w:val="superscript"/>
              </w:rPr>
              <w:t>3</w:t>
            </w:r>
            <w:r w:rsidRPr="00A608C5">
              <w:rPr>
                <w:rFonts w:ascii="Times New Roman" w:hAnsi="Times New Roman" w:cs="Times New Roman"/>
              </w:rPr>
              <w:t>;</w:t>
            </w:r>
          </w:p>
          <w:p w14:paraId="2A701025" w14:textId="77777777" w:rsidR="00A608C5" w:rsidRPr="00A608C5" w:rsidRDefault="00A608C5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proofErr w:type="spellStart"/>
            <w:r w:rsidRPr="00A608C5">
              <w:rPr>
                <w:rFonts w:ascii="Times New Roman" w:hAnsi="Times New Roman" w:cs="Times New Roman"/>
              </w:rPr>
              <w:t>LVESVi</w:t>
            </w:r>
            <w:r w:rsidRPr="00A608C5">
              <w:rPr>
                <w:rFonts w:ascii="Times New Roman" w:hAnsi="Times New Roman" w:cs="Times New Roman"/>
                <w:vertAlign w:val="subscript"/>
              </w:rPr>
              <w:t>ex</w:t>
            </w:r>
            <w:proofErr w:type="spellEnd"/>
            <w:r w:rsidRPr="00A608C5">
              <w:rPr>
                <w:rFonts w:ascii="Times New Roman" w:hAnsi="Times New Roman" w:cs="Times New Roman"/>
              </w:rPr>
              <w:t>: 21 ± 9 cm</w:t>
            </w:r>
            <w:r w:rsidRPr="0059525F">
              <w:rPr>
                <w:rFonts w:ascii="Times New Roman" w:hAnsi="Times New Roman" w:cs="Times New Roman"/>
                <w:vertAlign w:val="superscript"/>
              </w:rPr>
              <w:t>3</w:t>
            </w:r>
            <w:r w:rsidRPr="00A608C5">
              <w:rPr>
                <w:rFonts w:ascii="Times New Roman" w:hAnsi="Times New Roman" w:cs="Times New Roman"/>
              </w:rPr>
              <w:t>;</w:t>
            </w:r>
          </w:p>
          <w:p w14:paraId="28282E8A" w14:textId="77777777" w:rsidR="00A608C5" w:rsidRPr="00A608C5" w:rsidRDefault="00A608C5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proofErr w:type="spellStart"/>
            <w:r w:rsidRPr="00A608C5">
              <w:rPr>
                <w:rFonts w:ascii="Times New Roman" w:hAnsi="Times New Roman" w:cs="Times New Roman"/>
              </w:rPr>
              <w:t>LVEF</w:t>
            </w:r>
            <w:r w:rsidRPr="00A608C5">
              <w:rPr>
                <w:rFonts w:ascii="Times New Roman" w:hAnsi="Times New Roman" w:cs="Times New Roman"/>
                <w:vertAlign w:val="subscript"/>
              </w:rPr>
              <w:t>ex</w:t>
            </w:r>
            <w:proofErr w:type="spellEnd"/>
            <w:r w:rsidRPr="00A608C5">
              <w:rPr>
                <w:rFonts w:ascii="Times New Roman" w:hAnsi="Times New Roman" w:cs="Times New Roman"/>
              </w:rPr>
              <w:t xml:space="preserve">: 70 ± </w:t>
            </w:r>
            <w:r w:rsidRPr="00A608C5">
              <w:rPr>
                <w:rFonts w:ascii="Times New Roman" w:hAnsi="Times New Roman" w:cs="Times New Roman"/>
              </w:rPr>
              <w:lastRenderedPageBreak/>
              <w:t>12%</w:t>
            </w:r>
          </w:p>
          <w:p w14:paraId="288E33F8" w14:textId="77777777" w:rsidR="00A608C5" w:rsidRPr="00A608C5" w:rsidRDefault="00A608C5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proofErr w:type="spellStart"/>
            <w:r w:rsidRPr="00A608C5">
              <w:rPr>
                <w:rFonts w:ascii="Times New Roman" w:hAnsi="Times New Roman" w:cs="Times New Roman"/>
              </w:rPr>
              <w:t>LVEDV</w:t>
            </w:r>
            <w:r w:rsidRPr="00A608C5">
              <w:rPr>
                <w:rFonts w:ascii="Times New Roman" w:hAnsi="Times New Roman" w:cs="Times New Roman"/>
                <w:vertAlign w:val="subscript"/>
              </w:rPr>
              <w:t>rest</w:t>
            </w:r>
            <w:proofErr w:type="spellEnd"/>
            <w:r w:rsidRPr="00A608C5">
              <w:rPr>
                <w:rFonts w:ascii="Times New Roman" w:hAnsi="Times New Roman" w:cs="Times New Roman"/>
              </w:rPr>
              <w:t>: 145 ± 39 cm</w:t>
            </w:r>
            <w:r w:rsidRPr="00A608C5">
              <w:rPr>
                <w:rFonts w:ascii="Times New Roman" w:hAnsi="Times New Roman" w:cs="Times New Roman"/>
                <w:vertAlign w:val="superscript"/>
              </w:rPr>
              <w:t>3</w:t>
            </w:r>
            <w:r w:rsidRPr="00A608C5">
              <w:rPr>
                <w:rFonts w:ascii="Times New Roman" w:hAnsi="Times New Roman" w:cs="Times New Roman"/>
              </w:rPr>
              <w:t>;</w:t>
            </w:r>
          </w:p>
          <w:p w14:paraId="726C8C64" w14:textId="77777777" w:rsidR="00A608C5" w:rsidRPr="00A608C5" w:rsidRDefault="00A608C5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proofErr w:type="spellStart"/>
            <w:r w:rsidRPr="00A608C5">
              <w:rPr>
                <w:rFonts w:ascii="Times New Roman" w:hAnsi="Times New Roman" w:cs="Times New Roman"/>
              </w:rPr>
              <w:t>LVESV</w:t>
            </w:r>
            <w:r w:rsidRPr="00A608C5">
              <w:rPr>
                <w:rFonts w:ascii="Times New Roman" w:hAnsi="Times New Roman" w:cs="Times New Roman"/>
                <w:vertAlign w:val="subscript"/>
              </w:rPr>
              <w:t>rest</w:t>
            </w:r>
            <w:proofErr w:type="spellEnd"/>
            <w:r w:rsidRPr="00A608C5">
              <w:rPr>
                <w:rFonts w:ascii="Times New Roman" w:hAnsi="Times New Roman" w:cs="Times New Roman"/>
              </w:rPr>
              <w:t>: 52 ± 20 cm</w:t>
            </w:r>
            <w:r w:rsidRPr="00A608C5">
              <w:rPr>
                <w:rFonts w:ascii="Times New Roman" w:hAnsi="Times New Roman" w:cs="Times New Roman"/>
                <w:vertAlign w:val="superscript"/>
              </w:rPr>
              <w:t>3</w:t>
            </w:r>
            <w:r w:rsidRPr="00A608C5">
              <w:rPr>
                <w:rFonts w:ascii="Times New Roman" w:hAnsi="Times New Roman" w:cs="Times New Roman"/>
              </w:rPr>
              <w:t>;</w:t>
            </w:r>
          </w:p>
          <w:p w14:paraId="4952D1F9" w14:textId="77777777" w:rsidR="00A608C5" w:rsidRPr="00A608C5" w:rsidRDefault="00A608C5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608C5">
              <w:rPr>
                <w:rFonts w:ascii="Times New Roman" w:hAnsi="Times New Roman" w:cs="Times New Roman"/>
              </w:rPr>
              <w:t>LVESVi</w:t>
            </w:r>
            <w:r w:rsidRPr="00A608C5">
              <w:rPr>
                <w:rFonts w:ascii="Times New Roman" w:hAnsi="Times New Roman" w:cs="Times New Roman"/>
                <w:vertAlign w:val="subscript"/>
              </w:rPr>
              <w:t>rest</w:t>
            </w:r>
            <w:r w:rsidRPr="00A608C5">
              <w:rPr>
                <w:rFonts w:ascii="Times New Roman" w:hAnsi="Times New Roman" w:cs="Times New Roman"/>
              </w:rPr>
              <w:t>: 27 ± 10 cm</w:t>
            </w:r>
            <w:r w:rsidRPr="00A608C5">
              <w:rPr>
                <w:rFonts w:ascii="Times New Roman" w:hAnsi="Times New Roman" w:cs="Times New Roman"/>
                <w:vertAlign w:val="superscript"/>
              </w:rPr>
              <w:t>3</w:t>
            </w:r>
            <w:r w:rsidRPr="00A608C5">
              <w:rPr>
                <w:rFonts w:ascii="Times New Roman" w:hAnsi="Times New Roman" w:cs="Times New Roman"/>
              </w:rPr>
              <w:t>;</w:t>
            </w:r>
          </w:p>
          <w:p w14:paraId="094E266F" w14:textId="77777777" w:rsidR="00A608C5" w:rsidRPr="00A608C5" w:rsidRDefault="00A608C5" w:rsidP="004D5406">
            <w:pPr>
              <w:pStyle w:val="Tablebody"/>
              <w:rPr>
                <w:rFonts w:ascii="Times New Roman" w:hAnsi="Times New Roman" w:cs="Times New Roman"/>
              </w:rPr>
            </w:pPr>
            <w:proofErr w:type="spellStart"/>
            <w:r w:rsidRPr="00A608C5">
              <w:rPr>
                <w:rFonts w:ascii="Times New Roman" w:hAnsi="Times New Roman" w:cs="Times New Roman"/>
              </w:rPr>
              <w:t>LVEF</w:t>
            </w:r>
            <w:r w:rsidRPr="00A608C5">
              <w:rPr>
                <w:rFonts w:ascii="Times New Roman" w:hAnsi="Times New Roman" w:cs="Times New Roman"/>
                <w:vertAlign w:val="subscript"/>
              </w:rPr>
              <w:t>rest</w:t>
            </w:r>
            <w:proofErr w:type="spellEnd"/>
            <w:r w:rsidRPr="00A608C5">
              <w:rPr>
                <w:rFonts w:ascii="Times New Roman" w:hAnsi="Times New Roman" w:cs="Times New Roman"/>
              </w:rPr>
              <w:t>: 64 ± 9%</w:t>
            </w:r>
          </w:p>
        </w:tc>
        <w:tc>
          <w:tcPr>
            <w:tcW w:w="413" w:type="pct"/>
            <w:shd w:val="clear" w:color="auto" w:fill="FFE599"/>
            <w:hideMark/>
          </w:tcPr>
          <w:p w14:paraId="16253629" w14:textId="77777777" w:rsidR="00A608C5" w:rsidRPr="00A608C5" w:rsidRDefault="00A608C5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lastRenderedPageBreak/>
              <w:t>LVEF &lt;50%</w:t>
            </w:r>
          </w:p>
        </w:tc>
        <w:tc>
          <w:tcPr>
            <w:tcW w:w="256" w:type="pct"/>
            <w:shd w:val="clear" w:color="auto" w:fill="FFE599"/>
            <w:hideMark/>
          </w:tcPr>
          <w:p w14:paraId="2C9B8176" w14:textId="77777777" w:rsidR="00A608C5" w:rsidRPr="00A608C5" w:rsidRDefault="00A608C5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8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±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14 days</w:t>
            </w:r>
          </w:p>
        </w:tc>
        <w:tc>
          <w:tcPr>
            <w:tcW w:w="497" w:type="pct"/>
            <w:shd w:val="clear" w:color="auto" w:fill="FFE599"/>
            <w:hideMark/>
          </w:tcPr>
          <w:p w14:paraId="64C2590B" w14:textId="77777777" w:rsidR="00A608C5" w:rsidRPr="00A608C5" w:rsidRDefault="00A608C5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Smaller </w:t>
            </w:r>
            <w:proofErr w:type="spellStart"/>
            <w:r w:rsidRPr="00A608C5">
              <w:rPr>
                <w:rFonts w:ascii="Times New Roman" w:hAnsi="Times New Roman" w:cs="Times New Roman"/>
              </w:rPr>
              <w:t>LVEF</w:t>
            </w:r>
            <w:r w:rsidRPr="00A608C5">
              <w:rPr>
                <w:rFonts w:ascii="Times New Roman" w:hAnsi="Times New Roman" w:cs="Times New Roman"/>
                <w:vertAlign w:val="subscript"/>
              </w:rPr>
              <w:t>ex</w:t>
            </w:r>
            <w:proofErr w:type="spellEnd"/>
            <w:r w:rsidRPr="00A608C5">
              <w:rPr>
                <w:rFonts w:ascii="Times New Roman" w:hAnsi="Times New Roman" w:cs="Times New Roman"/>
              </w:rPr>
              <w:t xml:space="preserve"> (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 xml:space="preserve">0.03) and Larger </w:t>
            </w:r>
            <w:proofErr w:type="spellStart"/>
            <w:r w:rsidRPr="00A608C5">
              <w:rPr>
                <w:rFonts w:ascii="Times New Roman" w:hAnsi="Times New Roman" w:cs="Times New Roman"/>
              </w:rPr>
              <w:t>LVESVi</w:t>
            </w:r>
            <w:r w:rsidRPr="00A608C5">
              <w:rPr>
                <w:rFonts w:ascii="Times New Roman" w:hAnsi="Times New Roman" w:cs="Times New Roman"/>
                <w:vertAlign w:val="subscript"/>
              </w:rPr>
              <w:t>ex</w:t>
            </w:r>
            <w:proofErr w:type="spellEnd"/>
            <w:r w:rsidRPr="00A608C5">
              <w:rPr>
                <w:rFonts w:ascii="Times New Roman" w:hAnsi="Times New Roman" w:cs="Times New Roman"/>
              </w:rPr>
              <w:t xml:space="preserve"> (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 xml:space="preserve">0.003) on the multivariate linear regression model were associated with poorer </w:t>
            </w:r>
            <w:r w:rsidRPr="00A608C5">
              <w:rPr>
                <w:rFonts w:ascii="Times New Roman" w:hAnsi="Times New Roman" w:cs="Times New Roman"/>
              </w:rPr>
              <w:lastRenderedPageBreak/>
              <w:t xml:space="preserve">post-operative LVEF (multiple R = 0.78,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hAnsi="Times New Roman" w:cs="Times New Roman"/>
              </w:rPr>
              <w:t xml:space="preserve"> &lt; 0.0005) </w:t>
            </w:r>
          </w:p>
        </w:tc>
        <w:tc>
          <w:tcPr>
            <w:tcW w:w="410" w:type="pct"/>
            <w:shd w:val="clear" w:color="auto" w:fill="FFE599"/>
            <w:hideMark/>
          </w:tcPr>
          <w:p w14:paraId="0EDED849" w14:textId="77777777" w:rsidR="00A608C5" w:rsidRPr="00A608C5" w:rsidRDefault="00A608C5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proofErr w:type="spellStart"/>
            <w:r w:rsidRPr="00A608C5">
              <w:rPr>
                <w:rFonts w:ascii="Times New Roman" w:hAnsi="Times New Roman" w:cs="Times New Roman"/>
              </w:rPr>
              <w:lastRenderedPageBreak/>
              <w:t>LVESVi</w:t>
            </w:r>
            <w:r w:rsidRPr="00A608C5">
              <w:rPr>
                <w:rFonts w:ascii="Times New Roman" w:hAnsi="Times New Roman" w:cs="Times New Roman"/>
                <w:vertAlign w:val="subscript"/>
              </w:rPr>
              <w:t>ex</w:t>
            </w:r>
            <w:proofErr w:type="spellEnd"/>
            <w:r w:rsidRPr="00A608C5">
              <w:rPr>
                <w:rFonts w:ascii="Times New Roman" w:hAnsi="Times New Roman" w:cs="Times New Roman"/>
              </w:rPr>
              <w:t xml:space="preserve"> cut-off value 25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cm</w:t>
            </w:r>
            <w:r w:rsidRPr="00A608C5">
              <w:rPr>
                <w:rFonts w:ascii="Times New Roman" w:hAnsi="Times New Roman" w:cs="Times New Roman"/>
                <w:vertAlign w:val="superscript"/>
              </w:rPr>
              <w:t>3</w:t>
            </w:r>
            <w:r w:rsidRPr="00A608C5">
              <w:rPr>
                <w:rFonts w:ascii="Times New Roman" w:hAnsi="Times New Roman" w:cs="Times New Roman"/>
              </w:rPr>
              <w:t>/m</w:t>
            </w:r>
            <w:r w:rsidRPr="00A608C5">
              <w:rPr>
                <w:rFonts w:ascii="Times New Roman" w:hAnsi="Times New Roman" w:cs="Times New Roman"/>
                <w:vertAlign w:val="superscript"/>
              </w:rPr>
              <w:t>2</w:t>
            </w:r>
            <w:r w:rsidRPr="00A608C5">
              <w:rPr>
                <w:rFonts w:ascii="Times New Roman" w:hAnsi="Times New Roman" w:cs="Times New Roman"/>
              </w:rPr>
              <w:t xml:space="preserve"> to predict post-operative LV dysfunction with a sensitivity of 83% and specificity </w:t>
            </w:r>
            <w:r w:rsidRPr="00A608C5">
              <w:rPr>
                <w:rFonts w:ascii="Times New Roman" w:hAnsi="Times New Roman" w:cs="Times New Roman"/>
              </w:rPr>
              <w:lastRenderedPageBreak/>
              <w:t>of 83%.</w:t>
            </w:r>
          </w:p>
          <w:p w14:paraId="161C2178" w14:textId="77777777" w:rsidR="00A608C5" w:rsidRPr="00A608C5" w:rsidRDefault="00A608C5" w:rsidP="004D5406">
            <w:pPr>
              <w:pStyle w:val="Tablebody"/>
              <w:rPr>
                <w:rFonts w:ascii="Times New Roman" w:hAnsi="Times New Roman" w:cs="Times New Roman"/>
              </w:rPr>
            </w:pPr>
            <w:proofErr w:type="spellStart"/>
            <w:r w:rsidRPr="00A608C5">
              <w:rPr>
                <w:rFonts w:ascii="Times New Roman" w:hAnsi="Times New Roman" w:cs="Times New Roman"/>
              </w:rPr>
              <w:t>LVEF</w:t>
            </w:r>
            <w:r w:rsidRPr="00A608C5">
              <w:rPr>
                <w:rFonts w:ascii="Times New Roman" w:hAnsi="Times New Roman" w:cs="Times New Roman"/>
                <w:vertAlign w:val="subscript"/>
              </w:rPr>
              <w:t>ex</w:t>
            </w:r>
            <w:proofErr w:type="spellEnd"/>
            <w:r w:rsidRPr="00A608C5">
              <w:rPr>
                <w:rFonts w:ascii="Times New Roman" w:hAnsi="Times New Roman" w:cs="Times New Roman"/>
              </w:rPr>
              <w:t xml:space="preserve"> cut-off value 68% to predict post-operative LV dysfunction with a sensitivity of 80% and specificity of 81%.</w:t>
            </w:r>
          </w:p>
        </w:tc>
      </w:tr>
      <w:tr w:rsidR="00A608C5" w:rsidRPr="00A608C5" w14:paraId="794A8037" w14:textId="77777777" w:rsidTr="004D5406">
        <w:trPr>
          <w:trHeight w:val="1110"/>
          <w:jc w:val="center"/>
        </w:trPr>
        <w:tc>
          <w:tcPr>
            <w:tcW w:w="394" w:type="pct"/>
            <w:hideMark/>
          </w:tcPr>
          <w:p w14:paraId="42E6FD1B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Lee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[99]</w:t>
            </w:r>
            <w:r w:rsidRPr="00A608C5">
              <w:rPr>
                <w:rFonts w:ascii="Times New Roman" w:eastAsia="等线" w:hAnsi="Times New Roman" w:cs="Times New Roman"/>
              </w:rPr>
              <w:t xml:space="preserve">, 2005,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Heart</w:t>
            </w:r>
          </w:p>
        </w:tc>
        <w:tc>
          <w:tcPr>
            <w:tcW w:w="346" w:type="pct"/>
            <w:hideMark/>
          </w:tcPr>
          <w:p w14:paraId="3288DE62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71</w:t>
            </w:r>
          </w:p>
        </w:tc>
        <w:tc>
          <w:tcPr>
            <w:tcW w:w="168" w:type="pct"/>
            <w:hideMark/>
          </w:tcPr>
          <w:p w14:paraId="47C82CD1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61 ± 3</w:t>
            </w:r>
          </w:p>
        </w:tc>
        <w:tc>
          <w:tcPr>
            <w:tcW w:w="243" w:type="pct"/>
            <w:hideMark/>
          </w:tcPr>
          <w:p w14:paraId="656C383F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32</w:t>
            </w:r>
          </w:p>
        </w:tc>
        <w:tc>
          <w:tcPr>
            <w:tcW w:w="562" w:type="pct"/>
            <w:hideMark/>
          </w:tcPr>
          <w:p w14:paraId="03B6BF6D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severe/asymptomatic</w:t>
            </w:r>
          </w:p>
        </w:tc>
        <w:tc>
          <w:tcPr>
            <w:tcW w:w="355" w:type="pct"/>
            <w:hideMark/>
          </w:tcPr>
          <w:p w14:paraId="14DA79B7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75.0%, replacement 25.0%)</w:t>
            </w:r>
          </w:p>
        </w:tc>
        <w:tc>
          <w:tcPr>
            <w:tcW w:w="649" w:type="pct"/>
            <w:hideMark/>
          </w:tcPr>
          <w:p w14:paraId="1C7C0F0A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Interobserver: CV 4% (rest), 2% (exercise);</w:t>
            </w:r>
          </w:p>
          <w:p w14:paraId="5E59B6E4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NA</w:t>
            </w:r>
          </w:p>
        </w:tc>
        <w:tc>
          <w:tcPr>
            <w:tcW w:w="361" w:type="pct"/>
            <w:hideMark/>
          </w:tcPr>
          <w:p w14:paraId="32CA34E0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64 ± 7</w:t>
            </w:r>
          </w:p>
        </w:tc>
        <w:tc>
          <w:tcPr>
            <w:tcW w:w="347" w:type="pct"/>
            <w:hideMark/>
          </w:tcPr>
          <w:p w14:paraId="125B4C5F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Δ LVEF: 3.4 ± 8.7%</w:t>
            </w:r>
          </w:p>
        </w:tc>
        <w:tc>
          <w:tcPr>
            <w:tcW w:w="413" w:type="pct"/>
            <w:shd w:val="clear" w:color="auto" w:fill="FFE599"/>
            <w:hideMark/>
          </w:tcPr>
          <w:p w14:paraId="538D8791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LVEF &lt;50%</w:t>
            </w:r>
          </w:p>
        </w:tc>
        <w:tc>
          <w:tcPr>
            <w:tcW w:w="256" w:type="pct"/>
            <w:shd w:val="clear" w:color="auto" w:fill="FFE599"/>
            <w:hideMark/>
          </w:tcPr>
          <w:p w14:paraId="7796A236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 ± 1 years</w:t>
            </w:r>
          </w:p>
        </w:tc>
        <w:tc>
          <w:tcPr>
            <w:tcW w:w="497" w:type="pct"/>
            <w:shd w:val="clear" w:color="auto" w:fill="FFE599"/>
            <w:hideMark/>
          </w:tcPr>
          <w:p w14:paraId="68D9D7F8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For the subgroup after mitral surgery: </w:t>
            </w:r>
            <w:r w:rsidRPr="00A608C5">
              <w:rPr>
                <w:rFonts w:ascii="Times New Roman" w:eastAsia="等线" w:hAnsi="Times New Roman" w:cs="Times New Roman"/>
              </w:rPr>
              <w:br/>
              <w:t>Lower Δ LVEF on multivariate linear regression model was associated with poorer post-operative LVEF (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0.006). </w:t>
            </w:r>
          </w:p>
        </w:tc>
        <w:tc>
          <w:tcPr>
            <w:tcW w:w="410" w:type="pct"/>
            <w:shd w:val="clear" w:color="auto" w:fill="FFE599"/>
            <w:hideMark/>
          </w:tcPr>
          <w:p w14:paraId="083F23BB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</w:tr>
      <w:tr w:rsidR="00A608C5" w:rsidRPr="00A608C5" w14:paraId="4A4A079E" w14:textId="77777777" w:rsidTr="004D5406">
        <w:trPr>
          <w:trHeight w:val="1665"/>
          <w:jc w:val="center"/>
        </w:trPr>
        <w:tc>
          <w:tcPr>
            <w:tcW w:w="394" w:type="pct"/>
            <w:hideMark/>
          </w:tcPr>
          <w:p w14:paraId="3A25C288" w14:textId="77777777" w:rsidR="00A608C5" w:rsidRPr="00A608C5" w:rsidRDefault="00A608C5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lastRenderedPageBreak/>
              <w:t xml:space="preserve">Lancellotti </w:t>
            </w:r>
            <w:r w:rsidRPr="00A608C5">
              <w:rPr>
                <w:rFonts w:ascii="Times New Roman" w:hAnsi="Times New Roman" w:cs="Times New Roman"/>
                <w:i/>
              </w:rPr>
              <w:t>et al.</w:t>
            </w:r>
            <w:r w:rsidRPr="00A608C5">
              <w:rPr>
                <w:rFonts w:ascii="Times New Roman" w:hAnsi="Times New Roman" w:cs="Times New Roman"/>
              </w:rPr>
              <w:t xml:space="preserve"> </w:t>
            </w:r>
            <w:r w:rsidRPr="00A608C5">
              <w:rPr>
                <w:rFonts w:ascii="Times New Roman" w:hAnsi="Times New Roman" w:cs="Times New Roman"/>
                <w:noProof/>
              </w:rPr>
              <w:t>[95]</w:t>
            </w:r>
            <w:r w:rsidRPr="00A608C5">
              <w:rPr>
                <w:rFonts w:ascii="Times New Roman" w:hAnsi="Times New Roman" w:cs="Times New Roman"/>
              </w:rPr>
              <w:t xml:space="preserve">, 2008, </w:t>
            </w:r>
            <w:r w:rsidRPr="00A608C5">
              <w:rPr>
                <w:rFonts w:ascii="Times New Roman" w:hAnsi="Times New Roman" w:cs="Times New Roman"/>
                <w:i/>
                <w:iCs/>
              </w:rPr>
              <w:t xml:space="preserve">J Am Soc </w:t>
            </w:r>
            <w:proofErr w:type="spellStart"/>
            <w:r w:rsidRPr="00A608C5">
              <w:rPr>
                <w:rFonts w:ascii="Times New Roman" w:hAnsi="Times New Roman" w:cs="Times New Roman"/>
                <w:i/>
                <w:iCs/>
              </w:rPr>
              <w:t>Echocardiogr</w:t>
            </w:r>
            <w:proofErr w:type="spellEnd"/>
          </w:p>
        </w:tc>
        <w:tc>
          <w:tcPr>
            <w:tcW w:w="346" w:type="pct"/>
            <w:hideMark/>
          </w:tcPr>
          <w:p w14:paraId="55A49B52" w14:textId="77777777" w:rsidR="00A608C5" w:rsidRPr="00A608C5" w:rsidRDefault="00A608C5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68" w:type="pct"/>
            <w:hideMark/>
          </w:tcPr>
          <w:p w14:paraId="26E7704F" w14:textId="77777777" w:rsidR="00A608C5" w:rsidRPr="00A608C5" w:rsidRDefault="00A608C5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64 ± 13</w:t>
            </w:r>
          </w:p>
        </w:tc>
        <w:tc>
          <w:tcPr>
            <w:tcW w:w="243" w:type="pct"/>
            <w:hideMark/>
          </w:tcPr>
          <w:p w14:paraId="17CC402C" w14:textId="77777777" w:rsidR="00A608C5" w:rsidRPr="00A608C5" w:rsidRDefault="00A608C5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562" w:type="pct"/>
            <w:hideMark/>
          </w:tcPr>
          <w:p w14:paraId="11C697AD" w14:textId="77777777" w:rsidR="00A608C5" w:rsidRPr="00A608C5" w:rsidRDefault="00A608C5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severe/asymptomatic</w:t>
            </w:r>
          </w:p>
        </w:tc>
        <w:tc>
          <w:tcPr>
            <w:tcW w:w="355" w:type="pct"/>
            <w:hideMark/>
          </w:tcPr>
          <w:p w14:paraId="0AB58A76" w14:textId="77777777" w:rsidR="00A608C5" w:rsidRPr="00A608C5" w:rsidRDefault="00A608C5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surgery (repair 76.7%, replacement 23.3%)</w:t>
            </w:r>
          </w:p>
        </w:tc>
        <w:tc>
          <w:tcPr>
            <w:tcW w:w="649" w:type="pct"/>
            <w:hideMark/>
          </w:tcPr>
          <w:p w14:paraId="718D96B3" w14:textId="77777777" w:rsidR="00A608C5" w:rsidRPr="00A608C5" w:rsidRDefault="00A608C5" w:rsidP="004D5406">
            <w:pPr>
              <w:pStyle w:val="Tablebody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A608C5">
              <w:rPr>
                <w:rFonts w:ascii="Times New Roman" w:hAnsi="Times New Roman" w:cs="Times New Roman"/>
              </w:rPr>
              <w:t>Interobserver: ICC 0.86 (rest), 0.91 (exercise);</w:t>
            </w:r>
          </w:p>
          <w:p w14:paraId="5FDB35F4" w14:textId="77777777" w:rsidR="00A608C5" w:rsidRPr="00A608C5" w:rsidRDefault="00A608C5" w:rsidP="004D5406">
            <w:pPr>
              <w:pStyle w:val="Tablebody"/>
              <w:rPr>
                <w:rFonts w:ascii="Times New Roman" w:hAnsi="Times New Roman" w:cs="Times New Roman"/>
              </w:rPr>
            </w:pPr>
            <w:proofErr w:type="spellStart"/>
            <w:r w:rsidRPr="00A608C5">
              <w:rPr>
                <w:rFonts w:ascii="Times New Roman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hAnsi="Times New Roman" w:cs="Times New Roman"/>
              </w:rPr>
              <w:t>: ICC 0.89 (rest), 0.87 (exercise)</w:t>
            </w:r>
          </w:p>
        </w:tc>
        <w:tc>
          <w:tcPr>
            <w:tcW w:w="361" w:type="pct"/>
            <w:hideMark/>
          </w:tcPr>
          <w:p w14:paraId="77B1C540" w14:textId="77777777" w:rsidR="00A608C5" w:rsidRPr="00A608C5" w:rsidRDefault="00A608C5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67 ± 6</w:t>
            </w:r>
          </w:p>
        </w:tc>
        <w:tc>
          <w:tcPr>
            <w:tcW w:w="347" w:type="pct"/>
            <w:hideMark/>
          </w:tcPr>
          <w:p w14:paraId="79E932DD" w14:textId="77777777" w:rsidR="00A608C5" w:rsidRPr="00A608C5" w:rsidRDefault="00A608C5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Δ LV GLS: 1.7 ± 4.4%</w:t>
            </w:r>
          </w:p>
        </w:tc>
        <w:tc>
          <w:tcPr>
            <w:tcW w:w="413" w:type="pct"/>
            <w:shd w:val="clear" w:color="auto" w:fill="FFE599"/>
            <w:hideMark/>
          </w:tcPr>
          <w:p w14:paraId="025149FD" w14:textId="77777777" w:rsidR="00A608C5" w:rsidRPr="00A608C5" w:rsidRDefault="00A608C5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LVEF &lt;50%</w:t>
            </w:r>
          </w:p>
        </w:tc>
        <w:tc>
          <w:tcPr>
            <w:tcW w:w="256" w:type="pct"/>
            <w:shd w:val="clear" w:color="auto" w:fill="FFE599"/>
            <w:hideMark/>
          </w:tcPr>
          <w:p w14:paraId="03903293" w14:textId="77777777" w:rsidR="00A608C5" w:rsidRPr="00A608C5" w:rsidRDefault="00A608C5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13 ± 8.8 months (1.1 ± 0.7 years)</w:t>
            </w:r>
          </w:p>
        </w:tc>
        <w:tc>
          <w:tcPr>
            <w:tcW w:w="497" w:type="pct"/>
            <w:shd w:val="clear" w:color="auto" w:fill="FFE599"/>
            <w:hideMark/>
          </w:tcPr>
          <w:p w14:paraId="4DF0E5B4" w14:textId="77777777" w:rsidR="00A608C5" w:rsidRPr="00A608C5" w:rsidRDefault="00A608C5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>Lower Δ LV GLS on multivariate linear regression model was associated with poorer post-operative LVEF (</w:t>
            </w:r>
            <w:r w:rsidRPr="00A608C5">
              <w:rPr>
                <w:rFonts w:ascii="Times New Roman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>=</w:t>
            </w:r>
            <w:r w:rsidRPr="00A608C5">
              <w:rPr>
                <w:rFonts w:ascii="Times New Roman" w:eastAsiaTheme="minorEastAsia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hAnsi="Times New Roman" w:cs="Times New Roman"/>
              </w:rPr>
              <w:t xml:space="preserve">0.001). </w:t>
            </w:r>
          </w:p>
        </w:tc>
        <w:tc>
          <w:tcPr>
            <w:tcW w:w="410" w:type="pct"/>
            <w:shd w:val="clear" w:color="auto" w:fill="FFE599"/>
            <w:hideMark/>
          </w:tcPr>
          <w:p w14:paraId="2DA912FC" w14:textId="77777777" w:rsidR="00A608C5" w:rsidRPr="00A608C5" w:rsidRDefault="00A608C5" w:rsidP="004D5406">
            <w:pPr>
              <w:pStyle w:val="Tablebody"/>
              <w:rPr>
                <w:rFonts w:ascii="Times New Roman" w:hAnsi="Times New Roman" w:cs="Times New Roman"/>
              </w:rPr>
            </w:pPr>
            <w:r w:rsidRPr="00A608C5">
              <w:rPr>
                <w:rFonts w:ascii="Times New Roman" w:hAnsi="Times New Roman" w:cs="Times New Roman"/>
              </w:rPr>
              <w:t xml:space="preserve">Δ LV GLS cut-off value 1.9% to predict post-operative LV dysfunction with a sensitivity of 92.3% and specificity of 70.6%. </w:t>
            </w:r>
          </w:p>
        </w:tc>
      </w:tr>
      <w:tr w:rsidR="00A608C5" w:rsidRPr="00A608C5" w14:paraId="068E29A7" w14:textId="77777777" w:rsidTr="004D5406">
        <w:trPr>
          <w:trHeight w:val="1433"/>
          <w:jc w:val="center"/>
        </w:trPr>
        <w:tc>
          <w:tcPr>
            <w:tcW w:w="394" w:type="pct"/>
            <w:hideMark/>
          </w:tcPr>
          <w:p w14:paraId="15130979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Donal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[86]</w:t>
            </w:r>
            <w:r w:rsidRPr="00A608C5">
              <w:rPr>
                <w:rFonts w:ascii="Times New Roman" w:eastAsia="等线" w:hAnsi="Times New Roman" w:cs="Times New Roman"/>
              </w:rPr>
              <w:t xml:space="preserve">, 2012,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Eur Heart J Cardiovasc Imaging</w:t>
            </w:r>
          </w:p>
        </w:tc>
        <w:tc>
          <w:tcPr>
            <w:tcW w:w="346" w:type="pct"/>
            <w:hideMark/>
          </w:tcPr>
          <w:p w14:paraId="165F2EF7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77</w:t>
            </w:r>
          </w:p>
        </w:tc>
        <w:tc>
          <w:tcPr>
            <w:tcW w:w="168" w:type="pct"/>
            <w:hideMark/>
          </w:tcPr>
          <w:p w14:paraId="5C99828F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63 ± 16</w:t>
            </w:r>
          </w:p>
        </w:tc>
        <w:tc>
          <w:tcPr>
            <w:tcW w:w="243" w:type="pct"/>
            <w:hideMark/>
          </w:tcPr>
          <w:p w14:paraId="08329712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33</w:t>
            </w:r>
          </w:p>
        </w:tc>
        <w:tc>
          <w:tcPr>
            <w:tcW w:w="562" w:type="pct"/>
            <w:hideMark/>
          </w:tcPr>
          <w:p w14:paraId="17DA4F54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severe/asymptomatic</w:t>
            </w:r>
          </w:p>
        </w:tc>
        <w:tc>
          <w:tcPr>
            <w:tcW w:w="355" w:type="pct"/>
            <w:hideMark/>
          </w:tcPr>
          <w:p w14:paraId="2D220F6D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87.5%, replacement 12.5%)</w:t>
            </w:r>
          </w:p>
        </w:tc>
        <w:tc>
          <w:tcPr>
            <w:tcW w:w="649" w:type="pct"/>
            <w:hideMark/>
          </w:tcPr>
          <w:p w14:paraId="0EB68E22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Interobserver: CV 13.5% (rest), 6.1% (exercise);</w:t>
            </w:r>
          </w:p>
          <w:p w14:paraId="0C777769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Intraobserver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NA</w:t>
            </w:r>
          </w:p>
        </w:tc>
        <w:tc>
          <w:tcPr>
            <w:tcW w:w="361" w:type="pct"/>
            <w:hideMark/>
          </w:tcPr>
          <w:p w14:paraId="5E2CAE71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67 ± 12</w:t>
            </w:r>
          </w:p>
        </w:tc>
        <w:tc>
          <w:tcPr>
            <w:tcW w:w="347" w:type="pct"/>
            <w:hideMark/>
          </w:tcPr>
          <w:p w14:paraId="732D00D6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LV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GLS</w:t>
            </w:r>
            <w:r w:rsidRPr="00A608C5">
              <w:rPr>
                <w:rFonts w:ascii="Times New Roman" w:eastAsia="等线" w:hAnsi="Times New Roman" w:cs="Times New Roman"/>
                <w:vertAlign w:val="subscript"/>
              </w:rPr>
              <w:t>ex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21 ± 6%</w:t>
            </w:r>
          </w:p>
        </w:tc>
        <w:tc>
          <w:tcPr>
            <w:tcW w:w="413" w:type="pct"/>
            <w:shd w:val="clear" w:color="auto" w:fill="FFE599"/>
            <w:hideMark/>
          </w:tcPr>
          <w:p w14:paraId="2085FF24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LVEF &lt;50%</w:t>
            </w:r>
          </w:p>
        </w:tc>
        <w:tc>
          <w:tcPr>
            <w:tcW w:w="256" w:type="pct"/>
            <w:shd w:val="clear" w:color="auto" w:fill="FFE599"/>
            <w:hideMark/>
          </w:tcPr>
          <w:p w14:paraId="4F99C30C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 ± 1 months</w:t>
            </w:r>
          </w:p>
        </w:tc>
        <w:tc>
          <w:tcPr>
            <w:tcW w:w="497" w:type="pct"/>
            <w:shd w:val="clear" w:color="auto" w:fill="FFE599"/>
            <w:hideMark/>
          </w:tcPr>
          <w:p w14:paraId="58DC7B53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Worse LV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GLS</w:t>
            </w:r>
            <w:r w:rsidRPr="00A608C5">
              <w:rPr>
                <w:rFonts w:ascii="Times New Roman" w:eastAsia="等线" w:hAnsi="Times New Roman" w:cs="Times New Roman"/>
                <w:vertAlign w:val="subscript"/>
              </w:rPr>
              <w:t>ex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normalized for LVESD on a multivariate linear regression model was associated with poorer post-operative LVEF (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=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0.019). </w:t>
            </w:r>
          </w:p>
        </w:tc>
        <w:tc>
          <w:tcPr>
            <w:tcW w:w="410" w:type="pct"/>
            <w:shd w:val="clear" w:color="auto" w:fill="FFE599"/>
            <w:hideMark/>
          </w:tcPr>
          <w:p w14:paraId="1D74026F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LVGLS</w:t>
            </w:r>
            <w:r w:rsidRPr="00A608C5">
              <w:rPr>
                <w:rFonts w:ascii="Times New Roman" w:eastAsia="等线" w:hAnsi="Times New Roman" w:cs="Times New Roman"/>
                <w:vertAlign w:val="subscript"/>
              </w:rPr>
              <w:t>ex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normalized for LVESD cut-off value </w:t>
            </w: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5.7%/cm to predict post-operative LV dysfunction with a sensitivity of 83% and specificity of 70%. </w:t>
            </w:r>
          </w:p>
        </w:tc>
      </w:tr>
      <w:tr w:rsidR="00A608C5" w:rsidRPr="00A608C5" w14:paraId="0C2EC7A6" w14:textId="77777777" w:rsidTr="004D5406">
        <w:trPr>
          <w:trHeight w:val="2550"/>
          <w:jc w:val="center"/>
        </w:trPr>
        <w:tc>
          <w:tcPr>
            <w:tcW w:w="394" w:type="pct"/>
            <w:hideMark/>
          </w:tcPr>
          <w:p w14:paraId="16E0B088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Magne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[94]</w:t>
            </w:r>
            <w:r w:rsidRPr="00A608C5">
              <w:rPr>
                <w:rFonts w:ascii="Times New Roman" w:eastAsia="等线" w:hAnsi="Times New Roman" w:cs="Times New Roman"/>
              </w:rPr>
              <w:t xml:space="preserve">, 2015,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Heart</w:t>
            </w:r>
          </w:p>
        </w:tc>
        <w:tc>
          <w:tcPr>
            <w:tcW w:w="346" w:type="pct"/>
            <w:hideMark/>
          </w:tcPr>
          <w:p w14:paraId="44E1021C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102</w:t>
            </w:r>
          </w:p>
        </w:tc>
        <w:tc>
          <w:tcPr>
            <w:tcW w:w="168" w:type="pct"/>
            <w:hideMark/>
          </w:tcPr>
          <w:p w14:paraId="071AC890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64 ± 12</w:t>
            </w:r>
          </w:p>
        </w:tc>
        <w:tc>
          <w:tcPr>
            <w:tcW w:w="243" w:type="pct"/>
            <w:hideMark/>
          </w:tcPr>
          <w:p w14:paraId="298CEE5E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32</w:t>
            </w:r>
          </w:p>
        </w:tc>
        <w:tc>
          <w:tcPr>
            <w:tcW w:w="562" w:type="pct"/>
            <w:hideMark/>
          </w:tcPr>
          <w:p w14:paraId="1EA14C84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moderate to severe/asymptomatic or mildly symptomatic</w:t>
            </w:r>
          </w:p>
        </w:tc>
        <w:tc>
          <w:tcPr>
            <w:tcW w:w="355" w:type="pct"/>
            <w:hideMark/>
          </w:tcPr>
          <w:p w14:paraId="2D01188E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78%, replacement 22%)</w:t>
            </w:r>
          </w:p>
        </w:tc>
        <w:tc>
          <w:tcPr>
            <w:tcW w:w="649" w:type="pct"/>
            <w:hideMark/>
          </w:tcPr>
          <w:p w14:paraId="1E17C6B2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361" w:type="pct"/>
            <w:hideMark/>
          </w:tcPr>
          <w:p w14:paraId="112E5C9B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71 (66, 76)</w:t>
            </w:r>
          </w:p>
        </w:tc>
        <w:tc>
          <w:tcPr>
            <w:tcW w:w="347" w:type="pct"/>
            <w:hideMark/>
          </w:tcPr>
          <w:p w14:paraId="3AA353CA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SPAP</w:t>
            </w:r>
            <w:r w:rsidRPr="00A608C5">
              <w:rPr>
                <w:rFonts w:ascii="Times New Roman" w:eastAsia="等线" w:hAnsi="Times New Roman" w:cs="Times New Roman"/>
                <w:vertAlign w:val="subscript"/>
              </w:rPr>
              <w:t>ex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(63 ± 18) mmHg;</w:t>
            </w:r>
          </w:p>
        </w:tc>
        <w:tc>
          <w:tcPr>
            <w:tcW w:w="413" w:type="pct"/>
            <w:shd w:val="clear" w:color="auto" w:fill="BDD6EE"/>
            <w:hideMark/>
          </w:tcPr>
          <w:p w14:paraId="26D2500A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Major adverse cardiovascular events (occurrence of atrial fibrillation, stroke, cardiac-related hospitalization or death)</w:t>
            </w:r>
          </w:p>
        </w:tc>
        <w:tc>
          <w:tcPr>
            <w:tcW w:w="256" w:type="pct"/>
            <w:shd w:val="clear" w:color="auto" w:fill="BDD6EE"/>
            <w:hideMark/>
          </w:tcPr>
          <w:p w14:paraId="6D55596F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50 ± 23 months (4.2 ± 1.9 years)</w:t>
            </w:r>
          </w:p>
        </w:tc>
        <w:tc>
          <w:tcPr>
            <w:tcW w:w="497" w:type="pct"/>
            <w:shd w:val="clear" w:color="auto" w:fill="BDD6EE"/>
            <w:hideMark/>
          </w:tcPr>
          <w:p w14:paraId="7E54F44D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PH</w:t>
            </w:r>
            <w:r w:rsidRPr="00A608C5">
              <w:rPr>
                <w:rFonts w:ascii="Times New Roman" w:eastAsia="等线" w:hAnsi="Times New Roman" w:cs="Times New Roman"/>
                <w:vertAlign w:val="subscript"/>
              </w:rPr>
              <w:t>ex</w:t>
            </w:r>
            <w:r w:rsidRPr="00A608C5">
              <w:rPr>
                <w:rFonts w:ascii="Times New Roman" w:eastAsia="等线" w:hAnsi="Times New Roman" w:cs="Times New Roman"/>
              </w:rPr>
              <w:t xml:space="preserve"> (&gt;60 mmHg) on multivariate Cox survival analysis was associated with more frequent post-operative major adverse cardiovascular events in all models (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p</w:t>
            </w:r>
            <w:r w:rsidRPr="00A608C5">
              <w:rPr>
                <w:rFonts w:ascii="Times New Roman" w:eastAsia="等线" w:hAnsi="Times New Roman" w:cs="Times New Roman"/>
              </w:rPr>
              <w:t xml:space="preserve"> ≤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 xml:space="preserve">0.04). </w:t>
            </w:r>
          </w:p>
        </w:tc>
        <w:tc>
          <w:tcPr>
            <w:tcW w:w="410" w:type="pct"/>
            <w:shd w:val="clear" w:color="auto" w:fill="BDD6EE"/>
            <w:hideMark/>
          </w:tcPr>
          <w:p w14:paraId="1C2D2D47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PH</w:t>
            </w:r>
            <w:r w:rsidRPr="00A608C5">
              <w:rPr>
                <w:rFonts w:ascii="Times New Roman" w:eastAsia="等线" w:hAnsi="Times New Roman" w:cs="Times New Roman"/>
                <w:vertAlign w:val="subscript"/>
              </w:rPr>
              <w:t>ex</w:t>
            </w:r>
            <w:r w:rsidRPr="00A608C5">
              <w:rPr>
                <w:rFonts w:ascii="Times New Roman" w:eastAsia="等线" w:hAnsi="Times New Roman" w:cs="Times New Roman"/>
              </w:rPr>
              <w:t xml:space="preserve"> was defined as an SPSP &gt;60 mmHg at exercise as recommended by current guidelines.</w:t>
            </w:r>
          </w:p>
        </w:tc>
      </w:tr>
      <w:tr w:rsidR="00A608C5" w:rsidRPr="00A608C5" w14:paraId="271CDE05" w14:textId="77777777" w:rsidTr="004D5406">
        <w:trPr>
          <w:trHeight w:val="4208"/>
          <w:jc w:val="center"/>
        </w:trPr>
        <w:tc>
          <w:tcPr>
            <w:tcW w:w="394" w:type="pct"/>
            <w:hideMark/>
          </w:tcPr>
          <w:p w14:paraId="79ADF063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Vitel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i/>
              </w:rPr>
              <w:t>et al.</w:t>
            </w:r>
            <w:r w:rsidRPr="00A608C5">
              <w:rPr>
                <w:rFonts w:ascii="Times New Roman" w:eastAsia="等线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  <w:noProof/>
              </w:rPr>
              <w:t>[93]</w:t>
            </w:r>
            <w:r w:rsidRPr="00A608C5">
              <w:rPr>
                <w:rFonts w:ascii="Times New Roman" w:eastAsia="等线" w:hAnsi="Times New Roman" w:cs="Times New Roman"/>
              </w:rPr>
              <w:t xml:space="preserve">, 2018, </w:t>
            </w:r>
            <w:r w:rsidRPr="00A608C5">
              <w:rPr>
                <w:rFonts w:ascii="Times New Roman" w:eastAsia="等线" w:hAnsi="Times New Roman" w:cs="Times New Roman"/>
                <w:i/>
                <w:iCs/>
              </w:rPr>
              <w:t>Heart</w:t>
            </w:r>
          </w:p>
        </w:tc>
        <w:tc>
          <w:tcPr>
            <w:tcW w:w="346" w:type="pct"/>
            <w:hideMark/>
          </w:tcPr>
          <w:p w14:paraId="20EBF1F0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142</w:t>
            </w:r>
          </w:p>
        </w:tc>
        <w:tc>
          <w:tcPr>
            <w:tcW w:w="168" w:type="pct"/>
            <w:hideMark/>
          </w:tcPr>
          <w:p w14:paraId="16AD544A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58 ± 21</w:t>
            </w:r>
          </w:p>
        </w:tc>
        <w:tc>
          <w:tcPr>
            <w:tcW w:w="243" w:type="pct"/>
            <w:hideMark/>
          </w:tcPr>
          <w:p w14:paraId="12875508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32</w:t>
            </w:r>
          </w:p>
        </w:tc>
        <w:tc>
          <w:tcPr>
            <w:tcW w:w="562" w:type="pct"/>
            <w:hideMark/>
          </w:tcPr>
          <w:p w14:paraId="6CD5C595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severe/asymptomatic</w:t>
            </w:r>
          </w:p>
        </w:tc>
        <w:tc>
          <w:tcPr>
            <w:tcW w:w="355" w:type="pct"/>
            <w:hideMark/>
          </w:tcPr>
          <w:p w14:paraId="6009CF60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Surgery (repair 85.9%, replacement 14.1%)</w:t>
            </w:r>
          </w:p>
        </w:tc>
        <w:tc>
          <w:tcPr>
            <w:tcW w:w="649" w:type="pct"/>
            <w:hideMark/>
          </w:tcPr>
          <w:p w14:paraId="73658597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NA</w:t>
            </w:r>
          </w:p>
        </w:tc>
        <w:tc>
          <w:tcPr>
            <w:tcW w:w="361" w:type="pct"/>
            <w:hideMark/>
          </w:tcPr>
          <w:p w14:paraId="18C2EB64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66 ± 6</w:t>
            </w:r>
          </w:p>
        </w:tc>
        <w:tc>
          <w:tcPr>
            <w:tcW w:w="347" w:type="pct"/>
            <w:hideMark/>
          </w:tcPr>
          <w:p w14:paraId="08CD26C9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LVEF</w:t>
            </w:r>
            <w:r w:rsidRPr="00A608C5">
              <w:rPr>
                <w:rFonts w:ascii="Times New Roman" w:eastAsia="等线" w:hAnsi="Times New Roman" w:cs="Times New Roman"/>
                <w:vertAlign w:val="subscript"/>
              </w:rPr>
              <w:t>ex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: (70 ± </w:t>
            </w:r>
            <w:proofErr w:type="gramStart"/>
            <w:r w:rsidRPr="00A608C5">
              <w:rPr>
                <w:rFonts w:ascii="Times New Roman" w:eastAsia="等线" w:hAnsi="Times New Roman" w:cs="Times New Roman"/>
              </w:rPr>
              <w:t>6.8)%</w:t>
            </w:r>
            <w:proofErr w:type="gramEnd"/>
            <w:r w:rsidRPr="00A608C5">
              <w:rPr>
                <w:rFonts w:ascii="Times New Roman" w:eastAsia="等线" w:hAnsi="Times New Roman" w:cs="Times New Roman"/>
              </w:rPr>
              <w:t xml:space="preserve">; ΔLVEF: (3.2 ± 7.5)%; </w:t>
            </w:r>
          </w:p>
          <w:p w14:paraId="41559D20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LV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GLS</w:t>
            </w:r>
            <w:r w:rsidRPr="00A608C5">
              <w:rPr>
                <w:rFonts w:ascii="Times New Roman" w:eastAsia="等线" w:hAnsi="Times New Roman" w:cs="Times New Roman"/>
                <w:vertAlign w:val="subscript"/>
              </w:rPr>
              <w:t>ex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(</w:t>
            </w: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22 ± </w:t>
            </w:r>
            <w:proofErr w:type="gramStart"/>
            <w:r w:rsidRPr="00A608C5">
              <w:rPr>
                <w:rFonts w:ascii="Times New Roman" w:eastAsia="等线" w:hAnsi="Times New Roman" w:cs="Times New Roman"/>
              </w:rPr>
              <w:t>4.1)%</w:t>
            </w:r>
            <w:proofErr w:type="gramEnd"/>
            <w:r w:rsidRPr="00A608C5">
              <w:rPr>
                <w:rFonts w:ascii="Times New Roman" w:eastAsia="等线" w:hAnsi="Times New Roman" w:cs="Times New Roman"/>
              </w:rPr>
              <w:t>; ΔLV GLS: (</w:t>
            </w: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1.9 ± 3.6)%;</w:t>
            </w:r>
          </w:p>
          <w:p w14:paraId="0C799FA2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TAPSE</w:t>
            </w:r>
            <w:r w:rsidRPr="00A608C5">
              <w:rPr>
                <w:rFonts w:ascii="Times New Roman" w:eastAsia="等线" w:hAnsi="Times New Roman" w:cs="Times New Roman"/>
                <w:vertAlign w:val="subscript"/>
              </w:rPr>
              <w:t>ex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: (26 ± 5.8) mm; ΔTAPSE: (3 ± </w:t>
            </w:r>
            <w:r w:rsidRPr="00A608C5">
              <w:rPr>
                <w:rFonts w:ascii="Times New Roman" w:eastAsia="等线" w:hAnsi="Times New Roman" w:cs="Times New Roman"/>
              </w:rPr>
              <w:lastRenderedPageBreak/>
              <w:t xml:space="preserve">5.7) mm; </w:t>
            </w:r>
          </w:p>
          <w:p w14:paraId="30EDB683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S'</w:t>
            </w:r>
            <w:r w:rsidRPr="00A608C5">
              <w:rPr>
                <w:rFonts w:ascii="Times New Roman" w:eastAsia="等线" w:hAnsi="Times New Roman" w:cs="Times New Roman"/>
                <w:vertAlign w:val="subscript"/>
              </w:rPr>
              <w:t>ex</w:t>
            </w:r>
            <w:r w:rsidRPr="00A608C5">
              <w:rPr>
                <w:rFonts w:ascii="Times New Roman" w:eastAsia="等线" w:hAnsi="Times New Roman" w:cs="Times New Roman"/>
              </w:rPr>
              <w:t>: (17 ± 4)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cm/s; ΔS': (3.44 ± 3.93)</w:t>
            </w:r>
            <w:r w:rsidRPr="00A608C5">
              <w:rPr>
                <w:rFonts w:ascii="Times New Roman" w:eastAsia="等线" w:hAnsi="Times New Roman" w:cs="Times New Roman"/>
                <w:lang w:eastAsia="zh-C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cm/s;</w:t>
            </w:r>
          </w:p>
          <w:p w14:paraId="2A7F7CF5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RV FAC</w:t>
            </w:r>
            <w:r w:rsidRPr="00A608C5">
              <w:rPr>
                <w:rFonts w:ascii="Times New Roman" w:eastAsia="等线" w:hAnsi="Times New Roman" w:cs="Times New Roman"/>
                <w:vertAlign w:val="subscript"/>
              </w:rPr>
              <w:t>ex</w:t>
            </w:r>
            <w:r w:rsidRPr="00A608C5">
              <w:rPr>
                <w:rFonts w:ascii="Times New Roman" w:eastAsia="等线" w:hAnsi="Times New Roman" w:cs="Times New Roman"/>
              </w:rPr>
              <w:t xml:space="preserve">: (47 ± </w:t>
            </w:r>
            <w:proofErr w:type="gramStart"/>
            <w:r w:rsidRPr="00A608C5">
              <w:rPr>
                <w:rFonts w:ascii="Times New Roman" w:eastAsia="等线" w:hAnsi="Times New Roman" w:cs="Times New Roman"/>
              </w:rPr>
              <w:t>9.3)%</w:t>
            </w:r>
            <w:proofErr w:type="gramEnd"/>
            <w:r w:rsidRPr="00A608C5">
              <w:rPr>
                <w:rFonts w:ascii="Times New Roman" w:eastAsia="等线" w:hAnsi="Times New Roman" w:cs="Times New Roman"/>
              </w:rPr>
              <w:t>; ΔRV FAC: (2.2 ± 10)%;</w:t>
            </w:r>
          </w:p>
          <w:p w14:paraId="77E993C6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 xml:space="preserve">RV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GLS</w:t>
            </w:r>
            <w:r w:rsidRPr="00A608C5">
              <w:rPr>
                <w:rFonts w:ascii="Times New Roman" w:eastAsia="等线" w:hAnsi="Times New Roman" w:cs="Times New Roman"/>
                <w:vertAlign w:val="subscript"/>
              </w:rPr>
              <w:t>ex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>: (</w:t>
            </w: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26 ± </w:t>
            </w:r>
            <w:proofErr w:type="gramStart"/>
            <w:r w:rsidRPr="00A608C5">
              <w:rPr>
                <w:rFonts w:ascii="Times New Roman" w:eastAsia="等线" w:hAnsi="Times New Roman" w:cs="Times New Roman"/>
              </w:rPr>
              <w:t>7.3)%</w:t>
            </w:r>
            <w:proofErr w:type="gramEnd"/>
            <w:r w:rsidRPr="00A608C5">
              <w:rPr>
                <w:rFonts w:ascii="Times New Roman" w:eastAsia="等线" w:hAnsi="Times New Roman" w:cs="Times New Roman"/>
              </w:rPr>
              <w:t>; ΔRV</w:t>
            </w:r>
            <w:r w:rsidRPr="00A608C5">
              <w:rPr>
                <w:rFonts w:ascii="Times New Roman" w:eastAsia="微软雅黑" w:hAnsi="Times New Roman" w:cs="Times New Roman"/>
              </w:rPr>
              <w:t xml:space="preserve"> </w:t>
            </w:r>
            <w:r w:rsidRPr="00A608C5">
              <w:rPr>
                <w:rFonts w:ascii="Times New Roman" w:eastAsia="等线" w:hAnsi="Times New Roman" w:cs="Times New Roman"/>
              </w:rPr>
              <w:t>GLS: (</w:t>
            </w: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0.96 ± 5.5)%;</w:t>
            </w:r>
          </w:p>
          <w:p w14:paraId="56D70BCA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SPAP</w:t>
            </w:r>
            <w:r w:rsidRPr="00A608C5">
              <w:rPr>
                <w:rFonts w:ascii="Times New Roman" w:eastAsia="等线" w:hAnsi="Times New Roman" w:cs="Times New Roman"/>
                <w:vertAlign w:val="subscript"/>
              </w:rPr>
              <w:t>ex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: (58 ± 20) mmHg; </w:t>
            </w:r>
            <w:proofErr w:type="spellStart"/>
            <w:r w:rsidRPr="00A608C5">
              <w:rPr>
                <w:rFonts w:ascii="Times New Roman" w:eastAsia="等线" w:hAnsi="Times New Roman" w:cs="Times New Roman"/>
              </w:rPr>
              <w:t>ΔsPAP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: (22 ± 15) mmHg. </w:t>
            </w:r>
          </w:p>
        </w:tc>
        <w:tc>
          <w:tcPr>
            <w:tcW w:w="413" w:type="pct"/>
            <w:shd w:val="clear" w:color="auto" w:fill="BDD6EE"/>
            <w:hideMark/>
          </w:tcPr>
          <w:p w14:paraId="12EC1DC6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lastRenderedPageBreak/>
              <w:t>Major adverse cardiovascular events (occurrence of atrial fibrillation, stroke, cardiac-related hospitalization or death)</w:t>
            </w:r>
          </w:p>
        </w:tc>
        <w:tc>
          <w:tcPr>
            <w:tcW w:w="256" w:type="pct"/>
            <w:shd w:val="clear" w:color="auto" w:fill="BDD6EE"/>
            <w:hideMark/>
          </w:tcPr>
          <w:p w14:paraId="073F0329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r w:rsidRPr="00A608C5">
              <w:rPr>
                <w:rFonts w:ascii="Times New Roman" w:eastAsia="等线" w:hAnsi="Times New Roman" w:cs="Times New Roman"/>
              </w:rPr>
              <w:t>30 (16</w:t>
            </w: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60) months (2.5 (1.3, 5.0) years)</w:t>
            </w:r>
          </w:p>
        </w:tc>
        <w:tc>
          <w:tcPr>
            <w:tcW w:w="497" w:type="pct"/>
            <w:shd w:val="clear" w:color="auto" w:fill="BDD6EE"/>
            <w:hideMark/>
          </w:tcPr>
          <w:p w14:paraId="1768E149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TAPSE</w:t>
            </w:r>
            <w:r w:rsidRPr="00A608C5">
              <w:rPr>
                <w:rFonts w:ascii="Times New Roman" w:eastAsia="等线" w:hAnsi="Times New Roman" w:cs="Times New Roman"/>
                <w:vertAlign w:val="subscript"/>
              </w:rPr>
              <w:t>ex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on multivariate Cox survival analysis (Bayesian model averaging method) was associated with post-operative major adverse cardiovascular events (HR 0.91 [0.86</w:t>
            </w: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 xml:space="preserve">0.96], PrP = 74%). </w:t>
            </w:r>
          </w:p>
        </w:tc>
        <w:tc>
          <w:tcPr>
            <w:tcW w:w="410" w:type="pct"/>
            <w:shd w:val="clear" w:color="auto" w:fill="BDD6EE"/>
            <w:hideMark/>
          </w:tcPr>
          <w:p w14:paraId="2D977980" w14:textId="77777777" w:rsidR="00A608C5" w:rsidRPr="00A608C5" w:rsidRDefault="00A608C5" w:rsidP="004D5406">
            <w:pPr>
              <w:pStyle w:val="Tablebody"/>
              <w:rPr>
                <w:rFonts w:ascii="Times New Roman" w:eastAsia="等线" w:hAnsi="Times New Roman" w:cs="Times New Roman"/>
              </w:rPr>
            </w:pPr>
            <w:proofErr w:type="spellStart"/>
            <w:r w:rsidRPr="00A608C5">
              <w:rPr>
                <w:rFonts w:ascii="Times New Roman" w:eastAsia="等线" w:hAnsi="Times New Roman" w:cs="Times New Roman"/>
              </w:rPr>
              <w:t>TPASE</w:t>
            </w:r>
            <w:r w:rsidRPr="00A608C5">
              <w:rPr>
                <w:rFonts w:ascii="Times New Roman" w:eastAsia="等线" w:hAnsi="Times New Roman" w:cs="Times New Roman"/>
                <w:vertAlign w:val="subscript"/>
              </w:rPr>
              <w:t>ex</w:t>
            </w:r>
            <w:proofErr w:type="spellEnd"/>
            <w:r w:rsidRPr="00A608C5">
              <w:rPr>
                <w:rFonts w:ascii="Times New Roman" w:eastAsia="等线" w:hAnsi="Times New Roman" w:cs="Times New Roman"/>
              </w:rPr>
              <w:t xml:space="preserve"> cut-off value 26 mm to predict major adverse cardiovascular events. (AUC 0.83 [0.73</w:t>
            </w:r>
            <w:r w:rsidRPr="00A608C5">
              <w:rPr>
                <w:rFonts w:ascii="Times New Roman" w:hAnsi="Times New Roman" w:cs="Times New Roman"/>
              </w:rPr>
              <w:t>–</w:t>
            </w:r>
            <w:r w:rsidRPr="00A608C5">
              <w:rPr>
                <w:rFonts w:ascii="Times New Roman" w:eastAsia="等线" w:hAnsi="Times New Roman" w:cs="Times New Roman"/>
              </w:rPr>
              <w:t>0.91]).</w:t>
            </w:r>
          </w:p>
        </w:tc>
      </w:tr>
    </w:tbl>
    <w:p w14:paraId="0E2C7127" w14:textId="197E3A57" w:rsidR="00D14D46" w:rsidRPr="00A608C5" w:rsidRDefault="00A608C5" w:rsidP="00A608C5">
      <w:pPr>
        <w:pStyle w:val="Tablefooter"/>
        <w:rPr>
          <w:lang w:eastAsia="zh-CN"/>
        </w:rPr>
      </w:pPr>
      <w:r w:rsidRPr="00A608C5">
        <w:t xml:space="preserve">The Cell colors conform with Fig. 1. Δ, difference between exercise and rest; </w:t>
      </w:r>
      <w:r w:rsidRPr="00A608C5">
        <w:rPr>
          <w:vertAlign w:val="subscript"/>
        </w:rPr>
        <w:t>ex</w:t>
      </w:r>
      <w:r w:rsidRPr="00A608C5">
        <w:t xml:space="preserve">, excise; LVEF, left ventricular ejection fraction; LVEDD, left ventricular end-diastolic diameter; LVESD, left ventricular end-systolic diameter; LVEDV, left ventricular end-diastolic volume; LVESV, left ventricular end-systolic volume; </w:t>
      </w:r>
      <w:proofErr w:type="spellStart"/>
      <w:r w:rsidRPr="00A608C5">
        <w:t>LVESVi</w:t>
      </w:r>
      <w:proofErr w:type="spellEnd"/>
      <w:r w:rsidRPr="00A608C5">
        <w:t xml:space="preserve">, left </w:t>
      </w:r>
      <w:r w:rsidRPr="00A608C5">
        <w:lastRenderedPageBreak/>
        <w:t>ventricular end-systolic volume index; LV GLS, left ventricular globa</w:t>
      </w:r>
      <w:bookmarkStart w:id="0" w:name="_GoBack"/>
      <w:bookmarkEnd w:id="0"/>
      <w:r w:rsidRPr="00A608C5">
        <w:t>l longitudinal strain; SPAP, systolic pulmonary artery pressure; PH, pulmonary hypertension; TAPSE, tricuspid annular plane systolic excursion; RV FAC, right ventricular fractional area change; RV GLS, right ventricular global longitudinal strain; ICC, intraclass correlation coefficients; CV, coefficient of variation; NA, not available; AUC, area under curve; OR, odds ratio; HR, hazard ratio.</w:t>
      </w:r>
    </w:p>
    <w:sectPr w:rsidR="00D14D46" w:rsidRPr="00A608C5" w:rsidSect="00641577">
      <w:headerReference w:type="default" r:id="rId7"/>
      <w:footerReference w:type="default" r:id="rId8"/>
      <w:pgSz w:w="16838" w:h="11906" w:orient="landscape"/>
      <w:pgMar w:top="851" w:right="1134" w:bottom="851" w:left="1134" w:header="283" w:footer="1134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264EB1E6" w16cex:dateUtc="2024-07-04T05:23:00Z"/>
  <w16cex:commentExtensible w16cex:durableId="3149A924" w16cex:dateUtc="2024-11-10T07:37:00Z"/>
  <w16cex:commentExtensible w16cex:durableId="26BF36B0" w16cex:dateUtc="2024-07-04T06:25:00Z"/>
  <w16cex:commentExtensible w16cex:durableId="21A3150A" w16cex:dateUtc="2024-11-10T07:40:00Z"/>
  <w16cex:commentExtensible w16cex:durableId="159D7E6E" w16cex:dateUtc="2024-07-04T06:29:00Z"/>
  <w16cex:commentExtensible w16cex:durableId="2744725B" w16cex:dateUtc="2024-11-10T07:41:00Z"/>
  <w16cex:commentExtensible w16cex:durableId="0F3318F0" w16cex:dateUtc="2024-07-04T08:30:00Z"/>
  <w16cex:commentExtensible w16cex:durableId="100D349E" w16cex:dateUtc="2024-11-10T21:07:00Z"/>
  <w16cex:commentExtensible w16cex:durableId="6AABE4A5" w16cex:dateUtc="2024-07-04T08:47:00Z"/>
  <w16cex:commentExtensible w16cex:durableId="2F49A6C8" w16cex:dateUtc="2024-11-10T07:43:00Z"/>
  <w16cex:commentExtensible w16cex:durableId="52CDE02C" w16cex:dateUtc="2024-07-04T08:43:00Z"/>
  <w16cex:commentExtensible w16cex:durableId="3992F82C" w16cex:dateUtc="2024-11-10T07:45:00Z"/>
  <w16cex:commentExtensible w16cex:durableId="2A710406" w16cex:dateUtc="2024-07-04T08:50:00Z"/>
  <w16cex:commentExtensible w16cex:durableId="358A6082" w16cex:dateUtc="2024-11-10T07:46:00Z"/>
  <w16cex:commentExtensible w16cex:durableId="402D771F" w16cex:dateUtc="2024-07-04T09:16:00Z"/>
  <w16cex:commentExtensible w16cex:durableId="4DB104FA" w16cex:dateUtc="2024-11-10T07:47:00Z"/>
  <w16cex:commentExtensible w16cex:durableId="180285DF" w16cex:dateUtc="2024-07-04T09:44:00Z"/>
  <w16cex:commentExtensible w16cex:durableId="5B1C460F" w16cex:dateUtc="2024-11-10T07:48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A3D0E5" w14:textId="77777777" w:rsidR="00955E74" w:rsidRDefault="00955E74" w:rsidP="00641577">
      <w:pPr>
        <w:spacing w:line="240" w:lineRule="auto"/>
      </w:pPr>
      <w:r>
        <w:separator/>
      </w:r>
    </w:p>
  </w:endnote>
  <w:endnote w:type="continuationSeparator" w:id="0">
    <w:p w14:paraId="7D3F6DE2" w14:textId="77777777" w:rsidR="00955E74" w:rsidRDefault="00955E74" w:rsidP="00641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74132916"/>
      <w:docPartObj>
        <w:docPartGallery w:val="Page Numbers (Bottom of Page)"/>
        <w:docPartUnique/>
      </w:docPartObj>
    </w:sdtPr>
    <w:sdtEndPr/>
    <w:sdtContent>
      <w:p w14:paraId="6706923C" w14:textId="58E69D0B" w:rsidR="00C51C81" w:rsidRDefault="00C51C81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BDC8A3F" w14:textId="77777777" w:rsidR="00C51C81" w:rsidRDefault="00C51C81">
    <w:pPr>
      <w:pStyle w:val="aa"/>
    </w:pPr>
  </w:p>
  <w:p w14:paraId="13D1A471" w14:textId="77777777" w:rsidR="00D138DB" w:rsidRDefault="00D138D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7337B9" w14:textId="77777777" w:rsidR="00955E74" w:rsidRDefault="00955E74" w:rsidP="00641577">
      <w:pPr>
        <w:spacing w:line="240" w:lineRule="auto"/>
      </w:pPr>
      <w:r>
        <w:separator/>
      </w:r>
    </w:p>
  </w:footnote>
  <w:footnote w:type="continuationSeparator" w:id="0">
    <w:p w14:paraId="572D2BCF" w14:textId="77777777" w:rsidR="00955E74" w:rsidRDefault="00955E74" w:rsidP="00641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A2014C" w14:textId="77777777" w:rsidR="00641577" w:rsidRDefault="00641577" w:rsidP="00641577">
    <w:pPr>
      <w:pStyle w:val="ac"/>
      <w:pBdr>
        <w:bottom w:val="none" w:sz="0" w:space="0" w:color="auto"/>
      </w:pBdr>
    </w:pPr>
  </w:p>
  <w:p w14:paraId="0BC23C4C" w14:textId="77777777" w:rsidR="00D138DB" w:rsidRDefault="00D138D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468F5"/>
    <w:multiLevelType w:val="hybridMultilevel"/>
    <w:tmpl w:val="6C90728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E361C"/>
    <w:rsid w:val="000C11CB"/>
    <w:rsid w:val="000F31FA"/>
    <w:rsid w:val="001043CF"/>
    <w:rsid w:val="0013521F"/>
    <w:rsid w:val="001D05A1"/>
    <w:rsid w:val="00201698"/>
    <w:rsid w:val="00284BE0"/>
    <w:rsid w:val="002C071C"/>
    <w:rsid w:val="002D1228"/>
    <w:rsid w:val="002E37C8"/>
    <w:rsid w:val="00353051"/>
    <w:rsid w:val="00365D1F"/>
    <w:rsid w:val="00390531"/>
    <w:rsid w:val="003D665D"/>
    <w:rsid w:val="003F7DBE"/>
    <w:rsid w:val="0040619A"/>
    <w:rsid w:val="004313E5"/>
    <w:rsid w:val="0048757D"/>
    <w:rsid w:val="00497984"/>
    <w:rsid w:val="004C093B"/>
    <w:rsid w:val="004E379E"/>
    <w:rsid w:val="005332D5"/>
    <w:rsid w:val="005475D7"/>
    <w:rsid w:val="00555703"/>
    <w:rsid w:val="005626C5"/>
    <w:rsid w:val="0059525F"/>
    <w:rsid w:val="005C6667"/>
    <w:rsid w:val="005D35DC"/>
    <w:rsid w:val="005F3EBE"/>
    <w:rsid w:val="00632CAB"/>
    <w:rsid w:val="006407FB"/>
    <w:rsid w:val="00641577"/>
    <w:rsid w:val="00682DC6"/>
    <w:rsid w:val="006A1D91"/>
    <w:rsid w:val="006A2608"/>
    <w:rsid w:val="006D6C17"/>
    <w:rsid w:val="00703885"/>
    <w:rsid w:val="0071796F"/>
    <w:rsid w:val="00745316"/>
    <w:rsid w:val="00764C6B"/>
    <w:rsid w:val="007D4E46"/>
    <w:rsid w:val="00805F37"/>
    <w:rsid w:val="0094088F"/>
    <w:rsid w:val="00955E74"/>
    <w:rsid w:val="00994304"/>
    <w:rsid w:val="009A30A4"/>
    <w:rsid w:val="00A1004C"/>
    <w:rsid w:val="00A2179E"/>
    <w:rsid w:val="00A25357"/>
    <w:rsid w:val="00A608C5"/>
    <w:rsid w:val="00AB5282"/>
    <w:rsid w:val="00AC171D"/>
    <w:rsid w:val="00B5279C"/>
    <w:rsid w:val="00B57555"/>
    <w:rsid w:val="00B65A1C"/>
    <w:rsid w:val="00B91225"/>
    <w:rsid w:val="00BC502F"/>
    <w:rsid w:val="00C107F8"/>
    <w:rsid w:val="00C51C81"/>
    <w:rsid w:val="00C67DCD"/>
    <w:rsid w:val="00CB5A71"/>
    <w:rsid w:val="00CF02C5"/>
    <w:rsid w:val="00D138DB"/>
    <w:rsid w:val="00D14D46"/>
    <w:rsid w:val="00DC4CCF"/>
    <w:rsid w:val="00DD50C2"/>
    <w:rsid w:val="00E47D0C"/>
    <w:rsid w:val="00E64D31"/>
    <w:rsid w:val="00E71CDF"/>
    <w:rsid w:val="00E9281D"/>
    <w:rsid w:val="00EA4CC2"/>
    <w:rsid w:val="00EF6B24"/>
    <w:rsid w:val="00F22E55"/>
    <w:rsid w:val="00F36BA8"/>
    <w:rsid w:val="00FA3273"/>
    <w:rsid w:val="00FE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0BBD70"/>
  <w15:chartTrackingRefBased/>
  <w15:docId w15:val="{84B987A4-F3B0-4D83-ADE9-50AD5FA2F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kern w:val="2"/>
        <w:lang w:val="en-US" w:eastAsia="zh-CN" w:bidi="ar-SA"/>
        <w14:ligatures w14:val="standardContextual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semiHidden="1" w:uiPriority="9" w:qFormat="1"/>
    <w:lsdException w:name="heading 2" w:semiHidden="1" w:uiPriority="9" w:qFormat="1"/>
    <w:lsdException w:name="heading 3" w:semiHidden="1" w:uiPriority="9" w:qFormat="1"/>
    <w:lsdException w:name="heading 4" w:semiHidden="1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 w:uiPriority="99"/>
    <w:lsdException w:name="annotation text" w:semiHidden="1" w:uiPriority="99"/>
    <w:lsdException w:name="header" w:semiHidden="1" w:uiPriority="99" w:unhideWhenUsed="1" w:qFormat="1"/>
    <w:lsdException w:name="footer" w:semiHidden="1" w:uiPriority="99" w:unhideWhenUsed="1" w:qFormat="1"/>
    <w:lsdException w:name="index heading" w:semiHidden="1"/>
    <w:lsdException w:name="caption" w:semiHidden="1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 w:uiPriority="99" w:qFormat="1"/>
    <w:lsdException w:name="line number" w:semiHidden="1" w:uiPriority="99" w:unhideWhenUsed="1" w:qFormat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qFormat="1"/>
    <w:lsdException w:name="Closing" w:semiHidden="1"/>
    <w:lsdException w:name="Signature" w:semiHidden="1"/>
    <w:lsdException w:name="Default Paragraph Font" w:semiHidden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qFormat="1"/>
    <w:lsdException w:name="FollowedHyperlink" w:semiHidden="1"/>
    <w:lsdException w:name="Strong" w:semiHidden="1" w:qFormat="1"/>
    <w:lsdException w:name="Emphasis" w:semiHidden="1" w:qFormat="1"/>
    <w:lsdException w:name="Document Map" w:semiHidden="1"/>
    <w:lsdException w:name="Plain Text" w:semiHidden="1"/>
    <w:lsdException w:name="E-mail Signature" w:semiHidden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semiHidden="1" w:uiPriority="99" w:qFormat="1"/>
    <w:lsdException w:name="Light Shading" w:uiPriority="1" w:qFormat="1"/>
    <w:lsdException w:name="Light List" w:uiPriority="1" w:qFormat="1"/>
    <w:lsdException w:name="Light Grid" w:uiPriority="1" w:qFormat="1"/>
    <w:lsdException w:name="Medium Shading 1" w:uiPriority="1" w:qFormat="1"/>
    <w:lsdException w:name="Medium Shading 2" w:uiPriority="1" w:qFormat="1"/>
    <w:lsdException w:name="Medium List 1" w:uiPriority="1" w:qFormat="1"/>
    <w:lsdException w:name="Medium List 2" w:uiPriority="1" w:qFormat="1"/>
    <w:lsdException w:name="Medium Grid 1" w:uiPriority="1" w:qFormat="1"/>
    <w:lsdException w:name="Medium Grid 2" w:uiPriority="1" w:qFormat="1"/>
    <w:lsdException w:name="Medium Grid 3" w:uiPriority="1" w:qFormat="1"/>
    <w:lsdException w:name="Dark List" w:uiPriority="1" w:qFormat="1"/>
    <w:lsdException w:name="Colorful Shading" w:uiPriority="1" w:qFormat="1"/>
    <w:lsdException w:name="Colorful List" w:uiPriority="1" w:qFormat="1"/>
    <w:lsdException w:name="Colorful Grid" w:uiPriority="1" w:qFormat="1"/>
    <w:lsdException w:name="Light Shading Accent 1" w:uiPriority="60"/>
    <w:lsdException w:name="Light List Accent 1" w:uiPriority="1" w:qFormat="1"/>
    <w:lsdException w:name="Light Grid Accent 1" w:uiPriority="1" w:qFormat="1"/>
    <w:lsdException w:name="Medium Shading 1 Accent 1" w:uiPriority="1" w:qFormat="1"/>
    <w:lsdException w:name="Medium Shading 2 Accent 1" w:uiPriority="1" w:qFormat="1"/>
    <w:lsdException w:name="Medium List 1 Accent 1" w:uiPriority="1" w:qFormat="1"/>
    <w:lsdException w:name="Revision" w:semiHidden="1" w:uiPriority="99"/>
    <w:lsdException w:name="List Paragraph" w:semiHidden="1" w:uiPriority="99" w:qFormat="1"/>
    <w:lsdException w:name="Quote" w:semiHidden="1" w:uiPriority="99" w:qFormat="1"/>
    <w:lsdException w:name="Intense Quote" w:semiHidden="1" w:uiPriority="99" w:qFormat="1"/>
    <w:lsdException w:name="Medium List 2 Accent 1" w:uiPriority="1" w:qFormat="1"/>
    <w:lsdException w:name="Medium Grid 1 Accent 1" w:uiPriority="1" w:qFormat="1"/>
    <w:lsdException w:name="Medium Grid 2 Accent 1" w:uiPriority="1" w:qFormat="1"/>
    <w:lsdException w:name="Medium Grid 3 Accent 1" w:uiPriority="1" w:qFormat="1"/>
    <w:lsdException w:name="Dark List Accent 1" w:uiPriority="1" w:qFormat="1"/>
    <w:lsdException w:name="Colorful Shading Accent 1" w:uiPriority="1" w:qFormat="1"/>
    <w:lsdException w:name="Colorful List Accent 1" w:uiPriority="1" w:qFormat="1"/>
    <w:lsdException w:name="Colorful Grid Accent 1" w:uiPriority="1" w:qFormat="1"/>
    <w:lsdException w:name="Light Shading Accent 2" w:uiPriority="1" w:qFormat="1"/>
    <w:lsdException w:name="Light List Accent 2" w:uiPriority="1" w:qFormat="1"/>
    <w:lsdException w:name="Light Grid Accent 2" w:uiPriority="1" w:qFormat="1"/>
    <w:lsdException w:name="Medium Shading 1 Accent 2" w:uiPriority="1" w:qFormat="1"/>
    <w:lsdException w:name="Medium Shading 2 Accent 2" w:uiPriority="1" w:qFormat="1"/>
    <w:lsdException w:name="Medium List 1 Accent 2" w:uiPriority="1" w:qFormat="1"/>
    <w:lsdException w:name="Medium List 2 Accent 2" w:uiPriority="1" w:qFormat="1"/>
    <w:lsdException w:name="Medium Grid 1 Accent 2" w:uiPriority="1" w:qFormat="1"/>
    <w:lsdException w:name="Medium Grid 2 Accent 2" w:uiPriority="1" w:qFormat="1"/>
    <w:lsdException w:name="Medium Grid 3 Accent 2" w:uiPriority="1" w:qFormat="1"/>
    <w:lsdException w:name="Dark List Accent 2" w:uiPriority="1" w:qFormat="1"/>
    <w:lsdException w:name="Colorful Shading Accent 2" w:uiPriority="1" w:qFormat="1"/>
    <w:lsdException w:name="Colorful List Accent 2" w:uiPriority="1" w:qFormat="1"/>
    <w:lsdException w:name="Colorful Grid Accent 2" w:uiPriority="1" w:qFormat="1"/>
    <w:lsdException w:name="Light Shading Accent 3" w:uiPriority="1" w:qFormat="1"/>
    <w:lsdException w:name="Light List Accent 3" w:uiPriority="1" w:qFormat="1"/>
    <w:lsdException w:name="Light Grid Accent 3" w:uiPriority="1" w:qFormat="1"/>
    <w:lsdException w:name="Medium Shading 1 Accent 3" w:uiPriority="1" w:qFormat="1"/>
    <w:lsdException w:name="Medium Shading 2 Accent 3" w:uiPriority="1" w:qFormat="1"/>
    <w:lsdException w:name="Medium List 1 Accent 3" w:uiPriority="1" w:qFormat="1"/>
    <w:lsdException w:name="Medium List 2 Accent 3" w:uiPriority="1" w:qFormat="1"/>
    <w:lsdException w:name="Medium Grid 1 Accent 3" w:uiPriority="1" w:qFormat="1"/>
    <w:lsdException w:name="Medium Grid 2 Accent 3" w:uiPriority="1" w:qFormat="1"/>
    <w:lsdException w:name="Medium Grid 3 Accent 3" w:uiPriority="1" w:qFormat="1"/>
    <w:lsdException w:name="Dark List Accent 3" w:uiPriority="1" w:qFormat="1"/>
    <w:lsdException w:name="Colorful Shading Accent 3" w:uiPriority="1" w:qFormat="1"/>
    <w:lsdException w:name="Colorful List Accent 3" w:uiPriority="1" w:qFormat="1"/>
    <w:lsdException w:name="Colorful Grid Accent 3" w:uiPriority="1" w:qFormat="1"/>
    <w:lsdException w:name="Light Shading Accent 4" w:uiPriority="1" w:qFormat="1"/>
    <w:lsdException w:name="Light List Accent 4" w:uiPriority="1" w:qFormat="1"/>
    <w:lsdException w:name="Light Grid Accent 4" w:uiPriority="1" w:qFormat="1"/>
    <w:lsdException w:name="Medium Shading 1 Accent 4" w:uiPriority="1" w:qFormat="1"/>
    <w:lsdException w:name="Medium Shading 2 Accent 4" w:uiPriority="1" w:qFormat="1"/>
    <w:lsdException w:name="Medium List 1 Accent 4" w:uiPriority="1" w:qFormat="1"/>
    <w:lsdException w:name="Medium List 2 Accent 4" w:uiPriority="1" w:qFormat="1"/>
    <w:lsdException w:name="Medium Grid 1 Accent 4" w:uiPriority="1" w:qFormat="1"/>
    <w:lsdException w:name="Medium Grid 2 Accent 4" w:uiPriority="1" w:qFormat="1"/>
    <w:lsdException w:name="Medium Grid 3 Accent 4" w:uiPriority="1" w:qFormat="1"/>
    <w:lsdException w:name="Dark List Accent 4" w:uiPriority="1" w:qFormat="1"/>
    <w:lsdException w:name="Colorful Shading Accent 4" w:uiPriority="1" w:qFormat="1"/>
    <w:lsdException w:name="Colorful List Accent 4" w:uiPriority="1" w:qFormat="1"/>
    <w:lsdException w:name="Colorful Grid Accent 4" w:uiPriority="1" w:qFormat="1"/>
    <w:lsdException w:name="Light Shading Accent 5" w:uiPriority="1" w:qFormat="1"/>
    <w:lsdException w:name="Light List Accent 5" w:uiPriority="1" w:qFormat="1"/>
    <w:lsdException w:name="Light Grid Accent 5" w:uiPriority="1" w:qFormat="1"/>
    <w:lsdException w:name="Medium Shading 1 Accent 5" w:uiPriority="1" w:qFormat="1"/>
    <w:lsdException w:name="Medium Shading 2 Accent 5" w:uiPriority="1" w:qFormat="1"/>
    <w:lsdException w:name="Medium List 1 Accent 5" w:uiPriority="1" w:qFormat="1"/>
    <w:lsdException w:name="Medium List 2 Accent 5" w:uiPriority="1" w:qFormat="1"/>
    <w:lsdException w:name="Medium Grid 1 Accent 5" w:uiPriority="1" w:qFormat="1"/>
    <w:lsdException w:name="Medium Grid 2 Accent 5" w:uiPriority="1" w:qFormat="1"/>
    <w:lsdException w:name="Medium Grid 3 Accent 5" w:uiPriority="1" w:qFormat="1"/>
    <w:lsdException w:name="Dark List Accent 5" w:uiPriority="1" w:qFormat="1"/>
    <w:lsdException w:name="Colorful Shading Accent 5" w:uiPriority="1" w:qFormat="1"/>
    <w:lsdException w:name="Colorful List Accent 5" w:uiPriority="1" w:qFormat="1"/>
    <w:lsdException w:name="Colorful Grid Accent 5" w:uiPriority="1" w:qFormat="1"/>
    <w:lsdException w:name="Light Shading Accent 6" w:uiPriority="1" w:qFormat="1"/>
    <w:lsdException w:name="Light List Accent 6" w:uiPriority="1" w:qFormat="1"/>
    <w:lsdException w:name="Light Grid Accent 6" w:uiPriority="1" w:qFormat="1"/>
    <w:lsdException w:name="Medium Shading 1 Accent 6" w:uiPriority="1" w:qFormat="1"/>
    <w:lsdException w:name="Medium Shading 2 Accent 6" w:uiPriority="1" w:qFormat="1"/>
    <w:lsdException w:name="Medium List 1 Accent 6" w:uiPriority="1" w:qFormat="1"/>
    <w:lsdException w:name="Medium List 2 Accent 6" w:uiPriority="1" w:qFormat="1"/>
    <w:lsdException w:name="Medium Grid 1 Accent 6" w:uiPriority="1" w:qFormat="1"/>
    <w:lsdException w:name="Medium Grid 2 Accent 6" w:uiPriority="1" w:qFormat="1"/>
    <w:lsdException w:name="Medium Grid 3 Accent 6" w:uiPriority="1" w:qFormat="1"/>
    <w:lsdException w:name="Dark List Accent 6" w:uiPriority="1" w:qFormat="1"/>
    <w:lsdException w:name="Colorful Shading Accent 6" w:uiPriority="1" w:qFormat="1"/>
    <w:lsdException w:name="Colorful List Accent 6" w:uiPriority="1" w:qFormat="1"/>
    <w:lsdException w:name="Colorful Grid Accent 6" w:uiPriority="1" w:qFormat="1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/>
    <w:lsdException w:name="Smart Hyperlink" w:semiHidden="1" w:uiPriority="99"/>
    <w:lsdException w:name="Hashtag" w:semiHidden="1" w:uiPriority="99"/>
    <w:lsdException w:name="Unresolved Mention" w:semiHidden="1" w:uiPriority="99"/>
  </w:latentStyles>
  <w:style w:type="paragraph" w:default="1" w:styleId="a">
    <w:name w:val="Normal"/>
    <w:semiHidden/>
    <w:qFormat/>
    <w:rsid w:val="0048757D"/>
    <w:pPr>
      <w:spacing w:line="276" w:lineRule="auto"/>
      <w:ind w:firstLineChars="200" w:firstLine="400"/>
      <w:jc w:val="both"/>
    </w:pPr>
    <w:rPr>
      <w:rFonts w:cstheme="minorBidi"/>
      <w:kern w:val="0"/>
      <w:szCs w:val="22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5475D7"/>
    <w:pPr>
      <w:keepNext/>
      <w:keepLines/>
      <w:adjustRightInd w:val="0"/>
      <w:snapToGrid w:val="0"/>
      <w:spacing w:before="360" w:after="360" w:line="240" w:lineRule="auto"/>
      <w:ind w:firstLineChars="0" w:firstLine="0"/>
      <w:outlineLvl w:val="0"/>
    </w:pPr>
    <w:rPr>
      <w:rFonts w:eastAsia="Times New Roman" w:cs="Times New Roman"/>
      <w:b/>
      <w:bCs/>
      <w:noProof/>
      <w:color w:val="000000"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5475D7"/>
    <w:pPr>
      <w:keepNext/>
      <w:keepLines/>
      <w:adjustRightInd w:val="0"/>
      <w:snapToGrid w:val="0"/>
      <w:spacing w:before="240" w:after="240" w:line="240" w:lineRule="auto"/>
      <w:ind w:firstLineChars="0" w:firstLine="0"/>
      <w:outlineLvl w:val="1"/>
    </w:pPr>
    <w:rPr>
      <w:rFonts w:eastAsia="Times New Roman" w:cs="Times New Roman"/>
      <w:b/>
      <w:bCs/>
      <w:i/>
      <w:noProof/>
      <w:color w:val="000000"/>
      <w:sz w:val="21"/>
      <w:szCs w:val="21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5475D7"/>
    <w:pPr>
      <w:keepNext/>
      <w:keepLines/>
      <w:adjustRightInd w:val="0"/>
      <w:snapToGrid w:val="0"/>
      <w:spacing w:before="160" w:after="160" w:line="240" w:lineRule="auto"/>
      <w:ind w:firstLineChars="0" w:firstLine="0"/>
      <w:outlineLvl w:val="2"/>
    </w:pPr>
    <w:rPr>
      <w:rFonts w:eastAsia="Times New Roman" w:cs="Times New Roman"/>
      <w:bCs/>
      <w:i/>
      <w:noProof/>
      <w:color w:val="000000"/>
      <w:sz w:val="21"/>
      <w:szCs w:val="21"/>
    </w:rPr>
  </w:style>
  <w:style w:type="paragraph" w:styleId="4">
    <w:name w:val="heading 4"/>
    <w:basedOn w:val="a"/>
    <w:next w:val="a"/>
    <w:link w:val="40"/>
    <w:semiHidden/>
    <w:qFormat/>
    <w:rsid w:val="000F31F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qFormat/>
    <w:rsid w:val="000F31FA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semiHidden/>
    <w:qFormat/>
    <w:rsid w:val="000F31FA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0"/>
    <w:semiHidden/>
    <w:qFormat/>
    <w:rsid w:val="000F31FA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0"/>
    <w:semiHidden/>
    <w:qFormat/>
    <w:rsid w:val="000F31FA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0"/>
    <w:semiHidden/>
    <w:qFormat/>
    <w:rsid w:val="000F31FA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next w:val="a"/>
    <w:uiPriority w:val="5"/>
    <w:qFormat/>
    <w:rsid w:val="005475D7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5475D7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5475D7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5475D7"/>
    <w:pPr>
      <w:adjustRightInd w:val="0"/>
      <w:snapToGrid w:val="0"/>
      <w:jc w:val="both"/>
    </w:pPr>
    <w:rPr>
      <w:rFonts w:eastAsia="Times New Roman"/>
      <w:b/>
      <w:snapToGrid w:val="0"/>
      <w:color w:val="000000"/>
      <w:kern w:val="0"/>
      <w:sz w:val="36"/>
      <w:lang w:eastAsia="de-DE" w:bidi="en-US"/>
    </w:rPr>
  </w:style>
  <w:style w:type="paragraph" w:customStyle="1" w:styleId="Articletype">
    <w:name w:val="Article type"/>
    <w:next w:val="a"/>
    <w:qFormat/>
    <w:rsid w:val="005475D7"/>
    <w:pPr>
      <w:adjustRightInd w:val="0"/>
      <w:snapToGrid w:val="0"/>
    </w:pPr>
    <w:rPr>
      <w:rFonts w:eastAsia="Times New Roman"/>
      <w:i/>
      <w:snapToGrid w:val="0"/>
      <w:color w:val="000000"/>
      <w:kern w:val="0"/>
      <w:szCs w:val="22"/>
      <w:lang w:eastAsia="de-DE" w:bidi="en-US"/>
    </w:rPr>
  </w:style>
  <w:style w:type="paragraph" w:customStyle="1" w:styleId="Authornames">
    <w:name w:val="Authornames"/>
    <w:next w:val="a"/>
    <w:uiPriority w:val="2"/>
    <w:qFormat/>
    <w:rsid w:val="005475D7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5475D7"/>
    <w:rPr>
      <w:rFonts w:eastAsia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5475D7"/>
    <w:rPr>
      <w:rFonts w:eastAsia="Times New Roman"/>
      <w:b/>
      <w:bCs/>
      <w:i/>
      <w:noProof/>
      <w:color w:val="000000"/>
      <w:kern w:val="0"/>
      <w:sz w:val="21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5475D7"/>
    <w:rPr>
      <w:rFonts w:eastAsia="Times New Roman"/>
      <w:bCs/>
      <w:i/>
      <w:noProof/>
      <w:color w:val="000000"/>
      <w:kern w:val="0"/>
      <w:sz w:val="21"/>
      <w:szCs w:val="21"/>
    </w:rPr>
  </w:style>
  <w:style w:type="character" w:customStyle="1" w:styleId="40">
    <w:name w:val="标题 4 字符"/>
    <w:link w:val="4"/>
    <w:semiHidden/>
    <w:rsid w:val="005475D7"/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character" w:customStyle="1" w:styleId="60">
    <w:name w:val="标题 6 字符"/>
    <w:link w:val="6"/>
    <w:semiHidden/>
    <w:rsid w:val="005475D7"/>
    <w:rPr>
      <w:rFonts w:asciiTheme="majorHAnsi" w:eastAsiaTheme="majorEastAsia" w:hAnsiTheme="majorHAnsi" w:cstheme="majorBidi"/>
      <w:b/>
      <w:bCs/>
      <w:kern w:val="0"/>
      <w:sz w:val="24"/>
      <w:szCs w:val="22"/>
    </w:rPr>
  </w:style>
  <w:style w:type="character" w:customStyle="1" w:styleId="70">
    <w:name w:val="标题 7 字符"/>
    <w:link w:val="7"/>
    <w:uiPriority w:val="9"/>
    <w:semiHidden/>
    <w:rsid w:val="005475D7"/>
    <w:rPr>
      <w:rFonts w:cstheme="minorBidi"/>
      <w:b/>
      <w:bCs/>
      <w:kern w:val="0"/>
      <w:sz w:val="24"/>
      <w:szCs w:val="22"/>
    </w:rPr>
  </w:style>
  <w:style w:type="character" w:customStyle="1" w:styleId="80">
    <w:name w:val="标题 8 字符"/>
    <w:link w:val="8"/>
    <w:semiHidden/>
    <w:rsid w:val="005475D7"/>
    <w:rPr>
      <w:rFonts w:asciiTheme="majorHAnsi" w:eastAsiaTheme="majorEastAsia" w:hAnsiTheme="majorHAnsi" w:cstheme="majorBidi"/>
      <w:kern w:val="0"/>
      <w:sz w:val="24"/>
      <w:szCs w:val="22"/>
    </w:rPr>
  </w:style>
  <w:style w:type="character" w:customStyle="1" w:styleId="90">
    <w:name w:val="标题 9 字符"/>
    <w:link w:val="9"/>
    <w:semiHidden/>
    <w:rsid w:val="005475D7"/>
    <w:rPr>
      <w:rFonts w:asciiTheme="majorHAnsi" w:eastAsiaTheme="majorEastAsia" w:hAnsiTheme="majorHAnsi" w:cstheme="majorBidi"/>
      <w:kern w:val="0"/>
      <w:szCs w:val="21"/>
    </w:rPr>
  </w:style>
  <w:style w:type="paragraph" w:customStyle="1" w:styleId="Backmatter">
    <w:name w:val="Back matter"/>
    <w:uiPriority w:val="18"/>
    <w:qFormat/>
    <w:rsid w:val="005475D7"/>
    <w:pPr>
      <w:adjustRightInd w:val="0"/>
      <w:snapToGrid w:val="0"/>
      <w:spacing w:beforeLines="50" w:before="50" w:afterLines="50" w:after="50"/>
      <w:jc w:val="both"/>
    </w:pPr>
    <w:rPr>
      <w:rFonts w:eastAsia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5475D7"/>
    <w:pPr>
      <w:numPr>
        <w:numId w:val="2"/>
      </w:numPr>
      <w:adjustRightInd w:val="0"/>
      <w:snapToGrid w:val="0"/>
      <w:spacing w:before="40" w:after="40"/>
      <w:ind w:hangingChars="200" w:hanging="200"/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5475D7"/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5475D7"/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Equation">
    <w:name w:val="Equation"/>
    <w:uiPriority w:val="17"/>
    <w:qFormat/>
    <w:rsid w:val="005475D7"/>
    <w:pPr>
      <w:adjustRightInd w:val="0"/>
      <w:snapToGrid w:val="0"/>
      <w:spacing w:before="60" w:after="60"/>
      <w:ind w:left="709"/>
      <w:jc w:val="center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Figure">
    <w:name w:val="Figure"/>
    <w:uiPriority w:val="15"/>
    <w:qFormat/>
    <w:rsid w:val="005475D7"/>
    <w:pPr>
      <w:adjustRightInd w:val="0"/>
      <w:snapToGrid w:val="0"/>
      <w:jc w:val="center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5475D7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Figuretitle">
    <w:name w:val="Figure title"/>
    <w:uiPriority w:val="13"/>
    <w:rsid w:val="005475D7"/>
    <w:pPr>
      <w:adjustRightInd w:val="0"/>
      <w:snapToGrid w:val="0"/>
      <w:spacing w:after="100" w:afterAutospacing="1"/>
      <w:jc w:val="center"/>
    </w:pPr>
    <w:rPr>
      <w:rFonts w:eastAsia="Times New Roman"/>
      <w:b/>
      <w:noProof/>
      <w:color w:val="000000"/>
      <w:kern w:val="0"/>
      <w:sz w:val="21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5475D7"/>
    <w:pPr>
      <w:adjustRightInd w:val="0"/>
      <w:snapToGrid w:val="0"/>
      <w:jc w:val="both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5475D7"/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5475D7"/>
    <w:pPr>
      <w:ind w:left="200" w:hangingChars="200" w:hanging="200"/>
      <w:jc w:val="both"/>
    </w:pPr>
    <w:rPr>
      <w:rFonts w:eastAsia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5475D7"/>
    <w:rPr>
      <w:rFonts w:eastAsia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5475D7"/>
    <w:pPr>
      <w:jc w:val="both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5475D7"/>
    <w:pPr>
      <w:adjustRightInd w:val="0"/>
      <w:snapToGrid w:val="0"/>
      <w:spacing w:beforeLines="100" w:before="100" w:afterLines="100" w:after="100"/>
      <w:jc w:val="center"/>
    </w:pPr>
    <w:rPr>
      <w:rFonts w:eastAsia="Times New Roman"/>
      <w:b/>
      <w:noProof/>
      <w:color w:val="000000"/>
      <w:kern w:val="0"/>
      <w:sz w:val="21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5475D7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5475D7"/>
    <w:pPr>
      <w:ind w:firstLineChars="200" w:firstLine="200"/>
      <w:jc w:val="both"/>
    </w:pPr>
    <w:rPr>
      <w:rFonts w:eastAsia="Times New Roman"/>
      <w:snapToGrid w:val="0"/>
      <w:color w:val="000000"/>
      <w:kern w:val="0"/>
      <w:sz w:val="21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5475D7"/>
    <w:rPr>
      <w:rFonts w:eastAsia="Times New Roman"/>
      <w:snapToGrid w:val="0"/>
      <w:color w:val="000000"/>
      <w:kern w:val="0"/>
      <w:sz w:val="21"/>
      <w:szCs w:val="28"/>
      <w:lang w:eastAsia="de-DE" w:bidi="en-US"/>
    </w:rPr>
  </w:style>
  <w:style w:type="paragraph" w:styleId="a3">
    <w:name w:val="Balloon Text"/>
    <w:basedOn w:val="a"/>
    <w:link w:val="a4"/>
    <w:uiPriority w:val="99"/>
    <w:semiHidden/>
    <w:rsid w:val="00C107F8"/>
    <w:rPr>
      <w:rFonts w:cs="Tahoma"/>
      <w:szCs w:val="18"/>
    </w:rPr>
  </w:style>
  <w:style w:type="character" w:customStyle="1" w:styleId="a4">
    <w:name w:val="批注框文本 字符"/>
    <w:link w:val="a3"/>
    <w:uiPriority w:val="99"/>
    <w:semiHidden/>
    <w:rsid w:val="005475D7"/>
    <w:rPr>
      <w:rFonts w:cs="Tahoma"/>
      <w:kern w:val="0"/>
      <w:szCs w:val="18"/>
    </w:rPr>
  </w:style>
  <w:style w:type="paragraph" w:styleId="a5">
    <w:name w:val="Normal (Web)"/>
    <w:basedOn w:val="a"/>
    <w:uiPriority w:val="99"/>
    <w:semiHidden/>
    <w:rsid w:val="00C107F8"/>
    <w:rPr>
      <w:szCs w:val="24"/>
    </w:rPr>
  </w:style>
  <w:style w:type="table" w:styleId="a6">
    <w:name w:val="Table Grid"/>
    <w:basedOn w:val="a1"/>
    <w:uiPriority w:val="59"/>
    <w:rsid w:val="00C107F8"/>
    <w:pPr>
      <w:spacing w:line="260" w:lineRule="atLeast"/>
      <w:jc w:val="both"/>
    </w:pPr>
    <w:rPr>
      <w:rFonts w:ascii="Palatino Linotype" w:hAnsi="Palatino Linotype"/>
      <w:color w:val="000000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endnote text"/>
    <w:basedOn w:val="a"/>
    <w:link w:val="a8"/>
    <w:semiHidden/>
    <w:rsid w:val="00C107F8"/>
    <w:pPr>
      <w:spacing w:line="240" w:lineRule="auto"/>
    </w:pPr>
  </w:style>
  <w:style w:type="character" w:customStyle="1" w:styleId="50">
    <w:name w:val="标题 5 字符"/>
    <w:link w:val="5"/>
    <w:semiHidden/>
    <w:rsid w:val="005475D7"/>
    <w:rPr>
      <w:rFonts w:cstheme="minorBidi"/>
      <w:b/>
      <w:bCs/>
      <w:kern w:val="0"/>
      <w:sz w:val="28"/>
      <w:szCs w:val="28"/>
    </w:rPr>
  </w:style>
  <w:style w:type="character" w:customStyle="1" w:styleId="a8">
    <w:name w:val="尾注文本 字符"/>
    <w:link w:val="a7"/>
    <w:semiHidden/>
    <w:rsid w:val="005475D7"/>
    <w:rPr>
      <w:rFonts w:cstheme="minorBidi"/>
      <w:kern w:val="0"/>
      <w:szCs w:val="22"/>
    </w:rPr>
  </w:style>
  <w:style w:type="table" w:styleId="41">
    <w:name w:val="Plain Table 4"/>
    <w:basedOn w:val="a1"/>
    <w:uiPriority w:val="44"/>
    <w:rsid w:val="00C107F8"/>
    <w:rPr>
      <w:rFonts w:ascii="Calibri" w:hAnsi="Calibri"/>
      <w:kern w:val="0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a9">
    <w:name w:val="line number"/>
    <w:basedOn w:val="a0"/>
    <w:uiPriority w:val="99"/>
    <w:semiHidden/>
    <w:rsid w:val="00C107F8"/>
  </w:style>
  <w:style w:type="paragraph" w:styleId="aa">
    <w:name w:val="footer"/>
    <w:basedOn w:val="a"/>
    <w:link w:val="ab"/>
    <w:uiPriority w:val="99"/>
    <w:rsid w:val="00C107F8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ab">
    <w:name w:val="页脚 字符"/>
    <w:link w:val="aa"/>
    <w:uiPriority w:val="99"/>
    <w:rsid w:val="005475D7"/>
    <w:rPr>
      <w:rFonts w:cstheme="minorBidi"/>
      <w:kern w:val="0"/>
      <w:szCs w:val="18"/>
    </w:rPr>
  </w:style>
  <w:style w:type="paragraph" w:styleId="ac">
    <w:name w:val="header"/>
    <w:basedOn w:val="a"/>
    <w:link w:val="ad"/>
    <w:uiPriority w:val="99"/>
    <w:semiHidden/>
    <w:rsid w:val="00C107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ad">
    <w:name w:val="页眉 字符"/>
    <w:link w:val="ac"/>
    <w:uiPriority w:val="99"/>
    <w:semiHidden/>
    <w:rsid w:val="005475D7"/>
    <w:rPr>
      <w:rFonts w:cstheme="minorBidi"/>
      <w:kern w:val="0"/>
      <w:szCs w:val="18"/>
    </w:rPr>
  </w:style>
  <w:style w:type="character" w:styleId="ae">
    <w:name w:val="Placeholder Text"/>
    <w:uiPriority w:val="99"/>
    <w:semiHidden/>
    <w:rsid w:val="00C107F8"/>
    <w:rPr>
      <w:color w:val="808080"/>
    </w:rPr>
  </w:style>
  <w:style w:type="character" w:styleId="af">
    <w:name w:val="annotation reference"/>
    <w:basedOn w:val="a0"/>
    <w:uiPriority w:val="99"/>
    <w:semiHidden/>
    <w:rsid w:val="0048757D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rsid w:val="0048757D"/>
  </w:style>
  <w:style w:type="character" w:customStyle="1" w:styleId="af1">
    <w:name w:val="批注文字 字符"/>
    <w:basedOn w:val="a0"/>
    <w:link w:val="af0"/>
    <w:uiPriority w:val="99"/>
    <w:semiHidden/>
    <w:rsid w:val="005475D7"/>
    <w:rPr>
      <w:rFonts w:cstheme="minorBidi"/>
      <w:kern w:val="0"/>
      <w:szCs w:val="22"/>
    </w:rPr>
  </w:style>
  <w:style w:type="table" w:customStyle="1" w:styleId="11">
    <w:name w:val="网格型1"/>
    <w:basedOn w:val="a1"/>
    <w:next w:val="a6"/>
    <w:uiPriority w:val="39"/>
    <w:rsid w:val="0048757D"/>
    <w:pPr>
      <w:spacing w:after="160" w:line="259" w:lineRule="auto"/>
    </w:pPr>
    <w:rPr>
      <w:rFonts w:asciiTheme="minorHAnsi" w:eastAsiaTheme="minorEastAsia" w:hAnsiTheme="minorHAnsi" w:cstheme="minorBidi"/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annotation subject"/>
    <w:basedOn w:val="af0"/>
    <w:next w:val="af0"/>
    <w:link w:val="af3"/>
    <w:semiHidden/>
    <w:rsid w:val="005C6667"/>
    <w:pPr>
      <w:jc w:val="left"/>
    </w:pPr>
    <w:rPr>
      <w:b/>
      <w:bCs/>
    </w:rPr>
  </w:style>
  <w:style w:type="character" w:customStyle="1" w:styleId="af3">
    <w:name w:val="批注主题 字符"/>
    <w:basedOn w:val="af1"/>
    <w:link w:val="af2"/>
    <w:semiHidden/>
    <w:rsid w:val="005C6667"/>
    <w:rPr>
      <w:rFonts w:cstheme="minorBidi"/>
      <w:b/>
      <w:bCs/>
      <w:kern w:val="0"/>
      <w:szCs w:val="22"/>
    </w:rPr>
  </w:style>
  <w:style w:type="paragraph" w:styleId="af4">
    <w:name w:val="Revision"/>
    <w:hidden/>
    <w:uiPriority w:val="99"/>
    <w:semiHidden/>
    <w:rsid w:val="005C6667"/>
    <w:rPr>
      <w:rFonts w:cstheme="minorBidi"/>
      <w:kern w:val="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8/08/relationships/commentsExtensible" Target="commentsExtensible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79</Pages>
  <Words>8760</Words>
  <Characters>46520</Characters>
  <Application>Microsoft Office Word</Application>
  <DocSecurity>0</DocSecurity>
  <Lines>6645</Lines>
  <Paragraphs>1579</Paragraphs>
  <ScaleCrop>false</ScaleCrop>
  <Company/>
  <LinksUpToDate>false</LinksUpToDate>
  <CharactersWithSpaces>53701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Yvette</dc:creator>
  <cp:keywords/>
  <dc:description/>
  <cp:lastModifiedBy>Enolia</cp:lastModifiedBy>
  <cp:revision>37</cp:revision>
  <dcterms:created xsi:type="dcterms:W3CDTF">2024-07-11T03:02:00Z</dcterms:created>
  <dcterms:modified xsi:type="dcterms:W3CDTF">2024-11-13T03:11:00Z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0abbbe4ab62bafb8dd8012b30ab39e9bc0b60a0035de9a5505c0d325951bb17e</vt:lpwstr>
  </property>
</Properties>
</file>