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358A4" w:rsidRPr="00AE608D" w:rsidRDefault="009358A4" w:rsidP="00AE608D">
      <w:pPr>
        <w:adjustRightInd w:val="0"/>
        <w:snapToGrid w:val="0"/>
        <w:spacing w:line="480" w:lineRule="auto"/>
        <w:rPr>
          <w:rFonts w:ascii="Times New Roman" w:hAnsi="Times New Roman" w:cs="Times New Roman"/>
          <w:b/>
          <w:sz w:val="24"/>
          <w:szCs w:val="24"/>
        </w:rPr>
      </w:pPr>
      <w:r>
        <w:rPr>
          <w:rFonts w:ascii="Times New Roman" w:hAnsi="Times New Roman" w:cs="Times New Roman"/>
          <w:b/>
          <w:sz w:val="24"/>
          <w:szCs w:val="24"/>
        </w:rPr>
        <w:t>Supplementary method 1. Assessment of c</w:t>
      </w:r>
      <w:r w:rsidRPr="00AE608D">
        <w:rPr>
          <w:rFonts w:ascii="Times New Roman" w:hAnsi="Times New Roman" w:cs="Times New Roman"/>
          <w:b/>
          <w:sz w:val="24"/>
          <w:szCs w:val="24"/>
        </w:rPr>
        <w:t>ovariates</w:t>
      </w:r>
    </w:p>
    <w:p w:rsidR="009358A4" w:rsidRPr="00884C9F" w:rsidRDefault="009358A4" w:rsidP="00AE608D">
      <w:pPr>
        <w:adjustRightInd w:val="0"/>
        <w:snapToGrid w:val="0"/>
        <w:spacing w:line="480" w:lineRule="auto"/>
        <w:ind w:firstLineChars="200" w:firstLine="480"/>
        <w:rPr>
          <w:rFonts w:ascii="Times New Roman" w:hAnsi="Times New Roman" w:cs="Times New Roman"/>
          <w:sz w:val="24"/>
          <w:szCs w:val="24"/>
        </w:rPr>
      </w:pPr>
      <w:r w:rsidRPr="00884C9F">
        <w:rPr>
          <w:rFonts w:ascii="Times New Roman" w:hAnsi="Times New Roman" w:cs="Times New Roman"/>
          <w:sz w:val="24"/>
          <w:szCs w:val="24"/>
        </w:rPr>
        <w:t>Information on age, sex, race/ethnicity, smoking status, physical activity, and self-reported medical conditions were obtained through standardized questionnaires during in-home interviews by trained interviewers. Heights, weights, waist circumferences, blood pressures, and blood samples were collected from physical examinations at</w:t>
      </w:r>
      <w:r>
        <w:rPr>
          <w:rFonts w:ascii="Times New Roman" w:hAnsi="Times New Roman" w:cs="Times New Roman"/>
          <w:sz w:val="24"/>
          <w:szCs w:val="24"/>
        </w:rPr>
        <w:t xml:space="preserve"> </w:t>
      </w:r>
      <w:r w:rsidRPr="00884C9F">
        <w:rPr>
          <w:rFonts w:ascii="Times New Roman" w:hAnsi="Times New Roman" w:cs="Times New Roman"/>
          <w:sz w:val="24"/>
          <w:szCs w:val="24"/>
        </w:rPr>
        <w:t>MEC using standard protocols.</w:t>
      </w:r>
    </w:p>
    <w:p w:rsidR="009358A4" w:rsidRPr="00884C9F" w:rsidRDefault="009358A4" w:rsidP="00AE608D">
      <w:pPr>
        <w:adjustRightInd w:val="0"/>
        <w:snapToGrid w:val="0"/>
        <w:spacing w:line="480" w:lineRule="auto"/>
        <w:ind w:firstLineChars="200" w:firstLine="480"/>
        <w:rPr>
          <w:rFonts w:ascii="Times New Roman" w:hAnsi="Times New Roman" w:cs="Times New Roman"/>
          <w:sz w:val="24"/>
          <w:szCs w:val="24"/>
        </w:rPr>
      </w:pPr>
      <w:r w:rsidRPr="00884C9F">
        <w:rPr>
          <w:rFonts w:ascii="Times New Roman" w:hAnsi="Times New Roman" w:cs="Times New Roman"/>
          <w:sz w:val="24"/>
          <w:szCs w:val="24"/>
        </w:rPr>
        <w:t xml:space="preserve">Race/ethnicity was categorized as non-Hispanic White people, non-Hispanic Black people, Mexican American people, and others. </w:t>
      </w:r>
      <w:r w:rsidRPr="00E00CE5">
        <w:rPr>
          <w:rFonts w:ascii="Times New Roman" w:hAnsi="Times New Roman" w:cs="Times New Roman"/>
          <w:sz w:val="24"/>
          <w:szCs w:val="24"/>
        </w:rPr>
        <w:t>Education level was</w:t>
      </w:r>
      <w:r w:rsidRPr="00E00CE5">
        <w:rPr>
          <w:rFonts w:ascii="Times New Roman" w:hAnsi="Times New Roman" w:cs="Times New Roman" w:hint="eastAsia"/>
          <w:sz w:val="24"/>
          <w:szCs w:val="24"/>
        </w:rPr>
        <w:t xml:space="preserve"> </w:t>
      </w:r>
      <w:r w:rsidRPr="00E00CE5">
        <w:rPr>
          <w:rFonts w:ascii="Times New Roman" w:hAnsi="Times New Roman" w:cs="Times New Roman"/>
          <w:sz w:val="24"/>
          <w:szCs w:val="24"/>
        </w:rPr>
        <w:t>categorized as under high school, high</w:t>
      </w:r>
      <w:r w:rsidRPr="00E00CE5">
        <w:rPr>
          <w:rFonts w:ascii="Times New Roman" w:hAnsi="Times New Roman" w:cs="Times New Roman" w:hint="eastAsia"/>
          <w:sz w:val="24"/>
          <w:szCs w:val="24"/>
        </w:rPr>
        <w:t xml:space="preserve"> </w:t>
      </w:r>
      <w:r w:rsidRPr="00E00CE5">
        <w:rPr>
          <w:rFonts w:ascii="Times New Roman" w:hAnsi="Times New Roman" w:cs="Times New Roman"/>
          <w:sz w:val="24"/>
          <w:szCs w:val="24"/>
        </w:rPr>
        <w:t xml:space="preserve">school or equivalent, and college or higher. The family income </w:t>
      </w:r>
      <w:r w:rsidRPr="00E00CE5">
        <w:rPr>
          <w:rFonts w:ascii="Times New Roman" w:hAnsi="Times New Roman" w:cs="Times New Roman" w:hint="eastAsia"/>
          <w:sz w:val="24"/>
          <w:szCs w:val="24"/>
        </w:rPr>
        <w:t>t</w:t>
      </w:r>
      <w:r w:rsidRPr="00E00CE5">
        <w:rPr>
          <w:rFonts w:ascii="Times New Roman" w:hAnsi="Times New Roman" w:cs="Times New Roman"/>
          <w:sz w:val="24"/>
          <w:szCs w:val="24"/>
        </w:rPr>
        <w:t xml:space="preserve">o poverty ratio was classified as ≤ 1.0, 1.0 –3.0, and &gt; 3.0. </w:t>
      </w:r>
      <w:r w:rsidRPr="00884C9F">
        <w:rPr>
          <w:rFonts w:ascii="Times New Roman" w:hAnsi="Times New Roman" w:cs="Times New Roman"/>
          <w:sz w:val="24"/>
          <w:szCs w:val="24"/>
        </w:rPr>
        <w:t>Physical activity was measured as the weekly minutes of moderate and vigorous activities multiplied by the metabolic equivalent (MET) level and divided into four categories: sedentary (without regular physical activity, MET-minutes/week = 0), insufficient (0 &lt; MET-minutes/week &lt; 500), moderate (500 ≤ MET-minutes/week ≤ 1000), and high (&gt;1000 MET-minutes/week)</w:t>
      </w:r>
      <w:r w:rsidRPr="00884C9F">
        <w:rPr>
          <w:rFonts w:ascii="Times New Roman" w:hAnsi="Times New Roman" w:cs="Times New Roman"/>
          <w:noProof/>
          <w:sz w:val="24"/>
          <w:szCs w:val="24"/>
        </w:rPr>
        <w:t xml:space="preserve"> </w:t>
      </w:r>
      <w:r>
        <w:rPr>
          <w:rFonts w:ascii="Times New Roman" w:hAnsi="Times New Roman" w:cs="Times New Roman"/>
          <w:noProof/>
          <w:sz w:val="24"/>
          <w:szCs w:val="24"/>
        </w:rPr>
        <w:t>(1).</w:t>
      </w:r>
      <w:r w:rsidRPr="00884C9F">
        <w:rPr>
          <w:rFonts w:ascii="Times New Roman" w:hAnsi="Times New Roman" w:cs="Times New Roman"/>
          <w:sz w:val="24"/>
          <w:szCs w:val="24"/>
        </w:rPr>
        <w:t xml:space="preserve"> Smoking status was categorized as never (smoked less than 100 cigarettes in life), former (smoked more than 100 cigarettes in life but quit smoking now), and current (smoked more than 100 cigarettes in life and still smoke some days or every day).</w:t>
      </w:r>
      <w:r>
        <w:rPr>
          <w:rFonts w:ascii="Times New Roman" w:hAnsi="Times New Roman" w:cs="Times New Roman"/>
          <w:sz w:val="24"/>
          <w:szCs w:val="24"/>
        </w:rPr>
        <w:t xml:space="preserve"> </w:t>
      </w:r>
      <w:r w:rsidRPr="00884C9F">
        <w:rPr>
          <w:rFonts w:ascii="Times New Roman" w:hAnsi="Times New Roman" w:cs="Times New Roman"/>
          <w:sz w:val="24"/>
          <w:szCs w:val="24"/>
        </w:rPr>
        <w:t>Body mass index (BMI, kg/m</w:t>
      </w:r>
      <w:r w:rsidRPr="00884C9F">
        <w:rPr>
          <w:rFonts w:ascii="Times New Roman" w:hAnsi="Times New Roman" w:cs="Times New Roman"/>
          <w:sz w:val="24"/>
          <w:szCs w:val="24"/>
          <w:vertAlign w:val="superscript"/>
        </w:rPr>
        <w:t>2</w:t>
      </w:r>
      <w:r w:rsidRPr="00884C9F">
        <w:rPr>
          <w:rFonts w:ascii="Times New Roman" w:hAnsi="Times New Roman" w:cs="Times New Roman"/>
          <w:sz w:val="24"/>
          <w:szCs w:val="24"/>
        </w:rPr>
        <w:t xml:space="preserve">) was calculated as weight in kilograms divided by height in meters squared. </w:t>
      </w:r>
      <w:r>
        <w:rPr>
          <w:rFonts w:ascii="Times New Roman" w:hAnsi="Times New Roman" w:cs="Times New Roman"/>
          <w:sz w:val="24"/>
          <w:szCs w:val="24"/>
        </w:rPr>
        <w:t xml:space="preserve">Diabetes mellitus, hyperlipidemia, </w:t>
      </w:r>
      <w:r w:rsidR="00FE58D8">
        <w:rPr>
          <w:rFonts w:ascii="Times New Roman" w:hAnsi="Times New Roman" w:cs="Times New Roman"/>
          <w:sz w:val="24"/>
          <w:szCs w:val="24"/>
        </w:rPr>
        <w:t xml:space="preserve">cancer, </w:t>
      </w:r>
      <w:r>
        <w:rPr>
          <w:rFonts w:ascii="Times New Roman" w:hAnsi="Times New Roman" w:cs="Times New Roman"/>
          <w:sz w:val="24"/>
          <w:szCs w:val="24"/>
        </w:rPr>
        <w:t>and hypertension were presented as “yes” or “no”.</w:t>
      </w:r>
    </w:p>
    <w:p w:rsidR="009358A4" w:rsidRDefault="009358A4"/>
    <w:p w:rsidR="009358A4" w:rsidRPr="00D204E2" w:rsidRDefault="00D204E2" w:rsidP="00D204E2">
      <w:pPr>
        <w:spacing w:line="480" w:lineRule="auto"/>
        <w:rPr>
          <w:rFonts w:ascii="Times New Roman" w:hAnsi="Times New Roman" w:cs="Times New Roman"/>
          <w:sz w:val="24"/>
          <w:szCs w:val="24"/>
        </w:rPr>
      </w:pPr>
      <w:r w:rsidRPr="00D204E2">
        <w:rPr>
          <w:rFonts w:ascii="Times New Roman" w:hAnsi="Times New Roman" w:cs="Times New Roman" w:hint="eastAsia"/>
          <w:sz w:val="24"/>
          <w:szCs w:val="24"/>
        </w:rPr>
        <w:t>R</w:t>
      </w:r>
      <w:r w:rsidRPr="00D204E2">
        <w:rPr>
          <w:rFonts w:ascii="Times New Roman" w:hAnsi="Times New Roman" w:cs="Times New Roman"/>
          <w:sz w:val="24"/>
          <w:szCs w:val="24"/>
        </w:rPr>
        <w:t>eference</w:t>
      </w:r>
    </w:p>
    <w:p w:rsidR="00C02133" w:rsidRPr="009C3B1D" w:rsidRDefault="009358A4" w:rsidP="009C3B1D">
      <w:pPr>
        <w:pStyle w:val="EndNoteBibliography"/>
        <w:spacing w:line="480" w:lineRule="auto"/>
        <w:rPr>
          <w:rFonts w:ascii="Times New Roman" w:eastAsiaTheme="minorEastAsia" w:hAnsi="Times New Roman" w:cs="Times New Roman"/>
          <w:noProof w:val="0"/>
          <w:sz w:val="24"/>
          <w:szCs w:val="24"/>
        </w:rPr>
      </w:pPr>
      <w:r w:rsidRPr="00D204E2">
        <w:rPr>
          <w:rFonts w:ascii="Times New Roman" w:eastAsiaTheme="minorEastAsia" w:hAnsi="Times New Roman" w:cs="Times New Roman"/>
          <w:noProof w:val="0"/>
          <w:sz w:val="24"/>
          <w:szCs w:val="24"/>
        </w:rPr>
        <w:t>1. Third Report of the National Cholesterol Education Program (NCEP) Expert Panel on Detection, Evaluation, and Treatment of High Blood Cholesterol in Adults (Adult Treatment Panel III) final report. Circulation (2002);106(25):3143-421.</w:t>
      </w:r>
    </w:p>
    <w:sectPr w:rsidR="00C02133" w:rsidRPr="009C3B1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6011C"/>
    <w:multiLevelType w:val="multilevel"/>
    <w:tmpl w:val="BCB035E8"/>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16cid:durableId="2380586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UytDS2MDM3MTAztTBV0lEKTi0uzszPAykwrgUAHBcYriwAAAA="/>
    <w:docVar w:name="EN.InstantFormat" w:val="&lt;ENInstantFormat&gt;&lt;Enabled&gt;1&lt;/Enabled&gt;&lt;ScanUnformatted&gt;1&lt;/ScanUnformatted&gt;&lt;ScanChanges&gt;1&lt;/ScanChanges&gt;&lt;Suspended&gt;1&lt;/Suspended&gt;&lt;/ENInstantFormat&gt;"/>
  </w:docVars>
  <w:rsids>
    <w:rsidRoot w:val="009358A4"/>
    <w:rsid w:val="009358A4"/>
    <w:rsid w:val="009C3B1D"/>
    <w:rsid w:val="00C02133"/>
    <w:rsid w:val="00D204E2"/>
    <w:rsid w:val="00FE58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2968D"/>
  <w15:chartTrackingRefBased/>
  <w15:docId w15:val="{06D17884-FB46-4D0E-8DF4-BB29A512F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358A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358A4"/>
    <w:pPr>
      <w:ind w:firstLineChars="200" w:firstLine="420"/>
    </w:pPr>
  </w:style>
  <w:style w:type="paragraph" w:customStyle="1" w:styleId="EndNoteBibliographyTitle">
    <w:name w:val="EndNote Bibliography Title"/>
    <w:basedOn w:val="a"/>
    <w:link w:val="EndNoteBibliographyTitle0"/>
    <w:rsid w:val="009358A4"/>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9358A4"/>
    <w:rPr>
      <w:rFonts w:ascii="等线" w:eastAsia="等线" w:hAnsi="等线"/>
      <w:noProof/>
      <w:sz w:val="20"/>
    </w:rPr>
  </w:style>
  <w:style w:type="paragraph" w:customStyle="1" w:styleId="EndNoteBibliography">
    <w:name w:val="EndNote Bibliography"/>
    <w:basedOn w:val="a"/>
    <w:link w:val="EndNoteBibliography0"/>
    <w:rsid w:val="009358A4"/>
    <w:rPr>
      <w:rFonts w:ascii="等线" w:eastAsia="等线" w:hAnsi="等线"/>
      <w:noProof/>
      <w:sz w:val="20"/>
    </w:rPr>
  </w:style>
  <w:style w:type="character" w:customStyle="1" w:styleId="EndNoteBibliography0">
    <w:name w:val="EndNote Bibliography 字符"/>
    <w:basedOn w:val="a0"/>
    <w:link w:val="EndNoteBibliography"/>
    <w:rsid w:val="009358A4"/>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266</Words>
  <Characters>1517</Characters>
  <Application>Microsoft Office Word</Application>
  <DocSecurity>0</DocSecurity>
  <Lines>12</Lines>
  <Paragraphs>3</Paragraphs>
  <ScaleCrop>false</ScaleCrop>
  <Company/>
  <LinksUpToDate>false</LinksUpToDate>
  <CharactersWithSpaces>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SMU_yanjunsong@163.com</dc:creator>
  <cp:keywords/>
  <dc:description/>
  <cp:lastModifiedBy>Yanjun Song</cp:lastModifiedBy>
  <cp:revision>4</cp:revision>
  <dcterms:created xsi:type="dcterms:W3CDTF">2023-04-06T01:49:00Z</dcterms:created>
  <dcterms:modified xsi:type="dcterms:W3CDTF">2023-06-08T10:07:00Z</dcterms:modified>
</cp:coreProperties>
</file>