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F6B80C" w14:textId="0F2ED718" w:rsidR="00AD5A3C" w:rsidRDefault="007A072A" w:rsidP="00AA2C60">
      <w:pPr>
        <w:pStyle w:val="Tablecaption"/>
        <w:spacing w:before="312" w:after="312"/>
        <w:rPr>
          <w:shd w:val="clear" w:color="auto" w:fill="FFFFFF"/>
        </w:rPr>
      </w:pPr>
      <w:r>
        <w:rPr>
          <w:rFonts w:hint="eastAsia"/>
        </w:rPr>
        <w:t xml:space="preserve"> </w:t>
      </w:r>
      <w:r w:rsidRPr="007A072A">
        <w:rPr>
          <w:shd w:val="clear" w:color="auto" w:fill="FFFFFF"/>
        </w:rPr>
        <w:t>S</w:t>
      </w:r>
      <w:r w:rsidRPr="007A072A">
        <w:rPr>
          <w:rFonts w:hint="eastAsia"/>
          <w:shd w:val="clear" w:color="auto" w:fill="FFFFFF"/>
        </w:rPr>
        <w:t>u</w:t>
      </w:r>
      <w:r w:rsidRPr="007A072A">
        <w:rPr>
          <w:shd w:val="clear" w:color="auto" w:fill="FFFFFF"/>
        </w:rPr>
        <w:t>pplementary T</w:t>
      </w:r>
      <w:r w:rsidRPr="007A072A">
        <w:rPr>
          <w:rFonts w:hint="eastAsia"/>
          <w:shd w:val="clear" w:color="auto" w:fill="FFFFFF"/>
        </w:rPr>
        <w:t>a</w:t>
      </w:r>
      <w:r w:rsidRPr="007A072A">
        <w:rPr>
          <w:shd w:val="clear" w:color="auto" w:fill="FFFFFF"/>
        </w:rPr>
        <w:t>ble</w:t>
      </w:r>
      <w:r w:rsidR="00AA2C60">
        <w:rPr>
          <w:shd w:val="clear" w:color="auto" w:fill="FFFFFF"/>
        </w:rPr>
        <w:t xml:space="preserve"> </w:t>
      </w:r>
      <w:r w:rsidRPr="007A072A">
        <w:rPr>
          <w:shd w:val="clear" w:color="auto" w:fill="FFFFFF"/>
        </w:rPr>
        <w:t>1</w:t>
      </w:r>
      <w:r w:rsidR="00AA2C60">
        <w:rPr>
          <w:shd w:val="clear" w:color="auto" w:fill="FFFFFF"/>
        </w:rPr>
        <w:t>.</w:t>
      </w:r>
      <w:r>
        <w:rPr>
          <w:shd w:val="clear" w:color="auto" w:fill="FFFFFF"/>
        </w:rPr>
        <w:t xml:space="preserve"> M</w:t>
      </w:r>
      <w:r>
        <w:rPr>
          <w:rFonts w:hint="eastAsia"/>
          <w:shd w:val="clear" w:color="auto" w:fill="FFFFFF"/>
        </w:rPr>
        <w:t>ul</w:t>
      </w:r>
      <w:r>
        <w:rPr>
          <w:shd w:val="clear" w:color="auto" w:fill="FFFFFF"/>
        </w:rPr>
        <w:t>t</w:t>
      </w:r>
      <w:r w:rsidRPr="00CB7219">
        <w:rPr>
          <w:shd w:val="clear" w:color="auto" w:fill="FFFFFF"/>
        </w:rPr>
        <w:t>ivariable analysis</w:t>
      </w:r>
      <w:r>
        <w:rPr>
          <w:shd w:val="clear" w:color="auto" w:fill="FFFFFF"/>
        </w:rPr>
        <w:t xml:space="preserve"> </w:t>
      </w:r>
      <w:r>
        <w:rPr>
          <w:rFonts w:hint="eastAsia"/>
          <w:shd w:val="clear" w:color="auto" w:fill="FFFFFF"/>
        </w:rPr>
        <w:t>for</w:t>
      </w:r>
      <w:r>
        <w:rPr>
          <w:shd w:val="clear" w:color="auto" w:fill="FFFFFF"/>
        </w:rPr>
        <w:t xml:space="preserve"> 30-day and 1 year </w:t>
      </w:r>
      <w:r w:rsidRPr="00CB7219">
        <w:rPr>
          <w:shd w:val="clear" w:color="auto" w:fill="FFFFFF"/>
        </w:rPr>
        <w:t>mortality</w:t>
      </w:r>
      <w:r w:rsidR="00BF766B" w:rsidRPr="00BF766B">
        <w:rPr>
          <w:shd w:val="clear" w:color="auto" w:fill="FFFFFF"/>
        </w:rPr>
        <w:t xml:space="preserve"> </w:t>
      </w:r>
      <w:r w:rsidR="00BF766B">
        <w:rPr>
          <w:shd w:val="clear" w:color="auto" w:fill="FFFFFF"/>
        </w:rPr>
        <w:t xml:space="preserve">of the AMI </w:t>
      </w:r>
      <w:r w:rsidR="00BF766B">
        <w:rPr>
          <w:rFonts w:hint="eastAsia"/>
          <w:shd w:val="clear" w:color="auto" w:fill="FFFFFF"/>
        </w:rPr>
        <w:t>related</w:t>
      </w:r>
      <w:r w:rsidR="00BF766B">
        <w:rPr>
          <w:shd w:val="clear" w:color="auto" w:fill="FFFFFF"/>
        </w:rPr>
        <w:t xml:space="preserve"> CS </w:t>
      </w:r>
      <w:r w:rsidR="00BF766B">
        <w:rPr>
          <w:rFonts w:hint="eastAsia"/>
          <w:shd w:val="clear" w:color="auto" w:fill="FFFFFF"/>
        </w:rPr>
        <w:t>patients</w:t>
      </w:r>
      <w:r w:rsidR="00BF766B">
        <w:rPr>
          <w:shd w:val="clear" w:color="auto" w:fill="FFFFFF"/>
        </w:rPr>
        <w:t>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984"/>
        <w:gridCol w:w="1681"/>
        <w:gridCol w:w="2433"/>
        <w:gridCol w:w="1411"/>
      </w:tblGrid>
      <w:tr w:rsidR="00AD5A3C" w:rsidRPr="00AA2C60" w14:paraId="6452F158" w14:textId="77777777" w:rsidTr="00AC5C22">
        <w:tc>
          <w:tcPr>
            <w:tcW w:w="2689" w:type="dxa"/>
            <w:tcBorders>
              <w:bottom w:val="nil"/>
            </w:tcBorders>
          </w:tcPr>
          <w:p w14:paraId="7B1FD008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sz w:val="21"/>
              </w:rPr>
            </w:pPr>
            <w:bookmarkStart w:id="0" w:name="_GoBack"/>
            <w:bookmarkEnd w:id="0"/>
          </w:p>
        </w:tc>
        <w:tc>
          <w:tcPr>
            <w:tcW w:w="366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7CB2ED" w14:textId="7F6F38A2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M</w:t>
            </w:r>
            <w:r w:rsidRPr="00AA2C60">
              <w:rPr>
                <w:rFonts w:ascii="Times New Roman" w:hAnsi="Times New Roman" w:cs="Times New Roman" w:hint="eastAsia"/>
                <w:b/>
                <w:bCs/>
                <w:color w:val="101214"/>
                <w:kern w:val="2"/>
                <w:sz w:val="21"/>
                <w:shd w:val="clear" w:color="auto" w:fill="FFFFFF"/>
              </w:rPr>
              <w:t>ul</w:t>
            </w: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tivariable analysis for 30-day mortality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E8F6DA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M</w:t>
            </w:r>
            <w:r w:rsidRPr="00AA2C60">
              <w:rPr>
                <w:rFonts w:ascii="Times New Roman" w:hAnsi="Times New Roman" w:cs="Times New Roman" w:hint="eastAsia"/>
                <w:b/>
                <w:bCs/>
                <w:color w:val="101214"/>
                <w:kern w:val="2"/>
                <w:sz w:val="21"/>
                <w:shd w:val="clear" w:color="auto" w:fill="FFFFFF"/>
              </w:rPr>
              <w:t>ul</w:t>
            </w: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tivariable analysis in 1 year mortality</w:t>
            </w:r>
          </w:p>
        </w:tc>
      </w:tr>
      <w:tr w:rsidR="00AA2C60" w:rsidRPr="00AA2C60" w14:paraId="448AE1A0" w14:textId="77777777" w:rsidTr="00AC5C22"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14:paraId="5D01A93D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sz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3C6750F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b/>
                <w:bCs/>
                <w:color w:val="101214"/>
                <w:kern w:val="2"/>
                <w:sz w:val="21"/>
                <w:shd w:val="clear" w:color="auto" w:fill="FFFFFF"/>
              </w:rPr>
              <w:t>H</w:t>
            </w: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R(95%CI)</w:t>
            </w:r>
          </w:p>
        </w:tc>
        <w:tc>
          <w:tcPr>
            <w:tcW w:w="1681" w:type="dxa"/>
            <w:tcBorders>
              <w:top w:val="single" w:sz="4" w:space="0" w:color="auto"/>
              <w:bottom w:val="single" w:sz="4" w:space="0" w:color="auto"/>
            </w:tcBorders>
          </w:tcPr>
          <w:p w14:paraId="0F858982" w14:textId="77777777" w:rsidR="00AD5A3C" w:rsidRPr="00AA2C60" w:rsidRDefault="00AD5A3C" w:rsidP="007E793C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b/>
                <w:bCs/>
                <w:i/>
                <w:iCs/>
                <w:color w:val="101214"/>
                <w:kern w:val="2"/>
                <w:sz w:val="21"/>
                <w:shd w:val="clear" w:color="auto" w:fill="FFFFFF"/>
              </w:rPr>
              <w:t>p</w:t>
            </w: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-V</w:t>
            </w:r>
            <w:r w:rsidRPr="00AA2C60">
              <w:rPr>
                <w:rFonts w:ascii="Times New Roman" w:hAnsi="Times New Roman" w:cs="Times New Roman" w:hint="eastAsia"/>
                <w:b/>
                <w:bCs/>
                <w:color w:val="101214"/>
                <w:kern w:val="2"/>
                <w:sz w:val="21"/>
                <w:shd w:val="clear" w:color="auto" w:fill="FFFFFF"/>
              </w:rPr>
              <w:t>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F8F787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ind w:firstLineChars="100" w:firstLine="211"/>
              <w:jc w:val="center"/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b/>
                <w:bCs/>
                <w:color w:val="101214"/>
                <w:kern w:val="2"/>
                <w:sz w:val="21"/>
                <w:shd w:val="clear" w:color="auto" w:fill="FFFFFF"/>
              </w:rPr>
              <w:t>H</w:t>
            </w: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R(95%CI)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3CAB78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b/>
                <w:bCs/>
                <w:i/>
                <w:iCs/>
                <w:color w:val="101214"/>
                <w:kern w:val="2"/>
                <w:sz w:val="21"/>
                <w:shd w:val="clear" w:color="auto" w:fill="FFFFFF"/>
              </w:rPr>
              <w:t>p</w:t>
            </w:r>
            <w:r w:rsidRPr="00AA2C60">
              <w:rPr>
                <w:rFonts w:ascii="Times New Roman" w:hAnsi="Times New Roman" w:cs="Times New Roman"/>
                <w:b/>
                <w:bCs/>
                <w:color w:val="101214"/>
                <w:kern w:val="2"/>
                <w:sz w:val="21"/>
                <w:shd w:val="clear" w:color="auto" w:fill="FFFFFF"/>
              </w:rPr>
              <w:t>-V</w:t>
            </w:r>
            <w:r w:rsidRPr="00AA2C60">
              <w:rPr>
                <w:rFonts w:ascii="Times New Roman" w:hAnsi="Times New Roman" w:cs="Times New Roman" w:hint="eastAsia"/>
                <w:b/>
                <w:bCs/>
                <w:color w:val="101214"/>
                <w:kern w:val="2"/>
                <w:sz w:val="21"/>
                <w:shd w:val="clear" w:color="auto" w:fill="FFFFFF"/>
              </w:rPr>
              <w:t>alue</w:t>
            </w:r>
          </w:p>
        </w:tc>
      </w:tr>
      <w:tr w:rsidR="00AA2C60" w:rsidRPr="00AA2C60" w14:paraId="72436FD9" w14:textId="77777777" w:rsidTr="00AC5C22">
        <w:tc>
          <w:tcPr>
            <w:tcW w:w="2689" w:type="dxa"/>
            <w:tcBorders>
              <w:top w:val="single" w:sz="4" w:space="0" w:color="auto"/>
            </w:tcBorders>
          </w:tcPr>
          <w:p w14:paraId="40E5EFD0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Age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, yrs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502DD6FA" w14:textId="67599540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1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4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(1.02-1.0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6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1681" w:type="dxa"/>
            <w:tcBorders>
              <w:top w:val="single" w:sz="4" w:space="0" w:color="auto"/>
            </w:tcBorders>
          </w:tcPr>
          <w:p w14:paraId="099D1B8D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36A4D2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1.03(1.01-1.05)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5DF9C3" w14:textId="257AE1C9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03</w:t>
            </w:r>
          </w:p>
        </w:tc>
      </w:tr>
      <w:tr w:rsidR="00AA2C60" w:rsidRPr="00AA2C60" w14:paraId="5B542E4B" w14:textId="77777777" w:rsidTr="00AC5C22">
        <w:tc>
          <w:tcPr>
            <w:tcW w:w="2689" w:type="dxa"/>
          </w:tcPr>
          <w:p w14:paraId="3B627A2C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CA</w:t>
            </w:r>
          </w:p>
        </w:tc>
        <w:tc>
          <w:tcPr>
            <w:tcW w:w="1984" w:type="dxa"/>
          </w:tcPr>
          <w:p w14:paraId="4BF5ABB2" w14:textId="64A16953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1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56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(0.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88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-2.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76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1681" w:type="dxa"/>
          </w:tcPr>
          <w:p w14:paraId="2AC8B0F8" w14:textId="6AAFC812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.1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30</w:t>
            </w:r>
          </w:p>
        </w:tc>
        <w:tc>
          <w:tcPr>
            <w:tcW w:w="0" w:type="auto"/>
          </w:tcPr>
          <w:p w14:paraId="7039E3BF" w14:textId="415E1769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1.63</w:t>
            </w:r>
            <w:r w:rsidR="00AD5A3C"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(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0.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94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-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2.80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0" w:type="auto"/>
          </w:tcPr>
          <w:p w14:paraId="77E3056D" w14:textId="362ACD21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0.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079</w:t>
            </w:r>
          </w:p>
        </w:tc>
      </w:tr>
      <w:tr w:rsidR="00AA2C60" w:rsidRPr="00AA2C60" w14:paraId="5793B49E" w14:textId="77777777" w:rsidTr="00AC5C22">
        <w:tc>
          <w:tcPr>
            <w:tcW w:w="2689" w:type="dxa"/>
          </w:tcPr>
          <w:p w14:paraId="4780CB49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V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entilation</w:t>
            </w:r>
          </w:p>
        </w:tc>
        <w:tc>
          <w:tcPr>
            <w:tcW w:w="1984" w:type="dxa"/>
          </w:tcPr>
          <w:p w14:paraId="330399C5" w14:textId="6DBE5E5C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9.44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(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2.27-39.2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1681" w:type="dxa"/>
          </w:tcPr>
          <w:p w14:paraId="2C2EE3C6" w14:textId="4091988D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2</w:t>
            </w:r>
          </w:p>
        </w:tc>
        <w:tc>
          <w:tcPr>
            <w:tcW w:w="0" w:type="auto"/>
          </w:tcPr>
          <w:p w14:paraId="1DE4E82A" w14:textId="14832D1A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3.43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(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1.54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-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7.63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0" w:type="auto"/>
          </w:tcPr>
          <w:p w14:paraId="71AB66CD" w14:textId="0D30C6BD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003</w:t>
            </w:r>
          </w:p>
        </w:tc>
      </w:tr>
      <w:tr w:rsidR="00AA2C60" w:rsidRPr="00AA2C60" w14:paraId="7F19099E" w14:textId="77777777" w:rsidTr="00AC5C22">
        <w:tc>
          <w:tcPr>
            <w:tcW w:w="2689" w:type="dxa"/>
          </w:tcPr>
          <w:p w14:paraId="5884EBD6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sz w:val="21"/>
              </w:rPr>
              <w:t>A</w:t>
            </w:r>
            <w:r w:rsidRPr="00AA2C60">
              <w:rPr>
                <w:rFonts w:ascii="Times New Roman" w:hAnsi="Times New Roman" w:cs="Times New Roman"/>
                <w:sz w:val="21"/>
              </w:rPr>
              <w:t>rterial hypertension</w:t>
            </w:r>
          </w:p>
        </w:tc>
        <w:tc>
          <w:tcPr>
            <w:tcW w:w="1984" w:type="dxa"/>
          </w:tcPr>
          <w:p w14:paraId="7E5853CB" w14:textId="19A7992F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</w:p>
        </w:tc>
        <w:tc>
          <w:tcPr>
            <w:tcW w:w="1681" w:type="dxa"/>
          </w:tcPr>
          <w:p w14:paraId="1D9397E5" w14:textId="0D9DCB38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</w:p>
        </w:tc>
        <w:tc>
          <w:tcPr>
            <w:tcW w:w="0" w:type="auto"/>
          </w:tcPr>
          <w:p w14:paraId="4236FD7D" w14:textId="01483968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1.78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(1.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12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-2.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80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0" w:type="auto"/>
          </w:tcPr>
          <w:p w14:paraId="52A78152" w14:textId="2752C9EE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014</w:t>
            </w:r>
          </w:p>
        </w:tc>
      </w:tr>
      <w:tr w:rsidR="00AA2C60" w:rsidRPr="00AA2C60" w14:paraId="25FE3B18" w14:textId="77777777" w:rsidTr="00AC5C22">
        <w:tc>
          <w:tcPr>
            <w:tcW w:w="2689" w:type="dxa"/>
          </w:tcPr>
          <w:p w14:paraId="73967868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1"/>
              </w:rPr>
            </w:pPr>
            <w:r w:rsidRPr="00AA2C60">
              <w:rPr>
                <w:rFonts w:ascii="Times New Roman" w:hAnsi="Times New Roman" w:cs="Times New Roman"/>
                <w:sz w:val="21"/>
              </w:rPr>
              <w:t xml:space="preserve">Baseline glucose, </w:t>
            </w:r>
            <w:r w:rsidRPr="00AA2C60">
              <w:rPr>
                <w:rFonts w:ascii="Times New Roman" w:hAnsi="Times New Roman" w:cs="Times New Roman" w:hint="eastAsia"/>
                <w:sz w:val="21"/>
              </w:rPr>
              <w:t>mmol</w:t>
            </w:r>
            <w:r w:rsidRPr="00AA2C60">
              <w:rPr>
                <w:rFonts w:ascii="Times New Roman" w:hAnsi="Times New Roman" w:cs="Times New Roman"/>
                <w:sz w:val="21"/>
              </w:rPr>
              <w:t>/L</w:t>
            </w:r>
          </w:p>
        </w:tc>
        <w:tc>
          <w:tcPr>
            <w:tcW w:w="1984" w:type="dxa"/>
          </w:tcPr>
          <w:p w14:paraId="6E96110F" w14:textId="79B26BDC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1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4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(1.0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1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-1.0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7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1681" w:type="dxa"/>
          </w:tcPr>
          <w:p w14:paraId="0E196038" w14:textId="66FA8BC5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.00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5</w:t>
            </w:r>
          </w:p>
        </w:tc>
        <w:tc>
          <w:tcPr>
            <w:tcW w:w="0" w:type="auto"/>
          </w:tcPr>
          <w:p w14:paraId="7E8CE9E1" w14:textId="03931DE5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1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.03(1.00-1.06)</w:t>
            </w:r>
          </w:p>
        </w:tc>
        <w:tc>
          <w:tcPr>
            <w:tcW w:w="0" w:type="auto"/>
          </w:tcPr>
          <w:p w14:paraId="7EF55D03" w14:textId="0A8E58F0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.038</w:t>
            </w:r>
          </w:p>
        </w:tc>
      </w:tr>
      <w:tr w:rsidR="00AA2C60" w:rsidRPr="00AA2C60" w14:paraId="7DC885D6" w14:textId="77777777" w:rsidTr="00AC5C22">
        <w:tc>
          <w:tcPr>
            <w:tcW w:w="2689" w:type="dxa"/>
          </w:tcPr>
          <w:p w14:paraId="108D8589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1"/>
              </w:rPr>
            </w:pPr>
            <w:r w:rsidRPr="00AA2C60">
              <w:rPr>
                <w:rFonts w:ascii="Times New Roman" w:hAnsi="Times New Roman" w:cs="Times New Roman"/>
                <w:sz w:val="21"/>
              </w:rPr>
              <w:t xml:space="preserve">TIMI grade=3 </w:t>
            </w:r>
            <w:r w:rsidRPr="00AA2C60">
              <w:rPr>
                <w:rFonts w:ascii="Times New Roman" w:hAnsi="Times New Roman" w:cs="Times New Roman" w:hint="eastAsia"/>
                <w:sz w:val="21"/>
              </w:rPr>
              <w:t>after</w:t>
            </w:r>
            <w:r w:rsidRPr="00AA2C60">
              <w:rPr>
                <w:rFonts w:ascii="Times New Roman" w:hAnsi="Times New Roman" w:cs="Times New Roman"/>
                <w:sz w:val="21"/>
              </w:rPr>
              <w:t xml:space="preserve"> PCI</w:t>
            </w:r>
          </w:p>
        </w:tc>
        <w:tc>
          <w:tcPr>
            <w:tcW w:w="1984" w:type="dxa"/>
          </w:tcPr>
          <w:p w14:paraId="2048A426" w14:textId="1E7563E3" w:rsidR="00AD5A3C" w:rsidRPr="00AA2C60" w:rsidRDefault="007A072A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0.19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(0.1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2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-0.3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2</w:t>
            </w:r>
            <w:r w:rsidR="00AD5A3C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1681" w:type="dxa"/>
          </w:tcPr>
          <w:p w14:paraId="1DCE154E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.000</w:t>
            </w:r>
          </w:p>
        </w:tc>
        <w:tc>
          <w:tcPr>
            <w:tcW w:w="0" w:type="auto"/>
          </w:tcPr>
          <w:p w14:paraId="06142077" w14:textId="779FBEE0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.23(0.1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5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-0.3</w:t>
            </w:r>
            <w:r w:rsidR="007A072A"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8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)</w:t>
            </w:r>
          </w:p>
        </w:tc>
        <w:tc>
          <w:tcPr>
            <w:tcW w:w="0" w:type="auto"/>
          </w:tcPr>
          <w:p w14:paraId="4D2E2183" w14:textId="77777777" w:rsidR="00AD5A3C" w:rsidRPr="00AA2C60" w:rsidRDefault="00AD5A3C" w:rsidP="00AA2C60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</w:pPr>
            <w:r w:rsidRPr="00AA2C60">
              <w:rPr>
                <w:rFonts w:ascii="Times New Roman" w:hAnsi="Times New Roman" w:cs="Times New Roman" w:hint="eastAsia"/>
                <w:color w:val="101214"/>
                <w:kern w:val="2"/>
                <w:sz w:val="21"/>
                <w:shd w:val="clear" w:color="auto" w:fill="FFFFFF"/>
              </w:rPr>
              <w:t>0</w:t>
            </w:r>
            <w:r w:rsidRPr="00AA2C60">
              <w:rPr>
                <w:rFonts w:ascii="Times New Roman" w:hAnsi="Times New Roman" w:cs="Times New Roman"/>
                <w:color w:val="101214"/>
                <w:kern w:val="2"/>
                <w:sz w:val="21"/>
                <w:shd w:val="clear" w:color="auto" w:fill="FFFFFF"/>
              </w:rPr>
              <w:t>.000</w:t>
            </w:r>
          </w:p>
        </w:tc>
      </w:tr>
    </w:tbl>
    <w:p w14:paraId="284501CF" w14:textId="397EEBDA" w:rsidR="00BF766B" w:rsidRDefault="00BF766B" w:rsidP="00CF3037">
      <w:pPr>
        <w:pStyle w:val="Tablefooter"/>
        <w:rPr>
          <w:shd w:val="clear" w:color="auto" w:fill="FFFFFF"/>
        </w:rPr>
      </w:pPr>
      <w:r w:rsidRPr="00973C9D">
        <w:rPr>
          <w:shd w:val="clear" w:color="auto" w:fill="FFFFFF"/>
        </w:rPr>
        <w:t>Abbreviations:</w:t>
      </w:r>
      <w:r w:rsidRPr="00B42516">
        <w:t xml:space="preserve"> </w:t>
      </w:r>
      <w:r>
        <w:t>AMI=acute myocardial infarction. CS=cardiogenic shock.</w:t>
      </w:r>
      <w:r w:rsidRPr="00973C9D">
        <w:rPr>
          <w:shd w:val="clear" w:color="auto" w:fill="FFFFFF"/>
        </w:rPr>
        <w:t xml:space="preserve"> HR=hazard </w:t>
      </w:r>
      <w:r>
        <w:rPr>
          <w:shd w:val="clear" w:color="auto" w:fill="FFFFFF"/>
        </w:rPr>
        <w:t>ratio</w:t>
      </w:r>
      <w:r w:rsidRPr="00973C9D">
        <w:rPr>
          <w:shd w:val="clear" w:color="auto" w:fill="FFFFFF"/>
        </w:rPr>
        <w:t>. CI= confidence interval. CA=cardiac arrest. TIMI= Thrombolysis in Myocardial Infarction. PCI=perc</w:t>
      </w:r>
      <w:r w:rsidR="00CF3037">
        <w:rPr>
          <w:shd w:val="clear" w:color="auto" w:fill="FFFFFF"/>
        </w:rPr>
        <w:t>utaneous coronary intervention.</w:t>
      </w:r>
    </w:p>
    <w:p w14:paraId="552AEDB3" w14:textId="77777777" w:rsidR="00CF3037" w:rsidRPr="00CF3037" w:rsidRDefault="00CF3037" w:rsidP="00CF3037">
      <w:pPr>
        <w:rPr>
          <w:lang w:eastAsia="de-DE" w:bidi="en-US"/>
        </w:rPr>
      </w:pPr>
    </w:p>
    <w:p w14:paraId="27D8332F" w14:textId="7A631A04" w:rsidR="0050041B" w:rsidRPr="00BF766B" w:rsidRDefault="0050041B">
      <w:pPr>
        <w:rPr>
          <w:lang w:val="en-GB"/>
        </w:rPr>
      </w:pPr>
    </w:p>
    <w:sectPr w:rsidR="0050041B" w:rsidRPr="00BF766B" w:rsidSect="00AA2C60">
      <w:pgSz w:w="11900" w:h="16840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7463B" w14:textId="77777777" w:rsidR="00952603" w:rsidRDefault="00952603" w:rsidP="00AA2C60">
      <w:r>
        <w:separator/>
      </w:r>
    </w:p>
  </w:endnote>
  <w:endnote w:type="continuationSeparator" w:id="0">
    <w:p w14:paraId="4C0F9746" w14:textId="77777777" w:rsidR="00952603" w:rsidRDefault="00952603" w:rsidP="00AA2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78161A" w14:textId="77777777" w:rsidR="00952603" w:rsidRDefault="00952603" w:rsidP="00AA2C60">
      <w:r>
        <w:separator/>
      </w:r>
    </w:p>
  </w:footnote>
  <w:footnote w:type="continuationSeparator" w:id="0">
    <w:p w14:paraId="78F89CCB" w14:textId="77777777" w:rsidR="00952603" w:rsidRDefault="00952603" w:rsidP="00AA2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8B0"/>
    <w:rsid w:val="00022752"/>
    <w:rsid w:val="00076EC9"/>
    <w:rsid w:val="00095502"/>
    <w:rsid w:val="00095DBE"/>
    <w:rsid w:val="0009611A"/>
    <w:rsid w:val="000C50CF"/>
    <w:rsid w:val="000C6B98"/>
    <w:rsid w:val="000C7044"/>
    <w:rsid w:val="001368DE"/>
    <w:rsid w:val="001C73DA"/>
    <w:rsid w:val="00226C88"/>
    <w:rsid w:val="00231B52"/>
    <w:rsid w:val="00283F79"/>
    <w:rsid w:val="002F08E9"/>
    <w:rsid w:val="00325BBD"/>
    <w:rsid w:val="00340487"/>
    <w:rsid w:val="003A7F6C"/>
    <w:rsid w:val="003E07BB"/>
    <w:rsid w:val="003E5279"/>
    <w:rsid w:val="00427D60"/>
    <w:rsid w:val="00492725"/>
    <w:rsid w:val="004C164B"/>
    <w:rsid w:val="0050041B"/>
    <w:rsid w:val="005149FD"/>
    <w:rsid w:val="005434D9"/>
    <w:rsid w:val="00581173"/>
    <w:rsid w:val="00606FC8"/>
    <w:rsid w:val="00637024"/>
    <w:rsid w:val="00693F18"/>
    <w:rsid w:val="006F63CF"/>
    <w:rsid w:val="00717C90"/>
    <w:rsid w:val="00720E42"/>
    <w:rsid w:val="007A072A"/>
    <w:rsid w:val="007A4547"/>
    <w:rsid w:val="007E793C"/>
    <w:rsid w:val="007E7F33"/>
    <w:rsid w:val="0082664A"/>
    <w:rsid w:val="00826ACF"/>
    <w:rsid w:val="008A594F"/>
    <w:rsid w:val="008C577A"/>
    <w:rsid w:val="008C741C"/>
    <w:rsid w:val="00927D7A"/>
    <w:rsid w:val="00952603"/>
    <w:rsid w:val="0095485E"/>
    <w:rsid w:val="009565A1"/>
    <w:rsid w:val="00957C7E"/>
    <w:rsid w:val="00975D64"/>
    <w:rsid w:val="0098593F"/>
    <w:rsid w:val="0099331A"/>
    <w:rsid w:val="009A2557"/>
    <w:rsid w:val="009B53F1"/>
    <w:rsid w:val="009D6D8C"/>
    <w:rsid w:val="00A22D55"/>
    <w:rsid w:val="00A46212"/>
    <w:rsid w:val="00A500F8"/>
    <w:rsid w:val="00A5363B"/>
    <w:rsid w:val="00AA2C60"/>
    <w:rsid w:val="00AB5675"/>
    <w:rsid w:val="00AC5C22"/>
    <w:rsid w:val="00AD5A3C"/>
    <w:rsid w:val="00B31699"/>
    <w:rsid w:val="00B7353C"/>
    <w:rsid w:val="00BA3332"/>
    <w:rsid w:val="00BC3417"/>
    <w:rsid w:val="00BD1FA1"/>
    <w:rsid w:val="00BF766B"/>
    <w:rsid w:val="00C5340C"/>
    <w:rsid w:val="00C60888"/>
    <w:rsid w:val="00C75928"/>
    <w:rsid w:val="00C93D03"/>
    <w:rsid w:val="00CF3037"/>
    <w:rsid w:val="00D14D57"/>
    <w:rsid w:val="00D251DB"/>
    <w:rsid w:val="00D278B0"/>
    <w:rsid w:val="00DD606B"/>
    <w:rsid w:val="00E11763"/>
    <w:rsid w:val="00E14194"/>
    <w:rsid w:val="00E2645A"/>
    <w:rsid w:val="00E515DB"/>
    <w:rsid w:val="00E520A2"/>
    <w:rsid w:val="00E74A6F"/>
    <w:rsid w:val="00E74FD9"/>
    <w:rsid w:val="00E90D4D"/>
    <w:rsid w:val="00EA07B5"/>
    <w:rsid w:val="00EF039C"/>
    <w:rsid w:val="00F4462A"/>
    <w:rsid w:val="00F84F83"/>
    <w:rsid w:val="00FB7CC9"/>
    <w:rsid w:val="00FC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C2222"/>
  <w15:chartTrackingRefBased/>
  <w15:docId w15:val="{3726EFCB-4375-B846-A3F6-4801CDF24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AA2C60"/>
    <w:pPr>
      <w:widowControl w:val="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AA2C60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AA2C60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AA2C60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AD5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AD5A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rsid w:val="00AA2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AA2C60"/>
    <w:rPr>
      <w:sz w:val="18"/>
      <w:szCs w:val="18"/>
    </w:rPr>
  </w:style>
  <w:style w:type="paragraph" w:styleId="a7">
    <w:name w:val="footer"/>
    <w:basedOn w:val="a"/>
    <w:link w:val="a8"/>
    <w:uiPriority w:val="99"/>
    <w:semiHidden/>
    <w:rsid w:val="00AA2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AA2C60"/>
    <w:rPr>
      <w:sz w:val="18"/>
      <w:szCs w:val="18"/>
    </w:rPr>
  </w:style>
  <w:style w:type="paragraph" w:customStyle="1" w:styleId="Abstract">
    <w:name w:val="Abstract"/>
    <w:next w:val="a"/>
    <w:uiPriority w:val="5"/>
    <w:qFormat/>
    <w:rsid w:val="00AA2C60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Academiceditor">
    <w:name w:val="Academic editor"/>
    <w:uiPriority w:val="4"/>
    <w:qFormat/>
    <w:rsid w:val="00AA2C60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Affiliation">
    <w:name w:val="Affiliation"/>
    <w:uiPriority w:val="3"/>
    <w:qFormat/>
    <w:rsid w:val="00AA2C60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AA2C60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AA2C60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AA2C60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Backmatter">
    <w:name w:val="Back matter"/>
    <w:uiPriority w:val="18"/>
    <w:qFormat/>
    <w:rsid w:val="00AA2C60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AA2C60"/>
    <w:pPr>
      <w:numPr>
        <w:numId w:val="1"/>
      </w:numPr>
      <w:adjustRightInd w:val="0"/>
      <w:snapToGrid w:val="0"/>
      <w:spacing w:before="40" w:after="40"/>
      <w:ind w:hangingChars="200"/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E-mail">
    <w:name w:val="E-mail"/>
    <w:link w:val="E-mail0"/>
    <w:uiPriority w:val="4"/>
    <w:qFormat/>
    <w:rsid w:val="00AA2C60"/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AA2C60"/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Equation">
    <w:name w:val="Equation"/>
    <w:uiPriority w:val="17"/>
    <w:qFormat/>
    <w:rsid w:val="00AA2C60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Figure">
    <w:name w:val="Figure"/>
    <w:uiPriority w:val="15"/>
    <w:qFormat/>
    <w:rsid w:val="00AA2C60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Figurecaption">
    <w:name w:val="Figure caption"/>
    <w:uiPriority w:val="14"/>
    <w:qFormat/>
    <w:rsid w:val="00AA2C60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Figuretitle">
    <w:name w:val="Figure title"/>
    <w:uiPriority w:val="13"/>
    <w:rsid w:val="00AA2C60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AA2C60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AA2C60"/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AA2C60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AA2C60"/>
    <w:rPr>
      <w:rFonts w:ascii="Times New Roman" w:eastAsia="Times New Roman" w:hAnsi="Times New Roman" w:cs="Times New Roman"/>
      <w:snapToGrid w:val="0"/>
      <w:color w:val="000000"/>
      <w:kern w:val="0"/>
      <w:sz w:val="18"/>
      <w:lang w:eastAsia="de-DE" w:bidi="en-US"/>
    </w:rPr>
  </w:style>
  <w:style w:type="paragraph" w:customStyle="1" w:styleId="Tablebody">
    <w:name w:val="Table body"/>
    <w:uiPriority w:val="11"/>
    <w:qFormat/>
    <w:rsid w:val="00AA2C60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lang w:eastAsia="de-DE" w:bidi="en-US"/>
    </w:rPr>
  </w:style>
  <w:style w:type="paragraph" w:customStyle="1" w:styleId="Tablecaption">
    <w:name w:val="Table caption"/>
    <w:uiPriority w:val="11"/>
    <w:qFormat/>
    <w:rsid w:val="00AA2C60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AA2C60"/>
    <w:pPr>
      <w:jc w:val="both"/>
    </w:pPr>
    <w:rPr>
      <w:rFonts w:ascii="Times New Roman" w:eastAsia="Times New Roman" w:hAnsi="Times New Roman" w:cs="Times New Roman"/>
      <w:color w:val="000000"/>
      <w:kern w:val="0"/>
      <w:lang w:eastAsia="de-DE" w:bidi="en-US"/>
    </w:rPr>
  </w:style>
  <w:style w:type="paragraph" w:customStyle="1" w:styleId="Text">
    <w:name w:val="Text"/>
    <w:link w:val="Text0"/>
    <w:uiPriority w:val="10"/>
    <w:qFormat/>
    <w:rsid w:val="00AA2C60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AA2C60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AA2C60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AA2C60"/>
    <w:rPr>
      <w:rFonts w:ascii="Times New Roman" w:eastAsia="Times New Roman" w:hAnsi="Times New Roman" w:cs="Times New Roman"/>
      <w:b/>
      <w:bCs/>
      <w:i/>
      <w:noProof/>
      <w:color w:val="000000"/>
      <w:kern w:val="0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AA2C60"/>
    <w:rPr>
      <w:rFonts w:ascii="Times New Roman" w:eastAsia="Times New Roman" w:hAnsi="Times New Roman" w:cs="Times New Roman"/>
      <w:bCs/>
      <w:i/>
      <w:noProof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3015</dc:creator>
  <cp:keywords/>
  <dc:description/>
  <cp:lastModifiedBy>Akira</cp:lastModifiedBy>
  <cp:revision>10</cp:revision>
  <dcterms:created xsi:type="dcterms:W3CDTF">2024-02-04T09:04:00Z</dcterms:created>
  <dcterms:modified xsi:type="dcterms:W3CDTF">2024-03-26T07:01:00Z</dcterms:modified>
</cp:coreProperties>
</file>