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75F95" w14:textId="4288B841" w:rsidR="003E391D" w:rsidRPr="004903CB" w:rsidRDefault="00D94819" w:rsidP="003E391D">
      <w:pPr>
        <w:kinsoku w:val="0"/>
        <w:adjustRightInd w:val="0"/>
        <w:snapToGrid w:val="0"/>
        <w:spacing w:after="240"/>
        <w:jc w:val="center"/>
        <w:rPr>
          <w:rFonts w:ascii="Times New Roman" w:eastAsia="等线" w:hAnsi="Times New Roman" w:cs="Times New Roman"/>
          <w:b/>
          <w:bCs/>
          <w:spacing w:val="-8"/>
          <w:sz w:val="36"/>
          <w:szCs w:val="32"/>
          <w:u w:val="single"/>
          <w:lang w:val="en-US"/>
        </w:rPr>
      </w:pPr>
      <w:r w:rsidRPr="004903CB">
        <w:rPr>
          <w:rFonts w:ascii="Times New Roman" w:eastAsia="等线" w:hAnsi="Times New Roman" w:cs="Times New Roman"/>
          <w:b/>
          <w:bCs/>
          <w:spacing w:val="-8"/>
          <w:sz w:val="36"/>
          <w:szCs w:val="32"/>
          <w:u w:val="single"/>
          <w:lang w:val="en-US"/>
        </w:rPr>
        <w:t>S</w:t>
      </w:r>
      <w:r w:rsidR="003E391D" w:rsidRPr="004903CB">
        <w:rPr>
          <w:rFonts w:ascii="Times New Roman" w:eastAsia="等线" w:hAnsi="Times New Roman" w:cs="Times New Roman"/>
          <w:b/>
          <w:bCs/>
          <w:spacing w:val="-8"/>
          <w:sz w:val="36"/>
          <w:szCs w:val="32"/>
          <w:u w:val="single"/>
          <w:lang w:val="en-US"/>
        </w:rPr>
        <w:t>upplementary Material:</w:t>
      </w:r>
    </w:p>
    <w:p w14:paraId="6F101E4E" w14:textId="77777777" w:rsidR="00566116" w:rsidRPr="004903CB" w:rsidRDefault="00566116" w:rsidP="00566116">
      <w:pPr>
        <w:kinsoku w:val="0"/>
        <w:adjustRightInd w:val="0"/>
        <w:snapToGrid w:val="0"/>
        <w:spacing w:after="240"/>
        <w:jc w:val="center"/>
        <w:rPr>
          <w:rFonts w:ascii="Times New Roman" w:eastAsia="等线" w:hAnsi="Times New Roman" w:cs="Times New Roman"/>
          <w:b/>
          <w:bCs/>
          <w:spacing w:val="-8"/>
          <w:sz w:val="36"/>
          <w:szCs w:val="32"/>
          <w:lang w:val="en-US"/>
        </w:rPr>
      </w:pPr>
      <w:r w:rsidRPr="004903CB">
        <w:rPr>
          <w:rFonts w:ascii="Times New Roman" w:eastAsia="等线" w:hAnsi="Times New Roman" w:cs="Times New Roman"/>
          <w:b/>
          <w:bCs/>
          <w:spacing w:val="-8"/>
          <w:sz w:val="36"/>
          <w:szCs w:val="32"/>
          <w:lang w:val="en-US"/>
        </w:rPr>
        <w:t>Current Antithrombotic Treatments for</w:t>
      </w:r>
      <w:r w:rsidRPr="004903CB">
        <w:rPr>
          <w:rFonts w:ascii="Times New Roman" w:eastAsia="等线" w:hAnsi="Times New Roman" w:cs="Times New Roman"/>
          <w:b/>
          <w:bCs/>
          <w:spacing w:val="-8"/>
          <w:sz w:val="36"/>
          <w:szCs w:val="32"/>
          <w:lang w:val="en-US"/>
        </w:rPr>
        <w:br/>
        <w:t>Cardiovascular Diseases: a comprehensive review</w:t>
      </w:r>
    </w:p>
    <w:p w14:paraId="3851481C" w14:textId="582106D7" w:rsidR="007F4C21" w:rsidRPr="0008051D" w:rsidRDefault="00BF64AD" w:rsidP="00BF64AD">
      <w:pPr>
        <w:pStyle w:val="a3"/>
        <w:ind w:firstLineChars="0" w:firstLine="0"/>
        <w:rPr>
          <w:rStyle w:val="a6"/>
          <w:color w:val="auto"/>
          <w:sz w:val="20"/>
          <w:szCs w:val="20"/>
          <w:u w:val="none"/>
        </w:rPr>
      </w:pPr>
      <w:r w:rsidRPr="0008051D">
        <w:rPr>
          <w:rStyle w:val="a6"/>
          <w:b/>
          <w:bCs/>
          <w:color w:val="auto"/>
          <w:sz w:val="24"/>
          <w:szCs w:val="24"/>
          <w:u w:val="none"/>
        </w:rPr>
        <w:t xml:space="preserve">Supplementary Table 1: </w:t>
      </w:r>
      <w:r w:rsidRPr="0008051D">
        <w:rPr>
          <w:rFonts w:eastAsiaTheme="minorHAnsi"/>
          <w:b/>
          <w:bCs/>
          <w:sz w:val="24"/>
          <w:szCs w:val="24"/>
        </w:rPr>
        <w:t>Characteristics of studies on antithrombotic treatments for Chronic Coronary Syndrome.</w:t>
      </w:r>
    </w:p>
    <w:tbl>
      <w:tblPr>
        <w:tblW w:w="11378" w:type="dxa"/>
        <w:tblInd w:w="-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2"/>
        <w:gridCol w:w="3049"/>
        <w:gridCol w:w="561"/>
        <w:gridCol w:w="420"/>
        <w:gridCol w:w="3303"/>
        <w:gridCol w:w="3723"/>
      </w:tblGrid>
      <w:tr w:rsidR="004D5B8A" w:rsidRPr="007D0C11" w14:paraId="799BE124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B56857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</w:rPr>
              <w:t>Clinical Trial</w:t>
            </w:r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14B453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</w:rPr>
              <w:t>Randomisation arms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FABACF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Follow-up 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8186DE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</w:rPr>
              <w:t>No. Patients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C3D2AD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Main Efficacy end points 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1A1072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Main safety end points/results</w:t>
            </w:r>
          </w:p>
        </w:tc>
      </w:tr>
      <w:tr w:rsidR="004D5B8A" w:rsidRPr="007D0C11" w14:paraId="66AAD01A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C1925F3" w14:textId="77777777" w:rsidR="004D5B8A" w:rsidRPr="0008051D" w:rsidRDefault="00000000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4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CHARISMA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BD1CF7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daily clopidogrel 75 mg + aspirin 75–162 mg</w:t>
            </w:r>
          </w:p>
          <w:p w14:paraId="5B11E41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86960D0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daily placebo + aspirin 75–162 mg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DB3E673" w14:textId="63E92EE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median 28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99CB04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15,603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B23803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Composite end point of CV death, MI, or stroke: RR 0.93, 95% CI 0.83–1.05, p = 0.22 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BFA9173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Severe bleeding (</w:t>
            </w:r>
            <w:hyperlink r:id="rId5">
              <w:r w:rsidRPr="0008051D">
                <w:rPr>
                  <w:rFonts w:ascii="Times New Roman" w:hAnsi="Times New Roman" w:cs="Times New Roman"/>
                  <w:sz w:val="16"/>
                  <w:szCs w:val="16"/>
                  <w:u w:val="single"/>
                  <w:lang w:val="en-US"/>
                </w:rPr>
                <w:t>GUSTO</w:t>
              </w:r>
            </w:hyperlink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): 1.71% vs 1.3, p = 0.09</w:t>
            </w:r>
          </w:p>
        </w:tc>
      </w:tr>
      <w:tr w:rsidR="004D5B8A" w:rsidRPr="007D0C11" w14:paraId="31430CEC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1FE61CB" w14:textId="77777777" w:rsidR="004D5B8A" w:rsidRPr="0008051D" w:rsidRDefault="00000000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6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PRODIGY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6FA753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daily clopidogrel 75 mg + aspirin 80-160 mg for 24 months</w:t>
            </w:r>
          </w:p>
          <w:p w14:paraId="6170DD2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41E2321C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daily clopidogrel 75 mg + aspirin 80-160 mg for 6 months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DA9347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 years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F4D857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C067C8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of death of any cause, myocardial infarction, or cerebrovascular accident: HR 0.98, 95 % CI 0,74-1,29, p=0,91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FE40D6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Composite of type 5, 3 and 2 bleeding (</w:t>
            </w:r>
            <w:hyperlink r:id="rId7">
              <w:r w:rsidRPr="0008051D">
                <w:rPr>
                  <w:rFonts w:ascii="Times New Roman" w:hAnsi="Times New Roman" w:cs="Times New Roman"/>
                  <w:sz w:val="16"/>
                  <w:szCs w:val="16"/>
                  <w:u w:val="single"/>
                  <w:lang w:val="en-US"/>
                </w:rPr>
                <w:t>BARC</w:t>
              </w:r>
            </w:hyperlink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): HR 0,46, 95 % CI 0.31 - 0.69, p = 0,00018</w:t>
            </w:r>
          </w:p>
          <w:p w14:paraId="6AE2F16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F53ACE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Rate of bleeding (</w:t>
            </w:r>
            <w:hyperlink r:id="rId8">
              <w:r w:rsidRPr="0008051D">
                <w:rPr>
                  <w:rFonts w:ascii="Times New Roman" w:hAnsi="Times New Roman" w:cs="Times New Roman"/>
                  <w:sz w:val="16"/>
                  <w:szCs w:val="16"/>
                  <w:u w:val="single"/>
                  <w:lang w:val="en-US"/>
                </w:rPr>
                <w:t>TIMI</w:t>
              </w:r>
            </w:hyperlink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): HR 0.55, 95 % CI 0.3-1.04, p=0.63</w:t>
            </w:r>
          </w:p>
          <w:p w14:paraId="681CBB1C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  <w:tr w:rsidR="004D5B8A" w:rsidRPr="007D0C11" w14:paraId="540ACE9C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45374DA" w14:textId="77777777" w:rsidR="004D5B8A" w:rsidRPr="0008051D" w:rsidRDefault="00000000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9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EXCELLENT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0B6B51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daily clopidogrel 75 mg + aspirin 100-200 mg for 6 months</w:t>
            </w:r>
          </w:p>
          <w:p w14:paraId="3C4E5B1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50A825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daily clopidogrel 75 mg + aspirin 100-200 mg for 12 months</w:t>
            </w:r>
          </w:p>
          <w:p w14:paraId="1F37016C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C3E607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007224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12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CBAB2F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1143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17192C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Target vessel failure defined as a composite of cardiac death, myocardial infarction, or ischemia-driven target vessel revascularization at 12 months: HR 1.14, 95 % CI 0.7-1.86, p=0.60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D18308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of death, myocardial infarction, stroke, ST, or TIMI major bleeding: HR 1.15, 95% CI 0.64-2.06, p= 0.64</w:t>
            </w:r>
          </w:p>
        </w:tc>
      </w:tr>
      <w:tr w:rsidR="004D5B8A" w:rsidRPr="007D0C11" w14:paraId="53D8E76A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DA52498" w14:textId="77777777" w:rsidR="004D5B8A" w:rsidRPr="0008051D" w:rsidRDefault="00000000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0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ISAR-SAFE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379A09B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daily clopidogrel 75 mg + aspirin 81-200 mg for 6 months</w:t>
            </w:r>
          </w:p>
          <w:p w14:paraId="6C13156D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3329DC80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daily clopidogrel 75 mg + aspirin 81-200 mg for 12 months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7FCF58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9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E647D3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4005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0243E6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of death, myocardial infarction, ST (definite or probable), stroke, or TIMI major bleeding: HR 0.91, 95% CI 0.55–1.50, P for non inferiority &lt; 0.001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97BFC9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TIMI major bleeding: HR 0.8, 95 % CI 0.21-2.98, p=0.74</w:t>
            </w:r>
          </w:p>
          <w:p w14:paraId="1497208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</w:p>
          <w:p w14:paraId="04C6A5F2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BARC bleeding: HR 0.49, 95 % CI 0.31-0.77, p=0.002</w:t>
            </w:r>
          </w:p>
        </w:tc>
      </w:tr>
      <w:tr w:rsidR="004D5B8A" w:rsidRPr="007D0C11" w14:paraId="0BF44DFF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332B7AE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1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CAPRIE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BBD76D0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A: daily clopidogrel 75 mg </w:t>
            </w:r>
          </w:p>
          <w:p w14:paraId="7E83D2E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23F548B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B: daily aspirin 325 mg 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29B23F2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from 1 to 3 years (median 1,9 years)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4BEF7B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19,185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D33258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Composite of ischaemic stroke, MI, or vascular death: RRR of 8.7%, 95% Cl 0.3–16.5, p = 0.043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E34001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Rash (578 vs 442), diarrhoea (428 vs 332), upper GI discomfort (1441 vs 1686), intracranial bleeds (34 vs 47), GI bleeds (191 vs 255), neutropenia (10 vs 16)</w:t>
            </w:r>
          </w:p>
        </w:tc>
      </w:tr>
      <w:tr w:rsidR="004D5B8A" w:rsidRPr="007D0C11" w14:paraId="7BE6647F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660E8BC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2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EUCLID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ECD3782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Ticagrelor 90 mg twice daily</w:t>
            </w:r>
          </w:p>
          <w:p w14:paraId="61D74D7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BC2D260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Clopidogrel 75 mg once daily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C0D7D0D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30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C831CD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13.885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CF611A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of cardiovascular death, myocardial infarction, or ischemic stroke: HR 1.02, 95 % CI 0.92-1.13, p=0.65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7106B0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TIMI major bleeding: HR 1.10, 95 % CI 0.84-1.43, p=0.49</w:t>
            </w:r>
          </w:p>
        </w:tc>
      </w:tr>
      <w:tr w:rsidR="004D5B8A" w:rsidRPr="007D0C11" w14:paraId="05B20D01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0AA597E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3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DAPT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2380C4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daily aspirin 75–162 mg + clopidogrel 75 mg or prasugrel 10 mg</w:t>
            </w:r>
          </w:p>
          <w:p w14:paraId="2B3B703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24C837D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daily aspirin 75–162 mg + placebo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C5D0AE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 months post PCI (18 months post randomisation)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8783E7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9961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80179D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ST: 0.4% vs 1.4%, HR 0.29, 95% CI 0.17–0.48, p &lt; 0.001</w:t>
            </w:r>
          </w:p>
          <w:p w14:paraId="7BAC8E7D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Major adverse CV and cerebrovascular events: 4.3% vs 5.9%, HR 0.71, 95% CI 0.59–0.85, p &lt; 0.001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5E339A3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Moderate or severe bleeds (GUSTO): 2.5% vs. 1.6%, p = 0.001</w:t>
            </w:r>
          </w:p>
          <w:p w14:paraId="1926EF2B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4D5B8A" w:rsidRPr="007D0C11" w14:paraId="5B2FCD15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AA9A4AD" w14:textId="77777777" w:rsidR="004D5B8A" w:rsidRPr="0008051D" w:rsidRDefault="00000000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4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PEGASUS TIMI 54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91F34FF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Ticagrelor 90 mg twice daily + aspirin</w:t>
            </w:r>
          </w:p>
          <w:p w14:paraId="3D4104A9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25CA223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A’: Ticagrelor 60 mg twice daily + aspirin</w:t>
            </w:r>
          </w:p>
          <w:p w14:paraId="36C4CAEB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36A967AD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B: placebo + aspirin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BFB1B36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Median 33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B4FA569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21.162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98968DE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Composite of CV death, MI, stroke: A vs B: HR 0.8, 95 % CI 0,75-0,96, p = 0.008;</w:t>
            </w:r>
          </w:p>
          <w:p w14:paraId="7788B734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A’ vs B: 0.84, 95% CI 0.74-0.95, p = 0.004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2E94CB0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TIMI major bleeds: 2.6 % in A vs 2.3 % in A’ vs 1.06 % in B (p &lt; 0.001 for A or A’ vs B)</w:t>
            </w:r>
          </w:p>
        </w:tc>
      </w:tr>
      <w:tr w:rsidR="004D5B8A" w:rsidRPr="007D0C11" w14:paraId="408CDB4F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3DB93F7" w14:textId="77777777" w:rsidR="004D5B8A" w:rsidRPr="0008051D" w:rsidRDefault="00000000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5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COMPASS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9C855CE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rivaroxaban 2.5 mg twice daily. + aspirin 100 mg</w:t>
            </w:r>
          </w:p>
          <w:p w14:paraId="059088F8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4E3505D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F8EB116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A’: rivaroxaban 5 mg twice daily</w:t>
            </w:r>
          </w:p>
          <w:p w14:paraId="502C86C3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73AC4B9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 xml:space="preserve">B: aspirin 100 mg 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499DDE7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23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DE2A197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27.395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A5DD9F3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Composite of CV death, MI or stroke: 4.1 % vs 4.9 % vs 5.4 % in A vs A’ vs B; p &lt; 0.001 for A vs B; p = 0.12 for A’ vs B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D7F0CAE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Major bleeds (modified </w:t>
            </w:r>
            <w:hyperlink r:id="rId16">
              <w:r w:rsidRPr="0008051D">
                <w:rPr>
                  <w:rFonts w:ascii="Times New Roman" w:hAnsi="Times New Roman" w:cs="Times New Roman"/>
                  <w:sz w:val="16"/>
                  <w:szCs w:val="16"/>
                  <w:u w:val="single"/>
                  <w:lang w:val="en-US"/>
                </w:rPr>
                <w:t>ISTH</w:t>
              </w:r>
            </w:hyperlink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 A vs B: 3.1 % vs 1.9 %, HR 1.70, 95 % CI, 1.4 -2.05, p &lt; 0.001</w:t>
            </w:r>
          </w:p>
          <w:p w14:paraId="2E163B0A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5E3C195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Fatal bleeds A or A’ vs B: non significant</w:t>
            </w:r>
          </w:p>
          <w:p w14:paraId="2D862787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EA73AF1" w14:textId="77777777" w:rsidR="004D5B8A" w:rsidRPr="0008051D" w:rsidRDefault="004D5B8A" w:rsidP="004D5B8A">
            <w:pPr>
              <w:widowControl w:val="0"/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Intracranial bleeds A vs B: 0.3 % vs 0.3 %, p = 0.60</w:t>
            </w:r>
          </w:p>
        </w:tc>
      </w:tr>
      <w:tr w:rsidR="004D5B8A" w:rsidRPr="007D0C11" w14:paraId="76451C4C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6C64288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7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PIONEER AF-PCI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EF35DA2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rivaroxaban 15 mg daily + a P2Y12 inhibitors</w:t>
            </w:r>
          </w:p>
          <w:p w14:paraId="495BDE00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4609125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A’: rivaroxaban 2,5 twice daily + DAPT</w:t>
            </w:r>
          </w:p>
          <w:p w14:paraId="67AD2EE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9ED346C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VKA + DAPT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C0111A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12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00E8489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2124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7FF724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Composite secondary efficacy end point of death from cardiovascular cause, myocardial infarction, or stroke: HR 1.08, 95 % CI 0.69-1.68, p=0.75 for A vs B; HR 0.93, 95 % CI 0.59-1.48, p=0.76 for A’ vs B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DD101F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primary safety end point of TIMI major or minor bleeding or bleeding requiring medical attention: HR 0.59, 95 % CI 0.47-0.76, p &lt; 0.001 for A vs B; HR 0.63, 95 % CI 0.50-0.80), p &lt; 0.001 for A vs A’; HR 0.61, 95 % CI 0.50-0.75, p &lt; 0.001 for A+A’ vs B</w:t>
            </w:r>
          </w:p>
        </w:tc>
      </w:tr>
      <w:tr w:rsidR="004D5B8A" w:rsidRPr="007D0C11" w14:paraId="0E023BD6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45B78F5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8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RE-DUAL PCI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43C37D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dabigatran 110 mg twice daily + a P2Y12 inhibitor</w:t>
            </w:r>
          </w:p>
          <w:p w14:paraId="25369E4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br/>
              <w:t>A’: dabigatran 150 mg twice daily + a P2Y12 inhibitor</w:t>
            </w:r>
          </w:p>
          <w:p w14:paraId="3B62D09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8E9705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B: VKA + DAPT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E88D0D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14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1C0AA43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2725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750A43B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secondary efficacy end point of thromboembolic events (myocardial infarction, stroke, or systemic embolism), death, or unplanned revascularization (PCI or coronary-artery bypass grafting): HR 1.13, 95 % CI 0.90-1.43, p=0.30 for A vs B; HR 0.89, 95 % CI 0.67-1.19, p=0.44 for A’ vs B; HR 1.04, 95 % CI 0.84-1.29, p=0.74 for A+A’ vs B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BB947B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First major or clinically relevant nonmajor bleeding event as defined by ISTH (primary safety end point): HR 0.52, 95 % CI 0.42-0.63, p &lt; 0.001 for A vs B; HR 0.72, 95 % CI 0.58-0.88, p=0.002 for A’ vs B</w:t>
            </w:r>
          </w:p>
        </w:tc>
      </w:tr>
      <w:tr w:rsidR="004D5B8A" w:rsidRPr="007D0C11" w14:paraId="2128604F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6BE454E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19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AUGUSTUS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23733EA" w14:textId="3F60952F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apixaban 5 mg twice daily + DAPT</w:t>
            </w:r>
          </w:p>
          <w:p w14:paraId="72DF488B" w14:textId="7747F86C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A’: apixaban 5 mg twice daily + a P2Y12 inhibitor </w:t>
            </w:r>
          </w:p>
          <w:p w14:paraId="3E66C515" w14:textId="1F124AF6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VKA + DAPT</w:t>
            </w:r>
          </w:p>
          <w:p w14:paraId="07A3804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B’: VKA + a P2Y12 inhibitor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67D393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6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D083AB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4614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FC1222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secondary efficacy outcome of all-cause death or ischemic event (including stroke, MI, ST definite/probable, or urgent revascularization): HR 0.93, 95 % CI 0.75-1.16, p NS for A+A’ vs B+B’; HR 0.89, 95 % CI 0.71-1.11, p NR for A+B vs A’+B’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F47D0F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Major or CRNM ISTH (primary safety outcomes): HR 0.69, 95 % CI 0.58-0.81, p &lt; 0.001 for A+A’ vs B+B’; HR 1.89, 95 % CI 1.59-2.24, p &lt; 0.001 for A+B vs A’+B’</w:t>
            </w:r>
          </w:p>
        </w:tc>
      </w:tr>
      <w:tr w:rsidR="004D5B8A" w:rsidRPr="007D0C11" w14:paraId="06FCB36E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503829B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20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ENTRUST-AF PCI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12B627DD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A: edoxaban 60 mg daily + a P2Y12 inhibitor </w:t>
            </w:r>
          </w:p>
          <w:p w14:paraId="7123FB8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C769896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B: VKA + DAPT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CC85AE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12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D533FE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1506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DC77CC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secondary efficacy outcome of CV death or ischemic event (including stroke, MI, ST definite, SE): HR 1.06, 95 % CI 0.71-1.69, p NR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90A9B82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 xml:space="preserve">Major or CRNM ISTH bleeding (primary safety end point): HR 0.83, 95 % CI 0.65-1.05, p=0.001 </w:t>
            </w:r>
          </w:p>
        </w:tc>
      </w:tr>
      <w:tr w:rsidR="004D5B8A" w:rsidRPr="007D0C11" w14:paraId="35B45661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77C3756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21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ISAR-TRIPLE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363B6C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A: VKA + 75 to 200 mg aspirin + 6 week clopodogrel therapy </w:t>
            </w:r>
          </w:p>
          <w:p w14:paraId="0368F18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C058E3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B: VKA + 75 to 200 mg aspirin + 6 month clopidogrel therapy 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2C2DE891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9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83FBDA4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614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405B3AE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of death, myocardial infarction (MI), definite ST, stroke, or TIMI major bleeding at 9 months: HR 1.14, 95 % CI 0.68-1.91, p=0.63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06EFB9B7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TIMI major bleeding: HR 1.35, 95 % CI 0.64-2.84, p 0.44</w:t>
            </w:r>
          </w:p>
        </w:tc>
      </w:tr>
      <w:tr w:rsidR="004D5B8A" w:rsidRPr="007D0C11" w14:paraId="569AB83E" w14:textId="77777777" w:rsidTr="004D5B8A">
        <w:trPr>
          <w:cantSplit/>
          <w:trHeight w:val="1381"/>
        </w:trPr>
        <w:tc>
          <w:tcPr>
            <w:tcW w:w="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262AA37" w14:textId="77777777" w:rsidR="004D5B8A" w:rsidRPr="0008051D" w:rsidRDefault="00000000" w:rsidP="004D5B8A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hyperlink r:id="rId22">
              <w:r w:rsidR="004D5B8A" w:rsidRPr="0008051D">
                <w:rPr>
                  <w:rFonts w:ascii="Times New Roman" w:hAnsi="Times New Roman" w:cs="Times New Roman"/>
                  <w:b/>
                  <w:sz w:val="16"/>
                  <w:szCs w:val="16"/>
                  <w:u w:val="single"/>
                </w:rPr>
                <w:t>WOEST</w:t>
              </w:r>
            </w:hyperlink>
          </w:p>
        </w:tc>
        <w:tc>
          <w:tcPr>
            <w:tcW w:w="30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7E28FE2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A: VKA + clopidogrel</w:t>
            </w:r>
          </w:p>
          <w:p w14:paraId="05AB403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5CC39CE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B: VKA + clopidogrel + aspirin</w:t>
            </w:r>
          </w:p>
        </w:tc>
        <w:tc>
          <w:tcPr>
            <w:tcW w:w="5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6D25EEA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12 months</w:t>
            </w:r>
          </w:p>
        </w:tc>
        <w:tc>
          <w:tcPr>
            <w:tcW w:w="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5F9010F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</w:rPr>
              <w:t>573</w:t>
            </w:r>
          </w:p>
        </w:tc>
        <w:tc>
          <w:tcPr>
            <w:tcW w:w="33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34E8E63F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Composite secondary end point of death, MI, stroke, target-vessel revascularisation, and ST: HR 0.60, 95 % CI 0.38-0.94, p=0.025</w:t>
            </w:r>
          </w:p>
        </w:tc>
        <w:tc>
          <w:tcPr>
            <w:tcW w:w="3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</w:tcPr>
          <w:p w14:paraId="65D5D008" w14:textId="77777777" w:rsidR="004D5B8A" w:rsidRPr="0008051D" w:rsidRDefault="004D5B8A" w:rsidP="004D5B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</w:pPr>
            <w:r w:rsidRPr="0008051D">
              <w:rPr>
                <w:rFonts w:ascii="Times New Roman" w:hAnsi="Times New Roman" w:cs="Times New Roman"/>
                <w:sz w:val="16"/>
                <w:szCs w:val="16"/>
                <w:highlight w:val="white"/>
                <w:lang w:val="en-US"/>
              </w:rPr>
              <w:t>Any bleeding episodes (primary end point): HR 0.36, 95 % CI 0.26-0.50, p &lt; 0.0001</w:t>
            </w:r>
          </w:p>
        </w:tc>
      </w:tr>
    </w:tbl>
    <w:p w14:paraId="402B1084" w14:textId="77777777" w:rsidR="004D5B8A" w:rsidRPr="0008051D" w:rsidRDefault="004D5B8A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685DA381" w14:textId="77777777" w:rsidR="004D5B8A" w:rsidRPr="0008051D" w:rsidRDefault="004D5B8A" w:rsidP="007F4C21">
      <w:pPr>
        <w:pStyle w:val="a3"/>
        <w:ind w:firstLineChars="0" w:firstLine="0"/>
        <w:rPr>
          <w:rStyle w:val="a6"/>
          <w:b/>
          <w:bCs/>
          <w:sz w:val="24"/>
          <w:szCs w:val="24"/>
        </w:rPr>
      </w:pPr>
    </w:p>
    <w:p w14:paraId="4287D88D" w14:textId="77777777" w:rsidR="004D5B8A" w:rsidRPr="0008051D" w:rsidRDefault="004D5B8A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6F61A4CE" w14:textId="755DBC37" w:rsidR="00AA5C56" w:rsidRDefault="00AA5C56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  <w:r>
        <w:rPr>
          <w:rStyle w:val="a6"/>
          <w:b/>
          <w:bCs/>
          <w:color w:val="auto"/>
          <w:sz w:val="24"/>
          <w:szCs w:val="24"/>
          <w:u w:val="none"/>
        </w:rPr>
        <w:t>Supplementary Table 2: Ongoing RCTs on Acute Coronary Syndromes.</w:t>
      </w:r>
    </w:p>
    <w:tbl>
      <w:tblPr>
        <w:tblStyle w:val="3-3"/>
        <w:tblW w:w="0" w:type="auto"/>
        <w:tblLook w:val="04A0" w:firstRow="1" w:lastRow="0" w:firstColumn="1" w:lastColumn="0" w:noHBand="0" w:noVBand="1"/>
      </w:tblPr>
      <w:tblGrid>
        <w:gridCol w:w="1606"/>
        <w:gridCol w:w="1540"/>
        <w:gridCol w:w="1689"/>
        <w:gridCol w:w="1759"/>
        <w:gridCol w:w="1654"/>
        <w:gridCol w:w="1380"/>
      </w:tblGrid>
      <w:tr w:rsidR="00AA5C56" w14:paraId="5B89162C" w14:textId="77777777" w:rsidTr="00195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06" w:type="dxa"/>
          </w:tcPr>
          <w:p w14:paraId="42EF9B67" w14:textId="77777777" w:rsidR="00AA5C56" w:rsidRDefault="00AA5C56" w:rsidP="00195FC6">
            <w:pPr>
              <w:pStyle w:val="TableParagraph"/>
            </w:pPr>
            <w:r w:rsidRPr="007A7B54">
              <w:t>Trial number</w:t>
            </w:r>
          </w:p>
        </w:tc>
        <w:tc>
          <w:tcPr>
            <w:tcW w:w="1540" w:type="dxa"/>
          </w:tcPr>
          <w:p w14:paraId="7D299901" w14:textId="77777777" w:rsidR="00AA5C56" w:rsidRDefault="00AA5C56" w:rsidP="00195FC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Trial name</w:t>
            </w:r>
          </w:p>
        </w:tc>
        <w:tc>
          <w:tcPr>
            <w:tcW w:w="1689" w:type="dxa"/>
          </w:tcPr>
          <w:p w14:paraId="3FDFAC5B" w14:textId="77777777" w:rsidR="00AA5C56" w:rsidRDefault="00AA5C56" w:rsidP="00195FC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Study population</w:t>
            </w:r>
          </w:p>
        </w:tc>
        <w:tc>
          <w:tcPr>
            <w:tcW w:w="1759" w:type="dxa"/>
          </w:tcPr>
          <w:p w14:paraId="02E3F59B" w14:textId="77777777" w:rsidR="00AA5C56" w:rsidRPr="00EA6490" w:rsidRDefault="00AA5C56" w:rsidP="00195FC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Interventions</w:t>
            </w:r>
          </w:p>
        </w:tc>
        <w:tc>
          <w:tcPr>
            <w:tcW w:w="1654" w:type="dxa"/>
          </w:tcPr>
          <w:p w14:paraId="7E51E6EA" w14:textId="77777777" w:rsidR="00AA5C56" w:rsidRDefault="00AA5C56" w:rsidP="00195FC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 outcome measures</w:t>
            </w:r>
          </w:p>
        </w:tc>
        <w:tc>
          <w:tcPr>
            <w:tcW w:w="1380" w:type="dxa"/>
          </w:tcPr>
          <w:p w14:paraId="27149446" w14:textId="77777777" w:rsidR="00AA5C56" w:rsidRDefault="00AA5C56" w:rsidP="00195FC6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Phase</w:t>
            </w:r>
          </w:p>
        </w:tc>
      </w:tr>
      <w:tr w:rsidR="00AA5C56" w:rsidRPr="00D42ACC" w14:paraId="6AEFC64B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35248089" w14:textId="77777777" w:rsidR="00AA5C56" w:rsidRDefault="00AA5C56" w:rsidP="00195FC6">
            <w:pPr>
              <w:pStyle w:val="TableParagraph"/>
            </w:pPr>
            <w:r>
              <w:t>NCT03331484</w:t>
            </w:r>
          </w:p>
        </w:tc>
        <w:tc>
          <w:tcPr>
            <w:tcW w:w="1540" w:type="dxa"/>
          </w:tcPr>
          <w:p w14:paraId="5463C67C" w14:textId="77777777" w:rsidR="00AA5C5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CAPITAL PCI AF</w:t>
            </w:r>
          </w:p>
        </w:tc>
        <w:tc>
          <w:tcPr>
            <w:tcW w:w="1689" w:type="dxa"/>
          </w:tcPr>
          <w:p w14:paraId="12C25E2A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42ACC">
              <w:rPr>
                <w:lang w:val="en-GB"/>
              </w:rPr>
              <w:t>ACS patients with AF (n = 40)</w:t>
            </w:r>
          </w:p>
        </w:tc>
        <w:tc>
          <w:tcPr>
            <w:tcW w:w="1759" w:type="dxa"/>
          </w:tcPr>
          <w:p w14:paraId="45A31FF0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Ticagrelor plus rivaroxaban</w:t>
            </w:r>
          </w:p>
        </w:tc>
        <w:tc>
          <w:tcPr>
            <w:tcW w:w="1654" w:type="dxa"/>
          </w:tcPr>
          <w:p w14:paraId="1E0D1A3F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Composite of TIMI bleeds</w:t>
            </w:r>
          </w:p>
        </w:tc>
        <w:tc>
          <w:tcPr>
            <w:tcW w:w="1380" w:type="dxa"/>
          </w:tcPr>
          <w:p w14:paraId="77B4B77A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C63CBE" w14:paraId="779BD275" w14:textId="77777777" w:rsidTr="00195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0B971892" w14:textId="77777777" w:rsidR="00AA5C56" w:rsidRDefault="00AA5C56" w:rsidP="00195FC6">
            <w:pPr>
              <w:pStyle w:val="TableParagraph"/>
            </w:pPr>
            <w:r w:rsidRPr="008F2B8C">
              <w:t>NCT03357874</w:t>
            </w:r>
          </w:p>
        </w:tc>
        <w:tc>
          <w:tcPr>
            <w:tcW w:w="1540" w:type="dxa"/>
          </w:tcPr>
          <w:p w14:paraId="3E964D1D" w14:textId="77777777" w:rsidR="00AA5C56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TROUPER</w:t>
            </w:r>
          </w:p>
        </w:tc>
        <w:tc>
          <w:tcPr>
            <w:tcW w:w="1689" w:type="dxa"/>
          </w:tcPr>
          <w:p w14:paraId="27193498" w14:textId="77777777" w:rsidR="00AA5C56" w:rsidRPr="00C63CBE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3CBE">
              <w:rPr>
                <w:lang w:val="en-GB"/>
              </w:rPr>
              <w:t>ACS patients with CKD (n = 514)</w:t>
            </w:r>
          </w:p>
        </w:tc>
        <w:tc>
          <w:tcPr>
            <w:tcW w:w="1759" w:type="dxa"/>
          </w:tcPr>
          <w:p w14:paraId="0D0363A5" w14:textId="77777777" w:rsidR="00AA5C56" w:rsidRPr="00C63CBE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t>Clopidogrel vs. ticagrelor</w:t>
            </w:r>
          </w:p>
        </w:tc>
        <w:tc>
          <w:tcPr>
            <w:tcW w:w="1654" w:type="dxa"/>
          </w:tcPr>
          <w:p w14:paraId="56125BCD" w14:textId="77777777" w:rsidR="00AA5C56" w:rsidRPr="00C63CBE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t>Rate of MACE</w:t>
            </w:r>
          </w:p>
        </w:tc>
        <w:tc>
          <w:tcPr>
            <w:tcW w:w="1380" w:type="dxa"/>
          </w:tcPr>
          <w:p w14:paraId="19589D6B" w14:textId="77777777" w:rsidR="00AA5C56" w:rsidRPr="00C63CBE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F62A63" w14:paraId="2F81B70C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2FE5C260" w14:textId="77777777" w:rsidR="00AA5C56" w:rsidRDefault="00AA5C56" w:rsidP="00195FC6">
            <w:pPr>
              <w:pStyle w:val="TableParagraph"/>
            </w:pPr>
            <w:r>
              <w:t>NCT04718025</w:t>
            </w:r>
          </w:p>
        </w:tc>
        <w:tc>
          <w:tcPr>
            <w:tcW w:w="1540" w:type="dxa"/>
          </w:tcPr>
          <w:p w14:paraId="1C5E97B2" w14:textId="77777777" w:rsidR="00AA5C5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ELECTRA-SIRIO</w:t>
            </w:r>
          </w:p>
        </w:tc>
        <w:tc>
          <w:tcPr>
            <w:tcW w:w="1689" w:type="dxa"/>
          </w:tcPr>
          <w:p w14:paraId="73EE51B1" w14:textId="77777777" w:rsidR="00AA5C5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ACS patients (n = 4500)</w:t>
            </w:r>
          </w:p>
        </w:tc>
        <w:tc>
          <w:tcPr>
            <w:tcW w:w="1759" w:type="dxa"/>
          </w:tcPr>
          <w:p w14:paraId="18C0DED3" w14:textId="77777777" w:rsidR="00AA5C56" w:rsidRPr="00F62A63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62A63">
              <w:rPr>
                <w:lang w:val="en-GB"/>
              </w:rPr>
              <w:t>Low-dose ticagrelor plus aspirin vs. low-dose ticagrelor plus placebo vs. standard dose ticagrelor plus aspirin</w:t>
            </w:r>
          </w:p>
        </w:tc>
        <w:tc>
          <w:tcPr>
            <w:tcW w:w="1654" w:type="dxa"/>
          </w:tcPr>
          <w:p w14:paraId="3A31114E" w14:textId="77777777" w:rsidR="00AA5C56" w:rsidRPr="00E30678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30678">
              <w:rPr>
                <w:lang w:val="en-GB"/>
              </w:rPr>
              <w:t>Bleeding, death from any cause, non-fatal MI, or non-fatal stroke</w:t>
            </w:r>
          </w:p>
        </w:tc>
        <w:tc>
          <w:tcPr>
            <w:tcW w:w="1380" w:type="dxa"/>
          </w:tcPr>
          <w:p w14:paraId="0771B036" w14:textId="77777777" w:rsidR="00AA5C56" w:rsidRPr="00F62A63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5E4D08" w14:paraId="57027487" w14:textId="77777777" w:rsidTr="00195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1E582060" w14:textId="77777777" w:rsidR="00AA5C56" w:rsidRDefault="00AA5C56" w:rsidP="00195FC6">
            <w:pPr>
              <w:pStyle w:val="TableParagraph"/>
            </w:pPr>
            <w:r>
              <w:t>NCT05162053</w:t>
            </w:r>
          </w:p>
        </w:tc>
        <w:tc>
          <w:tcPr>
            <w:tcW w:w="1540" w:type="dxa"/>
          </w:tcPr>
          <w:p w14:paraId="35DED49F" w14:textId="77777777" w:rsidR="00AA5C56" w:rsidRPr="005E4D08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E4D08">
              <w:rPr>
                <w:lang w:val="en-GB"/>
              </w:rPr>
              <w:t>PK/PD Study of Vicagrel and Clopidogrel in healthy subjects with different CYP2C19 metabolizers</w:t>
            </w:r>
          </w:p>
        </w:tc>
        <w:tc>
          <w:tcPr>
            <w:tcW w:w="1689" w:type="dxa"/>
          </w:tcPr>
          <w:p w14:paraId="408FB81F" w14:textId="77777777" w:rsidR="00AA5C56" w:rsidRPr="00C63CBE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3CBE">
              <w:rPr>
                <w:lang w:val="en-GB"/>
              </w:rPr>
              <w:t>Healthy subjects with different CYP2C19 metabolizers (n = 128)</w:t>
            </w:r>
          </w:p>
        </w:tc>
        <w:tc>
          <w:tcPr>
            <w:tcW w:w="1759" w:type="dxa"/>
          </w:tcPr>
          <w:p w14:paraId="6497475D" w14:textId="77777777" w:rsidR="00AA5C56" w:rsidRPr="002C201D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2C201D">
              <w:rPr>
                <w:lang w:val="en-GB"/>
              </w:rPr>
              <w:t>Cross-dosing of vicagrel and clopidogrel in different metabolizer groups</w:t>
            </w:r>
          </w:p>
        </w:tc>
        <w:tc>
          <w:tcPr>
            <w:tcW w:w="1654" w:type="dxa"/>
          </w:tcPr>
          <w:p w14:paraId="1A99AD47" w14:textId="77777777" w:rsidR="00AA5C56" w:rsidRPr="009B6302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B6302">
              <w:rPr>
                <w:lang w:val="en-GB"/>
              </w:rPr>
              <w:t>Inhibition of platelet aggregation, platelet reactivity, maximum plasma concentration of vicagrel and clopidogrel, AUC over a dosing interval</w:t>
            </w:r>
          </w:p>
        </w:tc>
        <w:tc>
          <w:tcPr>
            <w:tcW w:w="1380" w:type="dxa"/>
          </w:tcPr>
          <w:p w14:paraId="14994540" w14:textId="77777777" w:rsidR="00AA5C56" w:rsidRPr="005E4D08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AA5C56" w:rsidRPr="00300C43" w14:paraId="484462DD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143D3570" w14:textId="77777777" w:rsidR="00AA5C56" w:rsidRDefault="00AA5C56" w:rsidP="00195FC6">
            <w:pPr>
              <w:pStyle w:val="TableParagraph"/>
            </w:pPr>
            <w:r>
              <w:t>NCT05233124</w:t>
            </w:r>
          </w:p>
        </w:tc>
        <w:tc>
          <w:tcPr>
            <w:tcW w:w="1540" w:type="dxa"/>
          </w:tcPr>
          <w:p w14:paraId="0B37CDBA" w14:textId="77777777" w:rsidR="00AA5C5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OVER-TIME</w:t>
            </w:r>
          </w:p>
        </w:tc>
        <w:tc>
          <w:tcPr>
            <w:tcW w:w="1689" w:type="dxa"/>
          </w:tcPr>
          <w:p w14:paraId="76DC0958" w14:textId="77777777" w:rsidR="00AA5C56" w:rsidRPr="00300C43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00C43">
              <w:rPr>
                <w:lang w:val="en-GB"/>
              </w:rPr>
              <w:t>ACS patients with coronary artery ectasia (n = 60)</w:t>
            </w:r>
          </w:p>
        </w:tc>
        <w:tc>
          <w:tcPr>
            <w:tcW w:w="1759" w:type="dxa"/>
          </w:tcPr>
          <w:p w14:paraId="725F7EAF" w14:textId="77777777" w:rsidR="00AA5C56" w:rsidRPr="002C201D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2C201D">
              <w:rPr>
                <w:lang w:val="en-GB"/>
              </w:rPr>
              <w:t>DAPT of aspirin plus clopidogrel vs. clopidogrel monotherapy plus low-dose rivaroxaban</w:t>
            </w:r>
          </w:p>
        </w:tc>
        <w:tc>
          <w:tcPr>
            <w:tcW w:w="1654" w:type="dxa"/>
          </w:tcPr>
          <w:p w14:paraId="548BFA61" w14:textId="77777777" w:rsidR="00AA5C56" w:rsidRPr="0062546D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62546D">
              <w:rPr>
                <w:lang w:val="en-GB"/>
              </w:rPr>
              <w:t>Composite of cardiovascular death, recurrent MI, and repeated vascularization, composite of minor and major bleeding events</w:t>
            </w:r>
          </w:p>
        </w:tc>
        <w:tc>
          <w:tcPr>
            <w:tcW w:w="1380" w:type="dxa"/>
          </w:tcPr>
          <w:p w14:paraId="1911505B" w14:textId="77777777" w:rsidR="00AA5C56" w:rsidRPr="00300C43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AA5C56" w:rsidRPr="002C201D" w14:paraId="1D7B5C8E" w14:textId="77777777" w:rsidTr="00195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02918DC8" w14:textId="77777777" w:rsidR="00AA5C56" w:rsidRDefault="00AA5C56" w:rsidP="00195FC6">
            <w:pPr>
              <w:pStyle w:val="TableParagraph"/>
            </w:pPr>
            <w:r>
              <w:lastRenderedPageBreak/>
              <w:t>NCT05577988</w:t>
            </w:r>
          </w:p>
        </w:tc>
        <w:tc>
          <w:tcPr>
            <w:tcW w:w="1540" w:type="dxa"/>
          </w:tcPr>
          <w:p w14:paraId="24F8EECD" w14:textId="77777777" w:rsidR="00AA5C56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</w:t>
            </w:r>
          </w:p>
        </w:tc>
        <w:tc>
          <w:tcPr>
            <w:tcW w:w="1689" w:type="dxa"/>
          </w:tcPr>
          <w:p w14:paraId="7CEDEA57" w14:textId="77777777" w:rsidR="00AA5C56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ACS patients (n = 2468)</w:t>
            </w:r>
          </w:p>
        </w:tc>
        <w:tc>
          <w:tcPr>
            <w:tcW w:w="1759" w:type="dxa"/>
          </w:tcPr>
          <w:p w14:paraId="4E440178" w14:textId="77777777" w:rsidR="00AA5C56" w:rsidRPr="002C201D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2C201D">
              <w:rPr>
                <w:lang w:val="en-GB"/>
              </w:rPr>
              <w:t>Stop aspirin for ticagrelor or prasugrel vs. aspirin or clopidogrel guided by genetic testing</w:t>
            </w:r>
          </w:p>
        </w:tc>
        <w:tc>
          <w:tcPr>
            <w:tcW w:w="1654" w:type="dxa"/>
          </w:tcPr>
          <w:p w14:paraId="21F927CC" w14:textId="77777777" w:rsidR="00AA5C56" w:rsidRPr="00AE3250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AE3250">
              <w:rPr>
                <w:lang w:val="en-GB"/>
              </w:rPr>
              <w:t>Rate of combined major and minor bleeding events</w:t>
            </w:r>
          </w:p>
        </w:tc>
        <w:tc>
          <w:tcPr>
            <w:tcW w:w="1380" w:type="dxa"/>
          </w:tcPr>
          <w:p w14:paraId="6E78705C" w14:textId="77777777" w:rsidR="00AA5C56" w:rsidRPr="002C201D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0F5E87" w14:paraId="06EC31AD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209A730D" w14:textId="77777777" w:rsidR="00AA5C56" w:rsidRDefault="00AA5C56" w:rsidP="00195FC6">
            <w:pPr>
              <w:pStyle w:val="TableParagraph"/>
            </w:pPr>
            <w:r>
              <w:t>NCT05638867</w:t>
            </w:r>
          </w:p>
        </w:tc>
        <w:tc>
          <w:tcPr>
            <w:tcW w:w="1540" w:type="dxa"/>
          </w:tcPr>
          <w:p w14:paraId="603C8DCA" w14:textId="77777777" w:rsidR="00AA5C56" w:rsidRPr="000F5E87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0F5E87">
              <w:rPr>
                <w:lang w:val="en-GB"/>
              </w:rPr>
              <w:t>NOAC therapy guided by PARIS Risk Score and D-dimer in patients with ACS after PCI</w:t>
            </w:r>
          </w:p>
        </w:tc>
        <w:tc>
          <w:tcPr>
            <w:tcW w:w="1689" w:type="dxa"/>
          </w:tcPr>
          <w:p w14:paraId="0E1876F2" w14:textId="77777777" w:rsidR="00AA5C56" w:rsidRPr="00742EAA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42EAA">
              <w:rPr>
                <w:lang w:val="en-GB"/>
              </w:rPr>
              <w:t>ACS patients with high ischaemic risk (n = 3944)</w:t>
            </w:r>
          </w:p>
        </w:tc>
        <w:tc>
          <w:tcPr>
            <w:tcW w:w="1759" w:type="dxa"/>
          </w:tcPr>
          <w:p w14:paraId="5B97DF5B" w14:textId="77777777" w:rsidR="00AA5C56" w:rsidRPr="003D56F4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D56F4">
              <w:rPr>
                <w:lang w:val="en-GB"/>
              </w:rPr>
              <w:t>Aspirin plus clopidogrel plus rivaroxaban for 3 months followed by DAPT vs. aspirin plus clopidogrel after PC</w:t>
            </w:r>
            <w:r>
              <w:rPr>
                <w:lang w:val="en-GB"/>
              </w:rPr>
              <w:t>I</w:t>
            </w:r>
          </w:p>
        </w:tc>
        <w:tc>
          <w:tcPr>
            <w:tcW w:w="1654" w:type="dxa"/>
          </w:tcPr>
          <w:p w14:paraId="6C607DCC" w14:textId="77777777" w:rsidR="00AA5C56" w:rsidRPr="000F5E87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MACCE</w:t>
            </w:r>
          </w:p>
        </w:tc>
        <w:tc>
          <w:tcPr>
            <w:tcW w:w="1380" w:type="dxa"/>
          </w:tcPr>
          <w:p w14:paraId="4CC6EFD9" w14:textId="77777777" w:rsidR="00AA5C56" w:rsidRPr="000F5E87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742EAA" w14:paraId="32CC3BB0" w14:textId="77777777" w:rsidTr="00195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2E3A6528" w14:textId="77777777" w:rsidR="00AA5C56" w:rsidRDefault="00AA5C56" w:rsidP="00195FC6">
            <w:pPr>
              <w:pStyle w:val="TableParagraph"/>
            </w:pPr>
            <w:r>
              <w:t>NCT05779059</w:t>
            </w:r>
          </w:p>
        </w:tc>
        <w:tc>
          <w:tcPr>
            <w:tcW w:w="1540" w:type="dxa"/>
          </w:tcPr>
          <w:p w14:paraId="114788ED" w14:textId="77777777" w:rsidR="00AA5C56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PROTEUS</w:t>
            </w:r>
          </w:p>
        </w:tc>
        <w:tc>
          <w:tcPr>
            <w:tcW w:w="1689" w:type="dxa"/>
          </w:tcPr>
          <w:p w14:paraId="005C93F7" w14:textId="77777777" w:rsidR="00AA5C56" w:rsidRPr="00742EAA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42EAA">
              <w:rPr>
                <w:lang w:val="en-GB"/>
              </w:rPr>
              <w:t>ACS patients (NSTEMI, unstable angina) (n = 50)</w:t>
            </w:r>
          </w:p>
        </w:tc>
        <w:tc>
          <w:tcPr>
            <w:tcW w:w="1759" w:type="dxa"/>
          </w:tcPr>
          <w:p w14:paraId="7AA5101E" w14:textId="77777777" w:rsidR="00AA5C56" w:rsidRPr="00632BCB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632BCB">
              <w:rPr>
                <w:lang w:val="en-GB"/>
              </w:rPr>
              <w:t>nitial ticagrelor and switch to prasugrel at Day 45 or initial prasugrel and switch to ticagrelor at Day 45</w:t>
            </w:r>
          </w:p>
        </w:tc>
        <w:tc>
          <w:tcPr>
            <w:tcW w:w="1654" w:type="dxa"/>
          </w:tcPr>
          <w:p w14:paraId="2968413E" w14:textId="77777777" w:rsidR="00AA5C56" w:rsidRPr="00742EAA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t>Platelet reactivity</w:t>
            </w:r>
          </w:p>
        </w:tc>
        <w:tc>
          <w:tcPr>
            <w:tcW w:w="1380" w:type="dxa"/>
          </w:tcPr>
          <w:p w14:paraId="1F9BB06E" w14:textId="77777777" w:rsidR="00AA5C56" w:rsidRPr="00742EAA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742EAA" w14:paraId="37C449CF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601A8C9A" w14:textId="77777777" w:rsidR="00AA5C56" w:rsidRDefault="00AA5C56" w:rsidP="00195FC6">
            <w:pPr>
              <w:pStyle w:val="TableParagraph"/>
            </w:pPr>
            <w:r>
              <w:t>NCT05825573</w:t>
            </w:r>
          </w:p>
        </w:tc>
        <w:tc>
          <w:tcPr>
            <w:tcW w:w="1540" w:type="dxa"/>
          </w:tcPr>
          <w:p w14:paraId="7590DC97" w14:textId="77777777" w:rsidR="00AA5C5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ARGONAUT</w:t>
            </w:r>
          </w:p>
        </w:tc>
        <w:tc>
          <w:tcPr>
            <w:tcW w:w="1689" w:type="dxa"/>
          </w:tcPr>
          <w:p w14:paraId="516B753B" w14:textId="77777777" w:rsidR="00AA5C56" w:rsidRPr="00742EAA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42EAA">
              <w:rPr>
                <w:lang w:val="en-GB"/>
              </w:rPr>
              <w:t>Patients with intra-cardiac thrombus (n = 340)</w:t>
            </w:r>
          </w:p>
        </w:tc>
        <w:tc>
          <w:tcPr>
            <w:tcW w:w="1759" w:type="dxa"/>
          </w:tcPr>
          <w:p w14:paraId="227D3353" w14:textId="77777777" w:rsidR="00AA5C56" w:rsidRPr="00742EAA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VKA vs. DOAC</w:t>
            </w:r>
          </w:p>
        </w:tc>
        <w:tc>
          <w:tcPr>
            <w:tcW w:w="1654" w:type="dxa"/>
          </w:tcPr>
          <w:p w14:paraId="3826B74B" w14:textId="77777777" w:rsidR="00AA5C56" w:rsidRPr="00742EAA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Net clinical benefit</w:t>
            </w:r>
          </w:p>
        </w:tc>
        <w:tc>
          <w:tcPr>
            <w:tcW w:w="1380" w:type="dxa"/>
          </w:tcPr>
          <w:p w14:paraId="40527E4E" w14:textId="77777777" w:rsidR="00AA5C56" w:rsidRPr="00742EAA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A5C56" w:rsidRPr="000F5E87" w14:paraId="5A506090" w14:textId="77777777" w:rsidTr="00195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00504B04" w14:textId="77777777" w:rsidR="00AA5C56" w:rsidRDefault="00AA5C56" w:rsidP="00195FC6">
            <w:pPr>
              <w:pStyle w:val="TableParagraph"/>
            </w:pPr>
            <w:r>
              <w:t>NCT05093790</w:t>
            </w:r>
          </w:p>
        </w:tc>
        <w:tc>
          <w:tcPr>
            <w:tcW w:w="1540" w:type="dxa"/>
          </w:tcPr>
          <w:p w14:paraId="235A9080" w14:textId="77777777" w:rsidR="00AA5C56" w:rsidRPr="000F5E87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F5E87">
              <w:rPr>
                <w:lang w:val="en-GB"/>
              </w:rPr>
              <w:t>A study to evaluate BMS-986141 added on to aspirin or ticagrelor or the combination, on thrombus formation in a thrombosis chamber model in participants with stable coronary artery disease and healthy participants</w:t>
            </w:r>
          </w:p>
        </w:tc>
        <w:tc>
          <w:tcPr>
            <w:tcW w:w="1689" w:type="dxa"/>
          </w:tcPr>
          <w:p w14:paraId="6466533E" w14:textId="77777777" w:rsidR="00AA5C56" w:rsidRPr="000F5E87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t>Stable CAD (n = 55)</w:t>
            </w:r>
          </w:p>
        </w:tc>
        <w:tc>
          <w:tcPr>
            <w:tcW w:w="1759" w:type="dxa"/>
          </w:tcPr>
          <w:p w14:paraId="44946A75" w14:textId="77777777" w:rsidR="00AA5C56" w:rsidRPr="00BC3396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BC3396">
              <w:rPr>
                <w:lang w:val="en-GB"/>
              </w:rPr>
              <w:t>Ticagrelor plus BMS-986141 vs. aspirin plus BMS-986141 vs. ticagrelor plus aspirin plus BMS-986141 vs. BMS-986141</w:t>
            </w:r>
          </w:p>
        </w:tc>
        <w:tc>
          <w:tcPr>
            <w:tcW w:w="1654" w:type="dxa"/>
          </w:tcPr>
          <w:p w14:paraId="0CC4EACA" w14:textId="77777777" w:rsidR="00AA5C56" w:rsidRPr="003949E9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3949E9">
              <w:rPr>
                <w:lang w:val="en-GB"/>
              </w:rPr>
              <w:t>Change from baseline in thrombus area post-treatment BMS-986141</w:t>
            </w:r>
          </w:p>
        </w:tc>
        <w:tc>
          <w:tcPr>
            <w:tcW w:w="1380" w:type="dxa"/>
          </w:tcPr>
          <w:p w14:paraId="79700A84" w14:textId="77777777" w:rsidR="00AA5C56" w:rsidRPr="000F5E87" w:rsidRDefault="00AA5C56" w:rsidP="00195FC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AA5C56" w:rsidRPr="00D42ACC" w14:paraId="05D5EBE5" w14:textId="77777777" w:rsidTr="00195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589562D5" w14:textId="77777777" w:rsidR="00AA5C56" w:rsidRDefault="00AA5C56" w:rsidP="00195FC6">
            <w:pPr>
              <w:pStyle w:val="TableParagraph"/>
            </w:pPr>
            <w:r>
              <w:t>NCT05122455</w:t>
            </w:r>
          </w:p>
        </w:tc>
        <w:tc>
          <w:tcPr>
            <w:tcW w:w="1540" w:type="dxa"/>
          </w:tcPr>
          <w:p w14:paraId="75FD5C25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D42ACC">
              <w:rPr>
                <w:lang w:val="en-GB"/>
              </w:rPr>
              <w:t>Effects of edoxaban on platelet aggregation in patients with stable CAD</w:t>
            </w:r>
          </w:p>
        </w:tc>
        <w:tc>
          <w:tcPr>
            <w:tcW w:w="1689" w:type="dxa"/>
          </w:tcPr>
          <w:p w14:paraId="13C4DE52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t>Stable CAD (n = 70)</w:t>
            </w:r>
          </w:p>
        </w:tc>
        <w:tc>
          <w:tcPr>
            <w:tcW w:w="1759" w:type="dxa"/>
          </w:tcPr>
          <w:p w14:paraId="0291B268" w14:textId="77777777" w:rsidR="00AA5C56" w:rsidRPr="00343496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43496">
              <w:rPr>
                <w:lang w:val="en-GB"/>
              </w:rPr>
              <w:t xml:space="preserve">Aspirin vs. aspirin plus edoxaban, followed by clopidogrel monotherapy vs. clopidogrel plus edoxaban, followed by edoxaban </w:t>
            </w:r>
            <w:r w:rsidRPr="00343496">
              <w:rPr>
                <w:lang w:val="en-GB"/>
              </w:rPr>
              <w:lastRenderedPageBreak/>
              <w:t>monotherapy</w:t>
            </w:r>
          </w:p>
        </w:tc>
        <w:tc>
          <w:tcPr>
            <w:tcW w:w="1654" w:type="dxa"/>
          </w:tcPr>
          <w:p w14:paraId="2A75DF41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lastRenderedPageBreak/>
              <w:t>Platelet aggregability</w:t>
            </w:r>
          </w:p>
        </w:tc>
        <w:tc>
          <w:tcPr>
            <w:tcW w:w="1380" w:type="dxa"/>
          </w:tcPr>
          <w:p w14:paraId="07027F2F" w14:textId="77777777" w:rsidR="00AA5C56" w:rsidRPr="00D42ACC" w:rsidRDefault="00AA5C56" w:rsidP="00195FC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2/3</w:t>
            </w:r>
          </w:p>
        </w:tc>
      </w:tr>
    </w:tbl>
    <w:p w14:paraId="72019CF7" w14:textId="77777777" w:rsidR="00AA5C56" w:rsidRDefault="00AA5C56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63127596" w14:textId="77777777" w:rsidR="00AA5C56" w:rsidRDefault="00AA5C56" w:rsidP="007F4C21">
      <w:pPr>
        <w:pStyle w:val="a3"/>
        <w:ind w:firstLineChars="0" w:firstLine="0"/>
        <w:rPr>
          <w:rStyle w:val="a6"/>
        </w:rPr>
      </w:pPr>
    </w:p>
    <w:p w14:paraId="6788238F" w14:textId="77777777" w:rsidR="00AA5C56" w:rsidRDefault="00AA5C56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76F470C4" w14:textId="77777777" w:rsidR="00AA5C56" w:rsidRDefault="00AA5C56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2EFAA8C1" w14:textId="77777777" w:rsidR="00AA5C56" w:rsidRDefault="00AA5C56" w:rsidP="007F4C21">
      <w:pPr>
        <w:pStyle w:val="a3"/>
        <w:ind w:firstLineChars="0" w:firstLine="0"/>
        <w:rPr>
          <w:rStyle w:val="a6"/>
          <w:b/>
          <w:bCs/>
          <w:color w:val="auto"/>
          <w:sz w:val="24"/>
          <w:szCs w:val="24"/>
          <w:u w:val="none"/>
        </w:rPr>
      </w:pPr>
    </w:p>
    <w:p w14:paraId="6F61B752" w14:textId="35E5B019" w:rsidR="003E391D" w:rsidRPr="0008051D" w:rsidRDefault="007F4C21" w:rsidP="007F4C21">
      <w:pPr>
        <w:pStyle w:val="a3"/>
        <w:ind w:firstLineChars="0" w:firstLine="0"/>
        <w:rPr>
          <w:rFonts w:eastAsiaTheme="minorHAnsi"/>
          <w:b/>
          <w:bCs/>
          <w:sz w:val="24"/>
          <w:szCs w:val="24"/>
        </w:rPr>
      </w:pPr>
      <w:r w:rsidRPr="0008051D">
        <w:rPr>
          <w:rStyle w:val="a6"/>
          <w:b/>
          <w:bCs/>
          <w:color w:val="auto"/>
          <w:sz w:val="24"/>
          <w:szCs w:val="24"/>
          <w:u w:val="none"/>
        </w:rPr>
        <w:t>Supplementary Table</w:t>
      </w:r>
      <w:r w:rsidR="00C0417E" w:rsidRPr="0008051D">
        <w:rPr>
          <w:rStyle w:val="a6"/>
          <w:b/>
          <w:bCs/>
          <w:color w:val="auto"/>
          <w:sz w:val="24"/>
          <w:szCs w:val="24"/>
          <w:u w:val="none"/>
        </w:rPr>
        <w:t xml:space="preserve"> </w:t>
      </w:r>
      <w:r w:rsidR="00AA5C56">
        <w:rPr>
          <w:rStyle w:val="a6"/>
          <w:b/>
          <w:bCs/>
          <w:color w:val="auto"/>
          <w:sz w:val="24"/>
          <w:szCs w:val="24"/>
          <w:u w:val="none"/>
        </w:rPr>
        <w:t>3</w:t>
      </w:r>
      <w:r w:rsidRPr="0008051D">
        <w:rPr>
          <w:rStyle w:val="a6"/>
          <w:b/>
          <w:bCs/>
          <w:color w:val="auto"/>
          <w:sz w:val="24"/>
          <w:szCs w:val="24"/>
          <w:u w:val="none"/>
        </w:rPr>
        <w:t xml:space="preserve">: </w:t>
      </w:r>
      <w:r w:rsidRPr="0008051D">
        <w:rPr>
          <w:rFonts w:eastAsiaTheme="minorHAnsi"/>
          <w:b/>
          <w:bCs/>
          <w:sz w:val="24"/>
          <w:szCs w:val="24"/>
        </w:rPr>
        <w:t>Characteristics of studies on extended anticoagulation after incident VTE.</w:t>
      </w:r>
    </w:p>
    <w:tbl>
      <w:tblPr>
        <w:tblStyle w:val="a4"/>
        <w:tblW w:w="9762" w:type="dxa"/>
        <w:tblLook w:val="04A0" w:firstRow="1" w:lastRow="0" w:firstColumn="1" w:lastColumn="0" w:noHBand="0" w:noVBand="1"/>
      </w:tblPr>
      <w:tblGrid>
        <w:gridCol w:w="1548"/>
        <w:gridCol w:w="1481"/>
        <w:gridCol w:w="1341"/>
        <w:gridCol w:w="1066"/>
        <w:gridCol w:w="1332"/>
        <w:gridCol w:w="1548"/>
        <w:gridCol w:w="1446"/>
      </w:tblGrid>
      <w:tr w:rsidR="00CE74D4" w:rsidRPr="0008051D" w14:paraId="0E8DB1C2" w14:textId="77777777" w:rsidTr="00CE74D4">
        <w:trPr>
          <w:trHeight w:val="1140"/>
        </w:trPr>
        <w:tc>
          <w:tcPr>
            <w:tcW w:w="1548" w:type="dxa"/>
          </w:tcPr>
          <w:p w14:paraId="5509AB32" w14:textId="3789B952" w:rsidR="00A87D58" w:rsidRPr="0008051D" w:rsidRDefault="005910B2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br/>
            </w:r>
            <w:r w:rsidR="00A87D58" w:rsidRPr="0008051D">
              <w:rPr>
                <w:b/>
                <w:bCs/>
                <w:sz w:val="24"/>
                <w:szCs w:val="24"/>
              </w:rPr>
              <w:t>Intervention</w:t>
            </w:r>
          </w:p>
        </w:tc>
        <w:tc>
          <w:tcPr>
            <w:tcW w:w="1481" w:type="dxa"/>
          </w:tcPr>
          <w:p w14:paraId="6EF98217" w14:textId="399747D8" w:rsidR="00A87D58" w:rsidRPr="0008051D" w:rsidRDefault="005910B2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br/>
            </w:r>
            <w:r w:rsidR="00A87D58" w:rsidRPr="0008051D">
              <w:rPr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1341" w:type="dxa"/>
          </w:tcPr>
          <w:p w14:paraId="75009FE4" w14:textId="7BAC0720" w:rsidR="00A87D58" w:rsidRPr="0008051D" w:rsidRDefault="005910B2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br/>
            </w:r>
            <w:r w:rsidR="00A87D58" w:rsidRPr="0008051D">
              <w:rPr>
                <w:b/>
                <w:bCs/>
                <w:sz w:val="24"/>
                <w:szCs w:val="24"/>
              </w:rPr>
              <w:t>Methods</w:t>
            </w:r>
          </w:p>
        </w:tc>
        <w:tc>
          <w:tcPr>
            <w:tcW w:w="1066" w:type="dxa"/>
          </w:tcPr>
          <w:p w14:paraId="3402F1A1" w14:textId="1F1789F3" w:rsidR="00A87D58" w:rsidRPr="0008051D" w:rsidRDefault="00A87D58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t>% of patients with PE</w:t>
            </w:r>
          </w:p>
        </w:tc>
        <w:tc>
          <w:tcPr>
            <w:tcW w:w="1332" w:type="dxa"/>
          </w:tcPr>
          <w:p w14:paraId="6FFC7471" w14:textId="51E7CCC8" w:rsidR="00A87D58" w:rsidRPr="0008051D" w:rsidRDefault="00A87D58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t>Treatment Duration (months)</w:t>
            </w:r>
          </w:p>
        </w:tc>
        <w:tc>
          <w:tcPr>
            <w:tcW w:w="1548" w:type="dxa"/>
          </w:tcPr>
          <w:p w14:paraId="430C13C7" w14:textId="27B72397" w:rsidR="00A87D58" w:rsidRPr="0008051D" w:rsidRDefault="00A87D58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t>Recurrence</w:t>
            </w:r>
            <w:r w:rsidRPr="0008051D">
              <w:rPr>
                <w:b/>
                <w:bCs/>
                <w:sz w:val="24"/>
                <w:szCs w:val="24"/>
              </w:rPr>
              <w:br/>
              <w:t>Proportion (% vs. comparison)</w:t>
            </w:r>
          </w:p>
        </w:tc>
        <w:tc>
          <w:tcPr>
            <w:tcW w:w="1446" w:type="dxa"/>
          </w:tcPr>
          <w:p w14:paraId="415F9588" w14:textId="6C66AD92" w:rsidR="00A87D58" w:rsidRPr="0008051D" w:rsidRDefault="005910B2" w:rsidP="001E0B10">
            <w:pPr>
              <w:pStyle w:val="a3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08051D">
              <w:rPr>
                <w:b/>
                <w:bCs/>
                <w:sz w:val="24"/>
                <w:szCs w:val="24"/>
              </w:rPr>
              <w:br/>
            </w:r>
            <w:r w:rsidR="00A87D58" w:rsidRPr="0008051D">
              <w:rPr>
                <w:b/>
                <w:bCs/>
                <w:sz w:val="24"/>
                <w:szCs w:val="24"/>
              </w:rPr>
              <w:t>Recurrence</w:t>
            </w:r>
            <w:r w:rsidR="00A87D58" w:rsidRPr="0008051D">
              <w:rPr>
                <w:b/>
                <w:bCs/>
                <w:sz w:val="24"/>
                <w:szCs w:val="24"/>
              </w:rPr>
              <w:br/>
              <w:t>Risk (HR)</w:t>
            </w:r>
          </w:p>
        </w:tc>
      </w:tr>
      <w:tr w:rsidR="00CE74D4" w:rsidRPr="007D0C11" w14:paraId="56D8357F" w14:textId="77777777" w:rsidTr="00CE74D4">
        <w:trPr>
          <w:trHeight w:val="1710"/>
        </w:trPr>
        <w:tc>
          <w:tcPr>
            <w:tcW w:w="1548" w:type="dxa"/>
          </w:tcPr>
          <w:p w14:paraId="6CE90743" w14:textId="1CFB62F4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br/>
            </w:r>
            <w:r w:rsidR="00A87D58" w:rsidRPr="0008051D">
              <w:rPr>
                <w:b/>
                <w:bCs/>
                <w:sz w:val="22"/>
                <w:szCs w:val="22"/>
              </w:rPr>
              <w:t>Apixaban</w:t>
            </w:r>
          </w:p>
        </w:tc>
        <w:tc>
          <w:tcPr>
            <w:tcW w:w="1481" w:type="dxa"/>
          </w:tcPr>
          <w:p w14:paraId="42C8807D" w14:textId="2646D2D6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="00A87D58" w:rsidRPr="0008051D">
              <w:rPr>
                <w:sz w:val="22"/>
                <w:szCs w:val="22"/>
              </w:rPr>
              <w:t>AMPLIFY</w:t>
            </w:r>
            <w:r w:rsidR="00A87D58" w:rsidRPr="0008051D">
              <w:rPr>
                <w:sz w:val="22"/>
                <w:szCs w:val="22"/>
              </w:rPr>
              <w:br/>
              <w:t>Extensio</w:t>
            </w:r>
            <w:r w:rsidRPr="0008051D">
              <w:rPr>
                <w:sz w:val="22"/>
                <w:szCs w:val="22"/>
              </w:rPr>
              <w:t>n,</w:t>
            </w:r>
            <w:r w:rsidR="00A87D58" w:rsidRPr="0008051D">
              <w:rPr>
                <w:sz w:val="22"/>
                <w:szCs w:val="22"/>
              </w:rPr>
              <w:t xml:space="preserve"> 2013</w:t>
            </w:r>
          </w:p>
        </w:tc>
        <w:tc>
          <w:tcPr>
            <w:tcW w:w="1341" w:type="dxa"/>
          </w:tcPr>
          <w:p w14:paraId="20F60BA9" w14:textId="5CC2B280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154827" w:rsidRPr="0008051D">
              <w:rPr>
                <w:sz w:val="22"/>
                <w:szCs w:val="22"/>
              </w:rPr>
              <w:br/>
            </w:r>
            <w:r w:rsidR="00A87D58" w:rsidRPr="0008051D">
              <w:rPr>
                <w:sz w:val="22"/>
                <w:szCs w:val="22"/>
              </w:rPr>
              <w:t>Placebo vs. Apixaban 5/2.5 mg twice daily</w:t>
            </w:r>
          </w:p>
        </w:tc>
        <w:tc>
          <w:tcPr>
            <w:tcW w:w="1066" w:type="dxa"/>
          </w:tcPr>
          <w:p w14:paraId="1A2A1A7A" w14:textId="6BF56BA7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="00A87D58" w:rsidRPr="0008051D">
              <w:rPr>
                <w:sz w:val="22"/>
                <w:szCs w:val="22"/>
              </w:rPr>
              <w:t>35</w:t>
            </w:r>
          </w:p>
        </w:tc>
        <w:tc>
          <w:tcPr>
            <w:tcW w:w="1332" w:type="dxa"/>
          </w:tcPr>
          <w:p w14:paraId="5C468A1E" w14:textId="61B766B1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="00A87D58" w:rsidRPr="0008051D">
              <w:rPr>
                <w:sz w:val="22"/>
                <w:szCs w:val="22"/>
              </w:rPr>
              <w:t>12</w:t>
            </w:r>
          </w:p>
        </w:tc>
        <w:tc>
          <w:tcPr>
            <w:tcW w:w="1548" w:type="dxa"/>
          </w:tcPr>
          <w:p w14:paraId="6C329C8B" w14:textId="53EB8B5C" w:rsidR="00A87D58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2A1C66" w:rsidRPr="0008051D">
              <w:rPr>
                <w:sz w:val="22"/>
                <w:szCs w:val="22"/>
              </w:rPr>
              <w:t>Api 5: 1.7</w:t>
            </w:r>
          </w:p>
          <w:p w14:paraId="3F070F92" w14:textId="77777777" w:rsidR="002A1C66" w:rsidRPr="0008051D" w:rsidRDefault="002A1C66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Api 2.5: 1.7</w:t>
            </w:r>
          </w:p>
          <w:p w14:paraId="192D8BE6" w14:textId="090C4886" w:rsidR="002A1C66" w:rsidRPr="0008051D" w:rsidRDefault="002A1C66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Placebo: 8.8</w:t>
            </w:r>
          </w:p>
        </w:tc>
        <w:tc>
          <w:tcPr>
            <w:tcW w:w="1446" w:type="dxa"/>
          </w:tcPr>
          <w:p w14:paraId="6FF56175" w14:textId="77777777" w:rsidR="00A87D58" w:rsidRPr="0008051D" w:rsidRDefault="002A1C66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Api 5 vs. Placebo: 0.36 [0.25-0.53]</w:t>
            </w:r>
          </w:p>
          <w:p w14:paraId="035CB8B8" w14:textId="739DF22A" w:rsidR="002A1C66" w:rsidRPr="0008051D" w:rsidRDefault="002A1C66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Api 2.5 vs. Placebo 0.33 [0.22-0.48]</w:t>
            </w:r>
          </w:p>
        </w:tc>
      </w:tr>
      <w:tr w:rsidR="001E0B10" w:rsidRPr="0008051D" w14:paraId="02A1FC42" w14:textId="77777777" w:rsidTr="00CE74D4">
        <w:trPr>
          <w:trHeight w:val="272"/>
        </w:trPr>
        <w:tc>
          <w:tcPr>
            <w:tcW w:w="1548" w:type="dxa"/>
            <w:vMerge w:val="restart"/>
          </w:tcPr>
          <w:p w14:paraId="3F893B8D" w14:textId="4C0C016F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br/>
              <w:t>Dabigatran</w:t>
            </w:r>
          </w:p>
        </w:tc>
        <w:tc>
          <w:tcPr>
            <w:tcW w:w="1481" w:type="dxa"/>
          </w:tcPr>
          <w:p w14:paraId="0EBE7814" w14:textId="6A1FEC7F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RESONATE, 2013</w:t>
            </w:r>
          </w:p>
        </w:tc>
        <w:tc>
          <w:tcPr>
            <w:tcW w:w="1341" w:type="dxa"/>
          </w:tcPr>
          <w:p w14:paraId="3C11414D" w14:textId="6AE384D8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Placebo vs. Dabigatran 150 mg twice daily</w:t>
            </w:r>
          </w:p>
        </w:tc>
        <w:tc>
          <w:tcPr>
            <w:tcW w:w="1066" w:type="dxa"/>
          </w:tcPr>
          <w:p w14:paraId="7D02FCFD" w14:textId="0E4E3A51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33</w:t>
            </w:r>
          </w:p>
        </w:tc>
        <w:tc>
          <w:tcPr>
            <w:tcW w:w="1332" w:type="dxa"/>
          </w:tcPr>
          <w:p w14:paraId="76B063D4" w14:textId="2C61D000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6-18</w:t>
            </w:r>
          </w:p>
        </w:tc>
        <w:tc>
          <w:tcPr>
            <w:tcW w:w="1548" w:type="dxa"/>
          </w:tcPr>
          <w:p w14:paraId="67F2A7D6" w14:textId="1E49EEC0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0.4 vs. 5.6</w:t>
            </w:r>
          </w:p>
        </w:tc>
        <w:tc>
          <w:tcPr>
            <w:tcW w:w="1446" w:type="dxa"/>
          </w:tcPr>
          <w:p w14:paraId="631DA544" w14:textId="0C070352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0.08</w:t>
            </w:r>
            <w:r w:rsidR="00CE74D4"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t>[0.02-0.25]</w:t>
            </w:r>
          </w:p>
        </w:tc>
      </w:tr>
      <w:tr w:rsidR="001E0B10" w:rsidRPr="0008051D" w14:paraId="7387CC1A" w14:textId="77777777" w:rsidTr="00CE74D4">
        <w:trPr>
          <w:trHeight w:val="285"/>
        </w:trPr>
        <w:tc>
          <w:tcPr>
            <w:tcW w:w="1548" w:type="dxa"/>
            <w:vMerge/>
          </w:tcPr>
          <w:p w14:paraId="1B5715AB" w14:textId="77777777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81" w:type="dxa"/>
          </w:tcPr>
          <w:p w14:paraId="76E7029C" w14:textId="65C0B161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REMEDY, 2013</w:t>
            </w:r>
          </w:p>
        </w:tc>
        <w:tc>
          <w:tcPr>
            <w:tcW w:w="1341" w:type="dxa"/>
          </w:tcPr>
          <w:p w14:paraId="175C0213" w14:textId="18BDB3F2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Warfarin vs. Dabigatran 150 mg twice daily</w:t>
            </w:r>
          </w:p>
        </w:tc>
        <w:tc>
          <w:tcPr>
            <w:tcW w:w="1066" w:type="dxa"/>
          </w:tcPr>
          <w:p w14:paraId="3FC85FDB" w14:textId="119EC601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35</w:t>
            </w:r>
          </w:p>
        </w:tc>
        <w:tc>
          <w:tcPr>
            <w:tcW w:w="1332" w:type="dxa"/>
          </w:tcPr>
          <w:p w14:paraId="05121CF1" w14:textId="3F7549D8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18-36</w:t>
            </w:r>
          </w:p>
        </w:tc>
        <w:tc>
          <w:tcPr>
            <w:tcW w:w="1548" w:type="dxa"/>
          </w:tcPr>
          <w:p w14:paraId="22ED0EDD" w14:textId="6175EBEF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1.8 vs. 1.3</w:t>
            </w:r>
          </w:p>
        </w:tc>
        <w:tc>
          <w:tcPr>
            <w:tcW w:w="1446" w:type="dxa"/>
          </w:tcPr>
          <w:p w14:paraId="7B5FE86F" w14:textId="05431CF0" w:rsidR="001E0B10" w:rsidRPr="0008051D" w:rsidRDefault="001E0B10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1.44</w:t>
            </w:r>
            <w:r w:rsidR="00CE74D4"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t>[0.78-2.64]</w:t>
            </w:r>
          </w:p>
        </w:tc>
      </w:tr>
      <w:tr w:rsidR="00C375A8" w:rsidRPr="0008051D" w14:paraId="7121E784" w14:textId="77777777" w:rsidTr="00CE74D4">
        <w:trPr>
          <w:trHeight w:val="285"/>
        </w:trPr>
        <w:tc>
          <w:tcPr>
            <w:tcW w:w="1548" w:type="dxa"/>
            <w:vMerge w:val="restart"/>
          </w:tcPr>
          <w:p w14:paraId="3BADF61C" w14:textId="36AE584C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08051D">
              <w:rPr>
                <w:b/>
                <w:bCs/>
                <w:sz w:val="22"/>
                <w:szCs w:val="22"/>
              </w:rPr>
              <w:br/>
            </w:r>
            <w:r w:rsidR="00AA3A79" w:rsidRPr="0008051D">
              <w:rPr>
                <w:b/>
                <w:bCs/>
                <w:sz w:val="22"/>
                <w:szCs w:val="22"/>
              </w:rPr>
              <w:br/>
            </w:r>
            <w:r w:rsidR="00AA3A79" w:rsidRPr="0008051D">
              <w:rPr>
                <w:b/>
                <w:bCs/>
                <w:sz w:val="22"/>
                <w:szCs w:val="22"/>
              </w:rPr>
              <w:br/>
            </w:r>
            <w:r w:rsidR="00AA3A79" w:rsidRPr="0008051D">
              <w:rPr>
                <w:b/>
                <w:bCs/>
                <w:sz w:val="22"/>
                <w:szCs w:val="22"/>
              </w:rPr>
              <w:br/>
            </w:r>
            <w:r w:rsidR="00AA3A79" w:rsidRPr="0008051D">
              <w:rPr>
                <w:b/>
                <w:bCs/>
                <w:sz w:val="22"/>
                <w:szCs w:val="22"/>
              </w:rPr>
              <w:br/>
            </w:r>
            <w:r w:rsidRPr="0008051D">
              <w:rPr>
                <w:b/>
                <w:bCs/>
                <w:sz w:val="22"/>
                <w:szCs w:val="22"/>
              </w:rPr>
              <w:t>Rivaroxaban</w:t>
            </w:r>
          </w:p>
        </w:tc>
        <w:tc>
          <w:tcPr>
            <w:tcW w:w="1481" w:type="dxa"/>
          </w:tcPr>
          <w:p w14:paraId="1BC762F8" w14:textId="033D0D6F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EINSTEIN</w:t>
            </w:r>
            <w:r w:rsidRPr="0008051D">
              <w:rPr>
                <w:sz w:val="22"/>
                <w:szCs w:val="22"/>
              </w:rPr>
              <w:br/>
              <w:t>Extension,</w:t>
            </w:r>
            <w:r w:rsidRPr="0008051D">
              <w:rPr>
                <w:sz w:val="22"/>
                <w:szCs w:val="22"/>
              </w:rPr>
              <w:br/>
              <w:t>2010</w:t>
            </w:r>
          </w:p>
        </w:tc>
        <w:tc>
          <w:tcPr>
            <w:tcW w:w="1341" w:type="dxa"/>
          </w:tcPr>
          <w:p w14:paraId="4B2C92EB" w14:textId="2EE719A9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Placebo vs. Rivaroxaban 20 mg once daily</w:t>
            </w:r>
          </w:p>
        </w:tc>
        <w:tc>
          <w:tcPr>
            <w:tcW w:w="1066" w:type="dxa"/>
          </w:tcPr>
          <w:p w14:paraId="080D1E83" w14:textId="3FDA7293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38</w:t>
            </w:r>
          </w:p>
        </w:tc>
        <w:tc>
          <w:tcPr>
            <w:tcW w:w="1332" w:type="dxa"/>
          </w:tcPr>
          <w:p w14:paraId="7A583298" w14:textId="1110780E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6-12</w:t>
            </w:r>
          </w:p>
        </w:tc>
        <w:tc>
          <w:tcPr>
            <w:tcW w:w="1548" w:type="dxa"/>
          </w:tcPr>
          <w:p w14:paraId="2499FB77" w14:textId="48FF9C00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1.3 vs. 7.1</w:t>
            </w:r>
          </w:p>
        </w:tc>
        <w:tc>
          <w:tcPr>
            <w:tcW w:w="1446" w:type="dxa"/>
          </w:tcPr>
          <w:p w14:paraId="4250BCA7" w14:textId="2EB0A03A" w:rsidR="00C375A8" w:rsidRPr="0008051D" w:rsidRDefault="00C375A8" w:rsidP="001E0B10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  <w:t>0.18</w:t>
            </w:r>
            <w:r w:rsidRPr="0008051D">
              <w:rPr>
                <w:sz w:val="22"/>
                <w:szCs w:val="22"/>
              </w:rPr>
              <w:br/>
              <w:t>[0.09-0.39]</w:t>
            </w:r>
          </w:p>
        </w:tc>
      </w:tr>
      <w:tr w:rsidR="00C375A8" w:rsidRPr="0008051D" w14:paraId="3236EED6" w14:textId="77777777" w:rsidTr="00CE74D4">
        <w:trPr>
          <w:trHeight w:val="285"/>
        </w:trPr>
        <w:tc>
          <w:tcPr>
            <w:tcW w:w="1548" w:type="dxa"/>
            <w:vMerge/>
          </w:tcPr>
          <w:p w14:paraId="46DDAF87" w14:textId="77777777" w:rsidR="00C375A8" w:rsidRPr="0008051D" w:rsidRDefault="00C375A8" w:rsidP="00CE74D4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81" w:type="dxa"/>
          </w:tcPr>
          <w:p w14:paraId="41A3B824" w14:textId="28F7ADD3" w:rsidR="00C375A8" w:rsidRPr="0008051D" w:rsidRDefault="00C375A8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  <w:t>EINSTEIN</w:t>
            </w:r>
            <w:r w:rsidRPr="0008051D">
              <w:rPr>
                <w:sz w:val="22"/>
                <w:szCs w:val="22"/>
              </w:rPr>
              <w:br/>
              <w:t>Choice,</w:t>
            </w:r>
            <w:r w:rsidRPr="0008051D">
              <w:rPr>
                <w:sz w:val="22"/>
                <w:szCs w:val="22"/>
              </w:rPr>
              <w:br/>
              <w:t>2017</w:t>
            </w:r>
          </w:p>
        </w:tc>
        <w:tc>
          <w:tcPr>
            <w:tcW w:w="1341" w:type="dxa"/>
          </w:tcPr>
          <w:p w14:paraId="40DC1EB6" w14:textId="53BB741F" w:rsidR="00C375A8" w:rsidRPr="0008051D" w:rsidRDefault="00C375A8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Aspirin 100 mg</w:t>
            </w:r>
            <w:r w:rsidR="00EF0F50" w:rsidRPr="0008051D">
              <w:rPr>
                <w:rFonts w:eastAsiaTheme="minorHAnsi"/>
                <w:sz w:val="22"/>
                <w:szCs w:val="22"/>
              </w:rPr>
              <w:t xml:space="preserve"> once daily</w:t>
            </w:r>
            <w:r w:rsidRPr="0008051D">
              <w:rPr>
                <w:rFonts w:eastAsiaTheme="minorHAnsi"/>
                <w:sz w:val="22"/>
                <w:szCs w:val="22"/>
              </w:rPr>
              <w:t xml:space="preserve"> vs. Rivaroxaban 20 mg or 10 mg once daily</w:t>
            </w:r>
          </w:p>
        </w:tc>
        <w:tc>
          <w:tcPr>
            <w:tcW w:w="1066" w:type="dxa"/>
          </w:tcPr>
          <w:p w14:paraId="5792F998" w14:textId="07C90173" w:rsidR="00C375A8" w:rsidRPr="0008051D" w:rsidRDefault="00C375A8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  <w:t>49</w:t>
            </w:r>
          </w:p>
        </w:tc>
        <w:tc>
          <w:tcPr>
            <w:tcW w:w="1332" w:type="dxa"/>
          </w:tcPr>
          <w:p w14:paraId="3C7E0F04" w14:textId="6B32327D" w:rsidR="00C375A8" w:rsidRPr="0008051D" w:rsidRDefault="00C375A8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</w:r>
            <w:r w:rsidRPr="0008051D">
              <w:rPr>
                <w:sz w:val="22"/>
                <w:szCs w:val="22"/>
              </w:rPr>
              <w:br/>
              <w:t>12</w:t>
            </w:r>
          </w:p>
        </w:tc>
        <w:tc>
          <w:tcPr>
            <w:tcW w:w="1548" w:type="dxa"/>
          </w:tcPr>
          <w:p w14:paraId="19E0FF9D" w14:textId="0D295F2F" w:rsidR="00C375A8" w:rsidRPr="0008051D" w:rsidRDefault="00C375A8" w:rsidP="00CE74D4">
            <w:pPr>
              <w:pStyle w:val="a3"/>
              <w:ind w:firstLineChars="0" w:firstLine="0"/>
              <w:rPr>
                <w:rFonts w:eastAsiaTheme="minorHAnsi"/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br/>
              <w:t>Riva 20: 1.5</w:t>
            </w:r>
          </w:p>
          <w:p w14:paraId="67BAEF57" w14:textId="77777777" w:rsidR="00C375A8" w:rsidRPr="0008051D" w:rsidRDefault="00C375A8" w:rsidP="00CE74D4">
            <w:pPr>
              <w:pStyle w:val="a3"/>
              <w:ind w:firstLineChars="0" w:firstLine="0"/>
              <w:rPr>
                <w:rFonts w:eastAsiaTheme="minorHAnsi"/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Riva 10: 1.2</w:t>
            </w:r>
          </w:p>
          <w:p w14:paraId="4B12DB47" w14:textId="097CDD7C" w:rsidR="00C375A8" w:rsidRPr="0008051D" w:rsidRDefault="00C375A8" w:rsidP="00CE74D4">
            <w:pPr>
              <w:pStyle w:val="a3"/>
              <w:ind w:firstLineChars="0" w:firstLine="0"/>
              <w:rPr>
                <w:sz w:val="22"/>
                <w:szCs w:val="22"/>
              </w:rPr>
            </w:pPr>
            <w:r w:rsidRPr="0008051D">
              <w:rPr>
                <w:rFonts w:eastAsiaTheme="minorHAnsi"/>
                <w:sz w:val="22"/>
                <w:szCs w:val="22"/>
              </w:rPr>
              <w:t>Aspirin: 4.4</w:t>
            </w:r>
          </w:p>
        </w:tc>
        <w:tc>
          <w:tcPr>
            <w:tcW w:w="1446" w:type="dxa"/>
          </w:tcPr>
          <w:p w14:paraId="2D730FEE" w14:textId="3A2E24B7" w:rsidR="00C375A8" w:rsidRPr="0008051D" w:rsidRDefault="00C375A8" w:rsidP="00CE74D4">
            <w:pPr>
              <w:pStyle w:val="a3"/>
              <w:ind w:firstLineChars="0" w:firstLine="0"/>
              <w:rPr>
                <w:rFonts w:eastAsiaTheme="minorHAnsi"/>
                <w:sz w:val="20"/>
                <w:szCs w:val="20"/>
                <w:lang w:val="it-IT"/>
              </w:rPr>
            </w:pPr>
            <w:r w:rsidRPr="0008051D">
              <w:rPr>
                <w:rFonts w:eastAsiaTheme="minorHAnsi"/>
                <w:sz w:val="22"/>
                <w:szCs w:val="22"/>
                <w:lang w:val="it-IT"/>
              </w:rPr>
              <w:t>Riva 20 vs. Aspirin: 0.34 [0.2-0.59]</w:t>
            </w:r>
            <w:r w:rsidRPr="0008051D">
              <w:rPr>
                <w:rFonts w:eastAsiaTheme="minorHAnsi"/>
                <w:sz w:val="22"/>
                <w:szCs w:val="22"/>
                <w:lang w:val="it-IT"/>
              </w:rPr>
              <w:br/>
            </w:r>
            <w:r w:rsidRPr="0008051D">
              <w:rPr>
                <w:rFonts w:eastAsiaTheme="minorHAnsi"/>
                <w:sz w:val="22"/>
                <w:szCs w:val="22"/>
                <w:lang w:val="it-IT"/>
              </w:rPr>
              <w:br/>
              <w:t>Riva 10 vs. Aspirin: 0.26 [0.14-0.47]</w:t>
            </w:r>
          </w:p>
        </w:tc>
      </w:tr>
      <w:tr w:rsidR="00E24BD9" w:rsidRPr="0008051D" w14:paraId="0885D6B5" w14:textId="77777777" w:rsidTr="00CE74D4">
        <w:trPr>
          <w:trHeight w:val="285"/>
        </w:trPr>
        <w:tc>
          <w:tcPr>
            <w:tcW w:w="1548" w:type="dxa"/>
            <w:vMerge w:val="restart"/>
          </w:tcPr>
          <w:p w14:paraId="26D3CFBD" w14:textId="4F6DCE75" w:rsidR="00E24BD9" w:rsidRPr="0008051D" w:rsidRDefault="00E24BD9" w:rsidP="00CE74D4">
            <w:pPr>
              <w:pStyle w:val="a3"/>
              <w:ind w:firstLineChars="0" w:firstLine="0"/>
              <w:jc w:val="center"/>
              <w:rPr>
                <w:b/>
                <w:bCs/>
                <w:sz w:val="22"/>
                <w:szCs w:val="22"/>
                <w:lang w:val="it-IT"/>
              </w:rPr>
            </w:pPr>
            <w:r w:rsidRPr="0008051D">
              <w:rPr>
                <w:b/>
                <w:bCs/>
                <w:sz w:val="22"/>
                <w:szCs w:val="22"/>
                <w:lang w:val="it-IT"/>
              </w:rPr>
              <w:br/>
            </w:r>
            <w:r w:rsidRPr="0008051D">
              <w:rPr>
                <w:b/>
                <w:bCs/>
                <w:sz w:val="22"/>
                <w:szCs w:val="22"/>
                <w:lang w:val="it-IT"/>
              </w:rPr>
              <w:br/>
            </w:r>
            <w:r w:rsidRPr="0008051D">
              <w:rPr>
                <w:b/>
                <w:bCs/>
                <w:sz w:val="22"/>
                <w:szCs w:val="22"/>
                <w:lang w:val="it-IT"/>
              </w:rPr>
              <w:br/>
              <w:t>Aspirin</w:t>
            </w:r>
          </w:p>
        </w:tc>
        <w:tc>
          <w:tcPr>
            <w:tcW w:w="1481" w:type="dxa"/>
          </w:tcPr>
          <w:p w14:paraId="26D53E02" w14:textId="53794F36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  <w:lang w:val="it-IT"/>
              </w:rPr>
            </w:pPr>
            <w:r w:rsidRPr="0008051D">
              <w:rPr>
                <w:sz w:val="22"/>
                <w:szCs w:val="22"/>
                <w:lang w:val="it-IT"/>
              </w:rPr>
              <w:br/>
            </w:r>
            <w:r w:rsidR="00E24BD9" w:rsidRPr="0008051D">
              <w:rPr>
                <w:sz w:val="22"/>
                <w:szCs w:val="22"/>
                <w:lang w:val="it-IT"/>
              </w:rPr>
              <w:t>WARFASA,</w:t>
            </w:r>
            <w:r w:rsidR="00E24BD9" w:rsidRPr="0008051D">
              <w:rPr>
                <w:sz w:val="22"/>
                <w:szCs w:val="22"/>
                <w:lang w:val="it-IT"/>
              </w:rPr>
              <w:br/>
              <w:t>2012</w:t>
            </w:r>
          </w:p>
        </w:tc>
        <w:tc>
          <w:tcPr>
            <w:tcW w:w="1341" w:type="dxa"/>
          </w:tcPr>
          <w:p w14:paraId="5DB89CFB" w14:textId="0D72A641" w:rsidR="00E24BD9" w:rsidRPr="0008051D" w:rsidRDefault="00E24BD9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Placebo vs. Aspirin 100 mg once daily</w:t>
            </w:r>
          </w:p>
        </w:tc>
        <w:tc>
          <w:tcPr>
            <w:tcW w:w="1066" w:type="dxa"/>
          </w:tcPr>
          <w:p w14:paraId="0E6B2340" w14:textId="0D99EA9A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40</w:t>
            </w:r>
          </w:p>
        </w:tc>
        <w:tc>
          <w:tcPr>
            <w:tcW w:w="1332" w:type="dxa"/>
          </w:tcPr>
          <w:p w14:paraId="3F340E77" w14:textId="54A308EA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&gt; 24</w:t>
            </w:r>
          </w:p>
        </w:tc>
        <w:tc>
          <w:tcPr>
            <w:tcW w:w="1548" w:type="dxa"/>
          </w:tcPr>
          <w:p w14:paraId="4B1BB842" w14:textId="64C9D781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6.6 vs. 11.2</w:t>
            </w:r>
          </w:p>
        </w:tc>
        <w:tc>
          <w:tcPr>
            <w:tcW w:w="1446" w:type="dxa"/>
          </w:tcPr>
          <w:p w14:paraId="01788B54" w14:textId="2E5D6D98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0.58</w:t>
            </w:r>
            <w:r w:rsidR="00E24BD9" w:rsidRPr="0008051D">
              <w:rPr>
                <w:sz w:val="22"/>
                <w:szCs w:val="22"/>
              </w:rPr>
              <w:br/>
              <w:t>[0.36-0.93]</w:t>
            </w:r>
          </w:p>
        </w:tc>
      </w:tr>
      <w:tr w:rsidR="00E24BD9" w:rsidRPr="0008051D" w14:paraId="33684475" w14:textId="77777777" w:rsidTr="00CE74D4">
        <w:trPr>
          <w:trHeight w:val="285"/>
        </w:trPr>
        <w:tc>
          <w:tcPr>
            <w:tcW w:w="1548" w:type="dxa"/>
            <w:vMerge/>
          </w:tcPr>
          <w:p w14:paraId="4712210E" w14:textId="77777777" w:rsidR="00E24BD9" w:rsidRPr="0008051D" w:rsidRDefault="00E24BD9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81" w:type="dxa"/>
          </w:tcPr>
          <w:p w14:paraId="1D8AEEF4" w14:textId="6FE0B28A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ASPIRE,</w:t>
            </w:r>
            <w:r w:rsidR="00E24BD9" w:rsidRPr="0008051D">
              <w:rPr>
                <w:sz w:val="22"/>
                <w:szCs w:val="22"/>
              </w:rPr>
              <w:br/>
              <w:t>2012</w:t>
            </w:r>
          </w:p>
        </w:tc>
        <w:tc>
          <w:tcPr>
            <w:tcW w:w="1341" w:type="dxa"/>
          </w:tcPr>
          <w:p w14:paraId="75FDCA73" w14:textId="5FCFB5AF" w:rsidR="00E24BD9" w:rsidRPr="0008051D" w:rsidRDefault="00E24BD9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t>Placebo vs. Aspirin 100 mg once daily</w:t>
            </w:r>
          </w:p>
        </w:tc>
        <w:tc>
          <w:tcPr>
            <w:tcW w:w="1066" w:type="dxa"/>
          </w:tcPr>
          <w:p w14:paraId="244C8661" w14:textId="54B0A285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30</w:t>
            </w:r>
          </w:p>
        </w:tc>
        <w:tc>
          <w:tcPr>
            <w:tcW w:w="1332" w:type="dxa"/>
          </w:tcPr>
          <w:p w14:paraId="26CC0098" w14:textId="7A8B7FBE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2-4 years</w:t>
            </w:r>
          </w:p>
        </w:tc>
        <w:tc>
          <w:tcPr>
            <w:tcW w:w="1548" w:type="dxa"/>
          </w:tcPr>
          <w:p w14:paraId="7B3F9A63" w14:textId="7EA0D154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4.8 vs. 6.5</w:t>
            </w:r>
          </w:p>
        </w:tc>
        <w:tc>
          <w:tcPr>
            <w:tcW w:w="1446" w:type="dxa"/>
          </w:tcPr>
          <w:p w14:paraId="5212B9A1" w14:textId="1A2E55DD" w:rsidR="00E24BD9" w:rsidRPr="0008051D" w:rsidRDefault="00256246" w:rsidP="00CE74D4">
            <w:pPr>
              <w:pStyle w:val="a3"/>
              <w:ind w:firstLineChars="0" w:firstLine="0"/>
              <w:jc w:val="center"/>
              <w:rPr>
                <w:sz w:val="22"/>
                <w:szCs w:val="22"/>
              </w:rPr>
            </w:pPr>
            <w:r w:rsidRPr="0008051D">
              <w:rPr>
                <w:sz w:val="22"/>
                <w:szCs w:val="22"/>
              </w:rPr>
              <w:br/>
            </w:r>
            <w:r w:rsidR="00E24BD9" w:rsidRPr="0008051D">
              <w:rPr>
                <w:sz w:val="22"/>
                <w:szCs w:val="22"/>
              </w:rPr>
              <w:t>0.74</w:t>
            </w:r>
            <w:r w:rsidR="00E24BD9" w:rsidRPr="0008051D">
              <w:rPr>
                <w:sz w:val="22"/>
                <w:szCs w:val="22"/>
              </w:rPr>
              <w:br/>
              <w:t>[0.52-1.05]</w:t>
            </w:r>
          </w:p>
        </w:tc>
      </w:tr>
    </w:tbl>
    <w:p w14:paraId="50D346A5" w14:textId="379BCF98" w:rsidR="003E391D" w:rsidRPr="0008051D" w:rsidRDefault="003E391D">
      <w:pPr>
        <w:rPr>
          <w:rFonts w:ascii="Times New Roman" w:hAnsi="Times New Roman" w:cs="Times New Roman"/>
          <w:lang w:val="en-US"/>
        </w:rPr>
      </w:pPr>
    </w:p>
    <w:p w14:paraId="60CDF2D6" w14:textId="77777777" w:rsidR="007111E9" w:rsidRPr="0008051D" w:rsidRDefault="007111E9" w:rsidP="00A87D58">
      <w:pPr>
        <w:pStyle w:val="a3"/>
        <w:ind w:firstLineChars="0" w:firstLine="0"/>
        <w:rPr>
          <w:b/>
          <w:bCs/>
          <w:sz w:val="24"/>
          <w:szCs w:val="24"/>
        </w:rPr>
      </w:pPr>
    </w:p>
    <w:p w14:paraId="4120C1E3" w14:textId="77777777" w:rsidR="007111E9" w:rsidRPr="0008051D" w:rsidRDefault="007111E9" w:rsidP="00A87D58">
      <w:pPr>
        <w:pStyle w:val="a3"/>
        <w:ind w:firstLineChars="0" w:firstLine="0"/>
        <w:rPr>
          <w:b/>
          <w:bCs/>
          <w:sz w:val="24"/>
          <w:szCs w:val="24"/>
        </w:rPr>
      </w:pPr>
    </w:p>
    <w:p w14:paraId="3FBDB737" w14:textId="77777777" w:rsidR="007111E9" w:rsidRPr="0008051D" w:rsidRDefault="007111E9" w:rsidP="00A87D58">
      <w:pPr>
        <w:pStyle w:val="a3"/>
        <w:ind w:firstLineChars="0" w:firstLine="0"/>
        <w:rPr>
          <w:b/>
          <w:bCs/>
          <w:sz w:val="24"/>
          <w:szCs w:val="24"/>
        </w:rPr>
      </w:pPr>
    </w:p>
    <w:p w14:paraId="39240A64" w14:textId="77777777" w:rsidR="007111E9" w:rsidRPr="0008051D" w:rsidRDefault="007111E9" w:rsidP="00A87D58">
      <w:pPr>
        <w:pStyle w:val="a3"/>
        <w:ind w:firstLineChars="0" w:firstLine="0"/>
        <w:rPr>
          <w:b/>
          <w:bCs/>
          <w:sz w:val="24"/>
          <w:szCs w:val="24"/>
        </w:rPr>
      </w:pPr>
    </w:p>
    <w:p w14:paraId="16ACBD9F" w14:textId="7BF3352E" w:rsidR="0008051D" w:rsidRPr="0008051D" w:rsidRDefault="0008051D">
      <w:pPr>
        <w:rPr>
          <w:rFonts w:ascii="Times New Roman" w:hAnsi="Times New Roman" w:cs="Times New Roman"/>
          <w:lang w:val="en-US"/>
        </w:rPr>
      </w:pPr>
    </w:p>
    <w:p w14:paraId="3C4C1D4C" w14:textId="4F0CC28D" w:rsidR="0008051D" w:rsidRPr="0008051D" w:rsidRDefault="0008051D">
      <w:pPr>
        <w:rPr>
          <w:rFonts w:ascii="Times New Roman" w:hAnsi="Times New Roman" w:cs="Times New Roman"/>
          <w:lang w:val="en-US"/>
        </w:rPr>
      </w:pPr>
    </w:p>
    <w:p w14:paraId="5DF4B18F" w14:textId="3ABC43DC" w:rsidR="00AD4A62" w:rsidRPr="0008051D" w:rsidRDefault="00AD4A62" w:rsidP="00AD4A62">
      <w:pPr>
        <w:pStyle w:val="a3"/>
        <w:ind w:firstLineChars="0" w:firstLine="0"/>
        <w:rPr>
          <w:rFonts w:eastAsiaTheme="minorHAnsi"/>
          <w:b/>
          <w:bCs/>
          <w:sz w:val="24"/>
          <w:szCs w:val="24"/>
        </w:rPr>
      </w:pPr>
      <w:r w:rsidRPr="0008051D">
        <w:rPr>
          <w:b/>
          <w:bCs/>
          <w:sz w:val="24"/>
          <w:szCs w:val="24"/>
        </w:rPr>
        <w:t xml:space="preserve">Supplementary Table </w:t>
      </w:r>
      <w:r>
        <w:rPr>
          <w:b/>
          <w:bCs/>
          <w:sz w:val="24"/>
          <w:szCs w:val="24"/>
        </w:rPr>
        <w:t>4</w:t>
      </w:r>
      <w:r w:rsidRPr="0008051D">
        <w:rPr>
          <w:b/>
          <w:bCs/>
          <w:sz w:val="24"/>
          <w:szCs w:val="24"/>
        </w:rPr>
        <w:t xml:space="preserve">: </w:t>
      </w:r>
      <w:r w:rsidRPr="0008051D">
        <w:rPr>
          <w:rFonts w:eastAsiaTheme="minorHAnsi"/>
          <w:b/>
          <w:bCs/>
          <w:sz w:val="24"/>
          <w:szCs w:val="24"/>
        </w:rPr>
        <w:t>Clinical trials comparing DOAC versus LMWH for cancer-associated VTE.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967"/>
        <w:gridCol w:w="2056"/>
        <w:gridCol w:w="1647"/>
        <w:gridCol w:w="1978"/>
      </w:tblGrid>
      <w:tr w:rsidR="00AD4A62" w:rsidRPr="0008051D" w14:paraId="3758A2FA" w14:textId="77777777" w:rsidTr="00195FC6">
        <w:tc>
          <w:tcPr>
            <w:tcW w:w="1980" w:type="dxa"/>
          </w:tcPr>
          <w:p w14:paraId="0F4CAAAC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8051D">
              <w:rPr>
                <w:rFonts w:eastAsiaTheme="minorHAnsi"/>
                <w:b/>
                <w:bCs/>
                <w:sz w:val="22"/>
                <w:szCs w:val="22"/>
              </w:rPr>
              <w:br/>
              <w:t>RCTs</w:t>
            </w:r>
          </w:p>
        </w:tc>
        <w:tc>
          <w:tcPr>
            <w:tcW w:w="1967" w:type="dxa"/>
          </w:tcPr>
          <w:p w14:paraId="0B3C4C4C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8051D">
              <w:rPr>
                <w:rFonts w:eastAsiaTheme="minorHAnsi"/>
                <w:b/>
                <w:bCs/>
                <w:sz w:val="22"/>
                <w:szCs w:val="22"/>
              </w:rPr>
              <w:br/>
              <w:t>Methods</w:t>
            </w:r>
          </w:p>
        </w:tc>
        <w:tc>
          <w:tcPr>
            <w:tcW w:w="2056" w:type="dxa"/>
          </w:tcPr>
          <w:p w14:paraId="2347C1D9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8051D">
              <w:rPr>
                <w:rFonts w:eastAsiaTheme="minorHAnsi"/>
                <w:b/>
                <w:bCs/>
                <w:sz w:val="22"/>
                <w:szCs w:val="22"/>
              </w:rPr>
              <w:br/>
              <w:t>Efficacy Outcome</w:t>
            </w:r>
          </w:p>
        </w:tc>
        <w:tc>
          <w:tcPr>
            <w:tcW w:w="1647" w:type="dxa"/>
          </w:tcPr>
          <w:p w14:paraId="12E46B31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8051D">
              <w:rPr>
                <w:rFonts w:eastAsiaTheme="minorHAnsi"/>
                <w:b/>
                <w:bCs/>
                <w:sz w:val="22"/>
                <w:szCs w:val="22"/>
              </w:rPr>
              <w:t>Incidence of Efficacy Outcome</w:t>
            </w:r>
          </w:p>
        </w:tc>
        <w:tc>
          <w:tcPr>
            <w:tcW w:w="1978" w:type="dxa"/>
          </w:tcPr>
          <w:p w14:paraId="5FF0E39B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8051D">
              <w:rPr>
                <w:rFonts w:eastAsiaTheme="minorHAnsi"/>
                <w:b/>
                <w:bCs/>
                <w:sz w:val="22"/>
                <w:szCs w:val="22"/>
              </w:rPr>
              <w:t>Incidence of Major Bleeding</w:t>
            </w:r>
          </w:p>
        </w:tc>
      </w:tr>
      <w:tr w:rsidR="00AD4A62" w:rsidRPr="007D0C11" w14:paraId="7B0C3012" w14:textId="77777777" w:rsidTr="00195FC6">
        <w:tc>
          <w:tcPr>
            <w:tcW w:w="1980" w:type="dxa"/>
          </w:tcPr>
          <w:p w14:paraId="5E711959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</w: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  <w:t>ADAM VTE</w:t>
            </w:r>
          </w:p>
        </w:tc>
        <w:tc>
          <w:tcPr>
            <w:tcW w:w="1967" w:type="dxa"/>
          </w:tcPr>
          <w:p w14:paraId="33E664F1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Apixaban vs. Dalteparin,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300 patients,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6 months follow up</w:t>
            </w:r>
          </w:p>
        </w:tc>
        <w:tc>
          <w:tcPr>
            <w:tcW w:w="2056" w:type="dxa"/>
          </w:tcPr>
          <w:p w14:paraId="28BB43D3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Venous or Arterial Thromboembolism</w:t>
            </w:r>
          </w:p>
        </w:tc>
        <w:tc>
          <w:tcPr>
            <w:tcW w:w="1647" w:type="dxa"/>
          </w:tcPr>
          <w:p w14:paraId="3325BA10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Apixaban: 6% Dalteparin: 6% HR: 0.93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[0.43-2.02]</w:t>
            </w:r>
            <w:r w:rsidRPr="0008051D">
              <w:rPr>
                <w:rFonts w:eastAsiaTheme="minorHAnsi"/>
                <w:sz w:val="24"/>
                <w:szCs w:val="24"/>
              </w:rPr>
              <w:br/>
            </w:r>
          </w:p>
        </w:tc>
        <w:tc>
          <w:tcPr>
            <w:tcW w:w="1978" w:type="dxa"/>
          </w:tcPr>
          <w:p w14:paraId="495FCB6F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Apixaban: 0% Dalteparin: 1.4%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HR: not estimable</w:t>
            </w:r>
          </w:p>
        </w:tc>
      </w:tr>
      <w:tr w:rsidR="00AD4A62" w:rsidRPr="0008051D" w14:paraId="3A2B873A" w14:textId="77777777" w:rsidTr="00195FC6">
        <w:tc>
          <w:tcPr>
            <w:tcW w:w="1980" w:type="dxa"/>
          </w:tcPr>
          <w:p w14:paraId="1D9D1F13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</w: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  <w:t>CARAVAGGIO</w:t>
            </w:r>
          </w:p>
        </w:tc>
        <w:tc>
          <w:tcPr>
            <w:tcW w:w="1967" w:type="dxa"/>
          </w:tcPr>
          <w:p w14:paraId="2FBDCB2F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Apixaban vs. Dalteparin,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1155 patients,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6 months follow up</w:t>
            </w:r>
          </w:p>
        </w:tc>
        <w:tc>
          <w:tcPr>
            <w:tcW w:w="2056" w:type="dxa"/>
          </w:tcPr>
          <w:p w14:paraId="1F289528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</w:r>
            <w:r w:rsidRPr="0008051D">
              <w:rPr>
                <w:rFonts w:eastAsiaTheme="minorHAnsi"/>
                <w:sz w:val="24"/>
                <w:szCs w:val="24"/>
              </w:rPr>
              <w:br/>
              <w:t>Recurrent VTE</w:t>
            </w:r>
          </w:p>
        </w:tc>
        <w:tc>
          <w:tcPr>
            <w:tcW w:w="1647" w:type="dxa"/>
          </w:tcPr>
          <w:p w14:paraId="72EED327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Apixaban: 5.6% Dalteparin: 7.9% HR: 0.63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[0.37-1.07]</w:t>
            </w:r>
          </w:p>
        </w:tc>
        <w:tc>
          <w:tcPr>
            <w:tcW w:w="1978" w:type="dxa"/>
          </w:tcPr>
          <w:p w14:paraId="4F278524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Apixaban: 3.8% Dalteparin: 4.0% HR: 0.82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[0.40-1.69]</w:t>
            </w:r>
          </w:p>
        </w:tc>
      </w:tr>
      <w:tr w:rsidR="00AD4A62" w:rsidRPr="0008051D" w14:paraId="02B2F448" w14:textId="77777777" w:rsidTr="00195FC6">
        <w:tc>
          <w:tcPr>
            <w:tcW w:w="1980" w:type="dxa"/>
          </w:tcPr>
          <w:p w14:paraId="32EF8B0C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  <w:t>HOKUSAI VTE Cancer</w:t>
            </w:r>
          </w:p>
        </w:tc>
        <w:tc>
          <w:tcPr>
            <w:tcW w:w="1967" w:type="dxa"/>
          </w:tcPr>
          <w:p w14:paraId="2AB61012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Edoxaban vs. Dalteparinm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1050 patients,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12 months follow up</w:t>
            </w:r>
          </w:p>
        </w:tc>
        <w:tc>
          <w:tcPr>
            <w:tcW w:w="2056" w:type="dxa"/>
          </w:tcPr>
          <w:p w14:paraId="25934BAC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Recurrent VTE</w:t>
            </w:r>
          </w:p>
        </w:tc>
        <w:tc>
          <w:tcPr>
            <w:tcW w:w="1647" w:type="dxa"/>
          </w:tcPr>
          <w:p w14:paraId="1ECAC3C1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Edoxaban: 7.9% Dalteparin:11.3% HR: 0.71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[0.48-1.06]</w:t>
            </w:r>
          </w:p>
        </w:tc>
        <w:tc>
          <w:tcPr>
            <w:tcW w:w="1978" w:type="dxa"/>
          </w:tcPr>
          <w:p w14:paraId="63C4746A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Edoxaban: 6.9% Dalteparin: 4.0% HR: 1.77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[1.03-3.04]</w:t>
            </w:r>
          </w:p>
        </w:tc>
      </w:tr>
      <w:tr w:rsidR="00AD4A62" w:rsidRPr="0008051D" w14:paraId="17E41846" w14:textId="77777777" w:rsidTr="00195FC6">
        <w:tc>
          <w:tcPr>
            <w:tcW w:w="1980" w:type="dxa"/>
          </w:tcPr>
          <w:p w14:paraId="2652259B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</w:r>
            <w:r w:rsidRPr="0008051D">
              <w:rPr>
                <w:rFonts w:eastAsiaTheme="minorHAnsi"/>
                <w:b/>
                <w:bCs/>
                <w:sz w:val="24"/>
                <w:szCs w:val="24"/>
              </w:rPr>
              <w:br/>
              <w:t>SELECT-D</w:t>
            </w:r>
          </w:p>
        </w:tc>
        <w:tc>
          <w:tcPr>
            <w:tcW w:w="1967" w:type="dxa"/>
          </w:tcPr>
          <w:p w14:paraId="38796EAC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Rivaroxaban vs. Dalteparin,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460 patients,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6 months follow up</w:t>
            </w:r>
          </w:p>
        </w:tc>
        <w:tc>
          <w:tcPr>
            <w:tcW w:w="2056" w:type="dxa"/>
          </w:tcPr>
          <w:p w14:paraId="25979247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br/>
              <w:t>Recurrent VTE</w:t>
            </w:r>
          </w:p>
        </w:tc>
        <w:tc>
          <w:tcPr>
            <w:tcW w:w="1647" w:type="dxa"/>
          </w:tcPr>
          <w:p w14:paraId="42D386CF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Rivaroxaban: 4% Dalteparin: 11% HR: 0.43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[0.19-0.99]</w:t>
            </w:r>
          </w:p>
        </w:tc>
        <w:tc>
          <w:tcPr>
            <w:tcW w:w="1978" w:type="dxa"/>
          </w:tcPr>
          <w:p w14:paraId="47E784F2" w14:textId="77777777" w:rsidR="00AD4A62" w:rsidRPr="0008051D" w:rsidRDefault="00AD4A62" w:rsidP="00195FC6">
            <w:pPr>
              <w:pStyle w:val="a3"/>
              <w:ind w:firstLineChars="0" w:firstLine="0"/>
              <w:jc w:val="center"/>
              <w:rPr>
                <w:rFonts w:eastAsiaTheme="minorHAnsi"/>
                <w:sz w:val="24"/>
                <w:szCs w:val="24"/>
              </w:rPr>
            </w:pPr>
            <w:r w:rsidRPr="0008051D">
              <w:rPr>
                <w:rFonts w:eastAsiaTheme="minorHAnsi"/>
                <w:sz w:val="24"/>
                <w:szCs w:val="24"/>
              </w:rPr>
              <w:t>Rivaroxaban: 6% Dalteparin: 4% HR: 1.83</w:t>
            </w:r>
            <w:r w:rsidRPr="0008051D">
              <w:rPr>
                <w:rFonts w:eastAsiaTheme="minorHAnsi"/>
                <w:sz w:val="24"/>
                <w:szCs w:val="24"/>
              </w:rPr>
              <w:br/>
              <w:t>[0.68-4.96]</w:t>
            </w:r>
          </w:p>
        </w:tc>
      </w:tr>
    </w:tbl>
    <w:p w14:paraId="0285B16F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60FFA84B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48E01F6D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1BBD8B25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12B20F55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0C4F1D74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2004D89A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271F7612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37753E47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495A432E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19A93EF2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1E959034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5F5FCB62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1B13E284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5B70B748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00A72D89" w14:textId="77777777" w:rsidR="00AD4A62" w:rsidRDefault="00AD4A62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3DDEC1DA" w14:textId="107B8A25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  <w:r w:rsidRPr="0008051D">
        <w:rPr>
          <w:rFonts w:ascii="Times New Roman" w:hAnsi="Times New Roman" w:cs="Times New Roman"/>
          <w:b/>
          <w:bCs/>
          <w:lang w:val="en-GB"/>
        </w:rPr>
        <w:t xml:space="preserve">Supplementary Table </w:t>
      </w:r>
      <w:r w:rsidR="00AD4A62">
        <w:rPr>
          <w:rFonts w:ascii="Times New Roman" w:hAnsi="Times New Roman" w:cs="Times New Roman"/>
          <w:b/>
          <w:bCs/>
          <w:lang w:val="en-GB"/>
        </w:rPr>
        <w:t>5</w:t>
      </w:r>
      <w:r w:rsidRPr="0008051D">
        <w:rPr>
          <w:rFonts w:ascii="Times New Roman" w:hAnsi="Times New Roman" w:cs="Times New Roman"/>
          <w:b/>
          <w:bCs/>
          <w:lang w:val="en-GB"/>
        </w:rPr>
        <w:t>: Antithrombotic Treatment indications after Structural Interventions.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07"/>
        <w:gridCol w:w="1554"/>
        <w:gridCol w:w="1484"/>
        <w:gridCol w:w="1472"/>
        <w:gridCol w:w="1246"/>
        <w:gridCol w:w="1465"/>
      </w:tblGrid>
      <w:tr w:rsidR="0008051D" w:rsidRPr="0008051D" w14:paraId="7F8C3CFB" w14:textId="77777777" w:rsidTr="0008051D">
        <w:tc>
          <w:tcPr>
            <w:tcW w:w="2445" w:type="dxa"/>
          </w:tcPr>
          <w:p w14:paraId="44CED86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Antithrombotic strategies</w:t>
            </w:r>
          </w:p>
        </w:tc>
        <w:tc>
          <w:tcPr>
            <w:tcW w:w="1382" w:type="dxa"/>
          </w:tcPr>
          <w:p w14:paraId="4E508A5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TAVR</w:t>
            </w:r>
          </w:p>
        </w:tc>
        <w:tc>
          <w:tcPr>
            <w:tcW w:w="1519" w:type="dxa"/>
          </w:tcPr>
          <w:p w14:paraId="02D7D17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TMVR</w:t>
            </w:r>
          </w:p>
        </w:tc>
        <w:tc>
          <w:tcPr>
            <w:tcW w:w="1508" w:type="dxa"/>
          </w:tcPr>
          <w:p w14:paraId="2C8AD1D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TTVR</w:t>
            </w:r>
          </w:p>
        </w:tc>
        <w:tc>
          <w:tcPr>
            <w:tcW w:w="1270" w:type="dxa"/>
          </w:tcPr>
          <w:p w14:paraId="64A0ED4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M-TEER</w:t>
            </w:r>
          </w:p>
        </w:tc>
        <w:tc>
          <w:tcPr>
            <w:tcW w:w="1504" w:type="dxa"/>
          </w:tcPr>
          <w:p w14:paraId="0CBB111D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T-TEER</w:t>
            </w:r>
          </w:p>
        </w:tc>
      </w:tr>
      <w:tr w:rsidR="0008051D" w:rsidRPr="0008051D" w14:paraId="37F5096F" w14:textId="77777777" w:rsidTr="0008051D">
        <w:tc>
          <w:tcPr>
            <w:tcW w:w="2445" w:type="dxa"/>
          </w:tcPr>
          <w:p w14:paraId="420C52E8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  <w:t>No pre-existing indications for OAC</w:t>
            </w:r>
          </w:p>
        </w:tc>
        <w:tc>
          <w:tcPr>
            <w:tcW w:w="1382" w:type="dxa"/>
          </w:tcPr>
          <w:p w14:paraId="6DD5738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>No recent coronary stent (&gt;3months): SAPT</w:t>
            </w:r>
          </w:p>
        </w:tc>
        <w:tc>
          <w:tcPr>
            <w:tcW w:w="1519" w:type="dxa"/>
          </w:tcPr>
          <w:p w14:paraId="30BD2B4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VKA for 3 months</w:t>
            </w:r>
          </w:p>
        </w:tc>
        <w:tc>
          <w:tcPr>
            <w:tcW w:w="1508" w:type="dxa"/>
          </w:tcPr>
          <w:p w14:paraId="64320FB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VKA for 3 months</w:t>
            </w:r>
          </w:p>
        </w:tc>
        <w:tc>
          <w:tcPr>
            <w:tcW w:w="1270" w:type="dxa"/>
          </w:tcPr>
          <w:p w14:paraId="6F92DAC4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 xml:space="preserve">long-term SAPT </w:t>
            </w:r>
          </w:p>
        </w:tc>
        <w:tc>
          <w:tcPr>
            <w:tcW w:w="1504" w:type="dxa"/>
          </w:tcPr>
          <w:p w14:paraId="6FDF7CD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long-term</w:t>
            </w:r>
          </w:p>
          <w:p w14:paraId="6BC677F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>SAPT</w:t>
            </w:r>
          </w:p>
        </w:tc>
      </w:tr>
      <w:tr w:rsidR="0008051D" w:rsidRPr="007D0C11" w14:paraId="7F568D11" w14:textId="77777777" w:rsidTr="0008051D">
        <w:tc>
          <w:tcPr>
            <w:tcW w:w="2445" w:type="dxa"/>
          </w:tcPr>
          <w:p w14:paraId="4E77C4E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  <w:t>No pre-existing indications for OAC</w:t>
            </w:r>
          </w:p>
        </w:tc>
        <w:tc>
          <w:tcPr>
            <w:tcW w:w="1382" w:type="dxa"/>
          </w:tcPr>
          <w:p w14:paraId="63C9F37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If recent coronary stent (&lt;3 months): DAPT for 1-6 months followed by long-term SAPT </w:t>
            </w:r>
          </w:p>
        </w:tc>
        <w:tc>
          <w:tcPr>
            <w:tcW w:w="1519" w:type="dxa"/>
          </w:tcPr>
          <w:p w14:paraId="558DE76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14:paraId="3FF27B8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0" w:type="dxa"/>
          </w:tcPr>
          <w:p w14:paraId="547AF870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504" w:type="dxa"/>
          </w:tcPr>
          <w:p w14:paraId="0C99B23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08051D" w:rsidRPr="0008051D" w14:paraId="30F6E1C1" w14:textId="77777777" w:rsidTr="0008051D">
        <w:tc>
          <w:tcPr>
            <w:tcW w:w="2445" w:type="dxa"/>
          </w:tcPr>
          <w:p w14:paraId="366EC20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  <w:t>Indications for OAC</w:t>
            </w:r>
          </w:p>
        </w:tc>
        <w:tc>
          <w:tcPr>
            <w:tcW w:w="1382" w:type="dxa"/>
          </w:tcPr>
          <w:p w14:paraId="521591E1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>If no recent coronary stent (&gt;3months)-&gt; OAC long-term</w:t>
            </w:r>
          </w:p>
        </w:tc>
        <w:tc>
          <w:tcPr>
            <w:tcW w:w="1519" w:type="dxa"/>
          </w:tcPr>
          <w:p w14:paraId="208A45B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73A0992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73203EB0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Long-term OAC alone </w:t>
            </w:r>
          </w:p>
        </w:tc>
        <w:tc>
          <w:tcPr>
            <w:tcW w:w="1508" w:type="dxa"/>
          </w:tcPr>
          <w:p w14:paraId="3711D7C1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428EDDA8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7DDA4800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Long-term OAC alone </w:t>
            </w:r>
          </w:p>
        </w:tc>
        <w:tc>
          <w:tcPr>
            <w:tcW w:w="1270" w:type="dxa"/>
          </w:tcPr>
          <w:p w14:paraId="3A091D4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0AB4778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4859FD8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Long-term OAC alone </w:t>
            </w:r>
          </w:p>
        </w:tc>
        <w:tc>
          <w:tcPr>
            <w:tcW w:w="1504" w:type="dxa"/>
          </w:tcPr>
          <w:p w14:paraId="3F6050E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6D0C897A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15030C2D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Long-term OAC alone </w:t>
            </w:r>
          </w:p>
        </w:tc>
      </w:tr>
      <w:tr w:rsidR="0008051D" w:rsidRPr="007D0C11" w14:paraId="3A7CDA43" w14:textId="77777777" w:rsidTr="0008051D">
        <w:tc>
          <w:tcPr>
            <w:tcW w:w="2445" w:type="dxa"/>
          </w:tcPr>
          <w:p w14:paraId="0A3F86ED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</w:r>
            <w:r w:rsidRPr="0082682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br/>
              <w:t>Indications for OAC</w:t>
            </w:r>
          </w:p>
        </w:tc>
        <w:tc>
          <w:tcPr>
            <w:tcW w:w="1382" w:type="dxa"/>
          </w:tcPr>
          <w:p w14:paraId="4227F575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26829">
              <w:rPr>
                <w:rFonts w:ascii="Times New Roman" w:hAnsi="Times New Roman"/>
                <w:sz w:val="24"/>
                <w:szCs w:val="24"/>
                <w:lang w:val="en-GB"/>
              </w:rPr>
              <w:t>If recent coronary stent (&lt;3 months): SAPT for 1-6 months along with long-term OAC</w:t>
            </w:r>
          </w:p>
        </w:tc>
        <w:tc>
          <w:tcPr>
            <w:tcW w:w="1519" w:type="dxa"/>
          </w:tcPr>
          <w:p w14:paraId="12006EA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14:paraId="35A2051D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0" w:type="dxa"/>
          </w:tcPr>
          <w:p w14:paraId="23AAFA7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504" w:type="dxa"/>
          </w:tcPr>
          <w:p w14:paraId="71573AE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</w:tbl>
    <w:p w14:paraId="62CE047E" w14:textId="77777777" w:rsidR="0008051D" w:rsidRPr="0008051D" w:rsidRDefault="0008051D" w:rsidP="0008051D">
      <w:pPr>
        <w:rPr>
          <w:rFonts w:ascii="Times New Roman" w:hAnsi="Times New Roman" w:cs="Times New Roman"/>
          <w:lang w:val="en-GB"/>
        </w:rPr>
      </w:pPr>
    </w:p>
    <w:p w14:paraId="148F52E8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596C4ECB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2B17AAA6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45FA612B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316E97AC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7ABD6E48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503CC754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46B7AF11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0FC3F8F1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6C320040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55409B1F" w14:textId="77777777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77AB52B2" w14:textId="77777777" w:rsidR="00AA5C56" w:rsidRDefault="00AA5C56" w:rsidP="0008051D">
      <w:pPr>
        <w:rPr>
          <w:rFonts w:ascii="Times New Roman" w:hAnsi="Times New Roman" w:cs="Times New Roman"/>
          <w:b/>
          <w:bCs/>
          <w:lang w:val="en-GB"/>
        </w:rPr>
      </w:pPr>
    </w:p>
    <w:p w14:paraId="6895A036" w14:textId="41648EDD" w:rsidR="0008051D" w:rsidRPr="0008051D" w:rsidRDefault="0008051D" w:rsidP="0008051D">
      <w:pPr>
        <w:rPr>
          <w:rFonts w:ascii="Times New Roman" w:hAnsi="Times New Roman" w:cs="Times New Roman"/>
          <w:b/>
          <w:bCs/>
          <w:lang w:val="en-GB"/>
        </w:rPr>
      </w:pPr>
      <w:r w:rsidRPr="0008051D">
        <w:rPr>
          <w:rFonts w:ascii="Times New Roman" w:hAnsi="Times New Roman" w:cs="Times New Roman"/>
          <w:b/>
          <w:bCs/>
          <w:lang w:val="en-GB"/>
        </w:rPr>
        <w:t xml:space="preserve">Supplementary Table </w:t>
      </w:r>
      <w:r w:rsidR="00AD4A62">
        <w:rPr>
          <w:rFonts w:ascii="Times New Roman" w:hAnsi="Times New Roman" w:cs="Times New Roman"/>
          <w:b/>
          <w:bCs/>
          <w:lang w:val="en-GB"/>
        </w:rPr>
        <w:t>6</w:t>
      </w:r>
      <w:r w:rsidRPr="0008051D">
        <w:rPr>
          <w:rFonts w:ascii="Times New Roman" w:hAnsi="Times New Roman" w:cs="Times New Roman"/>
          <w:b/>
          <w:bCs/>
          <w:lang w:val="en-GB"/>
        </w:rPr>
        <w:t>: Major RCTs on Antithrombotic Treatment after Cardiac Surgery.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53"/>
        <w:gridCol w:w="1189"/>
        <w:gridCol w:w="1280"/>
        <w:gridCol w:w="1194"/>
        <w:gridCol w:w="1579"/>
        <w:gridCol w:w="1634"/>
        <w:gridCol w:w="1499"/>
      </w:tblGrid>
      <w:tr w:rsidR="00826829" w:rsidRPr="00826829" w14:paraId="6AE638FF" w14:textId="77777777" w:rsidTr="00826829">
        <w:tc>
          <w:tcPr>
            <w:tcW w:w="1271" w:type="dxa"/>
          </w:tcPr>
          <w:p w14:paraId="0436EED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</w:p>
        </w:tc>
        <w:tc>
          <w:tcPr>
            <w:tcW w:w="1234" w:type="dxa"/>
          </w:tcPr>
          <w:p w14:paraId="4A76662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DACAB</w:t>
            </w:r>
          </w:p>
        </w:tc>
        <w:tc>
          <w:tcPr>
            <w:tcW w:w="1310" w:type="dxa"/>
          </w:tcPr>
          <w:p w14:paraId="3B3AE10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POPular-CABG</w:t>
            </w:r>
          </w:p>
        </w:tc>
        <w:tc>
          <w:tcPr>
            <w:tcW w:w="1065" w:type="dxa"/>
          </w:tcPr>
          <w:p w14:paraId="5CD6CB9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Gao</w:t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  <w:t>et al.</w:t>
            </w:r>
          </w:p>
        </w:tc>
        <w:tc>
          <w:tcPr>
            <w:tcW w:w="1682" w:type="dxa"/>
          </w:tcPr>
          <w:p w14:paraId="374D2CBC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CASCADE</w:t>
            </w:r>
          </w:p>
        </w:tc>
        <w:tc>
          <w:tcPr>
            <w:tcW w:w="1735" w:type="dxa"/>
          </w:tcPr>
          <w:p w14:paraId="26B9E9B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FREEDOM</w:t>
            </w:r>
          </w:p>
        </w:tc>
        <w:tc>
          <w:tcPr>
            <w:tcW w:w="1331" w:type="dxa"/>
          </w:tcPr>
          <w:p w14:paraId="4547B48C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t>CURE</w:t>
            </w:r>
          </w:p>
        </w:tc>
      </w:tr>
      <w:tr w:rsidR="00826829" w:rsidRPr="00826829" w14:paraId="26CFDCB4" w14:textId="77777777" w:rsidTr="00826829">
        <w:tc>
          <w:tcPr>
            <w:tcW w:w="1271" w:type="dxa"/>
          </w:tcPr>
          <w:p w14:paraId="1D257C2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sz w:val="22"/>
                <w:szCs w:val="22"/>
              </w:rPr>
              <w:t>Study design</w:t>
            </w:r>
          </w:p>
        </w:tc>
        <w:tc>
          <w:tcPr>
            <w:tcW w:w="1234" w:type="dxa"/>
          </w:tcPr>
          <w:p w14:paraId="4219E021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</w:t>
            </w:r>
          </w:p>
        </w:tc>
        <w:tc>
          <w:tcPr>
            <w:tcW w:w="1310" w:type="dxa"/>
          </w:tcPr>
          <w:p w14:paraId="75B82FA5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</w:t>
            </w:r>
          </w:p>
        </w:tc>
        <w:tc>
          <w:tcPr>
            <w:tcW w:w="1065" w:type="dxa"/>
          </w:tcPr>
          <w:p w14:paraId="3608CF18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</w:t>
            </w:r>
          </w:p>
        </w:tc>
        <w:tc>
          <w:tcPr>
            <w:tcW w:w="1682" w:type="dxa"/>
          </w:tcPr>
          <w:p w14:paraId="0AFD92D4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</w:t>
            </w:r>
          </w:p>
        </w:tc>
        <w:tc>
          <w:tcPr>
            <w:tcW w:w="1735" w:type="dxa"/>
          </w:tcPr>
          <w:p w14:paraId="3CF690F4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</w:t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post-hoc</w:t>
            </w:r>
          </w:p>
        </w:tc>
        <w:tc>
          <w:tcPr>
            <w:tcW w:w="1331" w:type="dxa"/>
          </w:tcPr>
          <w:p w14:paraId="5A23B47C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RCT post-hoc</w:t>
            </w:r>
          </w:p>
        </w:tc>
      </w:tr>
      <w:tr w:rsidR="00826829" w:rsidRPr="00826829" w14:paraId="7CC63BF0" w14:textId="77777777" w:rsidTr="00826829">
        <w:tc>
          <w:tcPr>
            <w:tcW w:w="1271" w:type="dxa"/>
          </w:tcPr>
          <w:p w14:paraId="0F52AF3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t>Patients on D/SAPT</w:t>
            </w:r>
          </w:p>
        </w:tc>
        <w:tc>
          <w:tcPr>
            <w:tcW w:w="1234" w:type="dxa"/>
          </w:tcPr>
          <w:p w14:paraId="7217E7C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168/166</w:t>
            </w:r>
          </w:p>
        </w:tc>
        <w:tc>
          <w:tcPr>
            <w:tcW w:w="1310" w:type="dxa"/>
          </w:tcPr>
          <w:p w14:paraId="1A23BC9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247/249</w:t>
            </w:r>
          </w:p>
        </w:tc>
        <w:tc>
          <w:tcPr>
            <w:tcW w:w="1065" w:type="dxa"/>
          </w:tcPr>
          <w:p w14:paraId="6807046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124/125</w:t>
            </w:r>
          </w:p>
        </w:tc>
        <w:tc>
          <w:tcPr>
            <w:tcW w:w="1682" w:type="dxa"/>
          </w:tcPr>
          <w:p w14:paraId="704201C5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56/57</w:t>
            </w:r>
          </w:p>
        </w:tc>
        <w:tc>
          <w:tcPr>
            <w:tcW w:w="1735" w:type="dxa"/>
          </w:tcPr>
          <w:p w14:paraId="2F4ACE8A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544/251</w:t>
            </w:r>
          </w:p>
        </w:tc>
        <w:tc>
          <w:tcPr>
            <w:tcW w:w="1331" w:type="dxa"/>
          </w:tcPr>
          <w:p w14:paraId="63E2543B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1011/1069</w:t>
            </w:r>
          </w:p>
        </w:tc>
      </w:tr>
      <w:tr w:rsidR="00826829" w:rsidRPr="00826829" w14:paraId="5BADB0CC" w14:textId="77777777" w:rsidTr="00826829">
        <w:tc>
          <w:tcPr>
            <w:tcW w:w="1271" w:type="dxa"/>
          </w:tcPr>
          <w:p w14:paraId="5BF66497" w14:textId="38A04E1B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br/>
            </w:r>
            <w:r w:rsidR="00626E60"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t>D/S</w:t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t>APT</w:t>
            </w:r>
          </w:p>
          <w:p w14:paraId="167DDF2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t>Lenght</w:t>
            </w:r>
          </w:p>
        </w:tc>
        <w:tc>
          <w:tcPr>
            <w:tcW w:w="1234" w:type="dxa"/>
          </w:tcPr>
          <w:p w14:paraId="75E7B7E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12 months</w:t>
            </w:r>
          </w:p>
        </w:tc>
        <w:tc>
          <w:tcPr>
            <w:tcW w:w="1310" w:type="dxa"/>
          </w:tcPr>
          <w:p w14:paraId="55864094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12 months</w:t>
            </w:r>
          </w:p>
        </w:tc>
        <w:tc>
          <w:tcPr>
            <w:tcW w:w="1065" w:type="dxa"/>
          </w:tcPr>
          <w:p w14:paraId="1A6841C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3 months</w:t>
            </w:r>
          </w:p>
        </w:tc>
        <w:tc>
          <w:tcPr>
            <w:tcW w:w="1682" w:type="dxa"/>
          </w:tcPr>
          <w:p w14:paraId="2CAFA11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12 months</w:t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+</w:t>
            </w:r>
          </w:p>
          <w:p w14:paraId="68C2F11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t>8 years</w:t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</w:r>
          </w:p>
        </w:tc>
        <w:tc>
          <w:tcPr>
            <w:tcW w:w="1735" w:type="dxa"/>
          </w:tcPr>
          <w:p w14:paraId="19A849D0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5 years</w:t>
            </w:r>
          </w:p>
        </w:tc>
        <w:tc>
          <w:tcPr>
            <w:tcW w:w="1331" w:type="dxa"/>
          </w:tcPr>
          <w:p w14:paraId="68248275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12 months</w:t>
            </w:r>
          </w:p>
        </w:tc>
      </w:tr>
      <w:tr w:rsidR="00826829" w:rsidRPr="00826829" w14:paraId="04AA6BA1" w14:textId="77777777" w:rsidTr="00826829">
        <w:tc>
          <w:tcPr>
            <w:tcW w:w="1271" w:type="dxa"/>
          </w:tcPr>
          <w:p w14:paraId="31646A5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en-GB" w:eastAsia="it-IT"/>
              </w:rPr>
              <w:t>% of saphenous vein patency S/DAPT</w:t>
            </w:r>
          </w:p>
        </w:tc>
        <w:tc>
          <w:tcPr>
            <w:tcW w:w="1234" w:type="dxa"/>
          </w:tcPr>
          <w:p w14:paraId="7450321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DAPT: 88.7</w:t>
            </w:r>
          </w:p>
          <w:p w14:paraId="439F90AD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SAPT: 76.5</w:t>
            </w:r>
          </w:p>
        </w:tc>
        <w:tc>
          <w:tcPr>
            <w:tcW w:w="1310" w:type="dxa"/>
          </w:tcPr>
          <w:p w14:paraId="5B7E065A" w14:textId="4B852C4E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DAPT: 89.5</w:t>
            </w:r>
          </w:p>
          <w:p w14:paraId="0CC68BC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SAPT: 90.9</w:t>
            </w:r>
          </w:p>
        </w:tc>
        <w:tc>
          <w:tcPr>
            <w:tcW w:w="1065" w:type="dxa"/>
          </w:tcPr>
          <w:p w14:paraId="37EE20E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DAPT: 91.6</w:t>
            </w:r>
          </w:p>
          <w:p w14:paraId="4570E0D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SAPT: 85.7</w:t>
            </w:r>
          </w:p>
        </w:tc>
        <w:tc>
          <w:tcPr>
            <w:tcW w:w="1682" w:type="dxa"/>
          </w:tcPr>
          <w:p w14:paraId="166E3DF2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DAPT: 94.3</w:t>
            </w:r>
          </w:p>
          <w:p w14:paraId="1E4B3C5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SAPT: 93.2</w:t>
            </w:r>
          </w:p>
          <w:p w14:paraId="47569DC3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+</w:t>
            </w:r>
          </w:p>
          <w:p w14:paraId="60EF189B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DAPT: 89.1</w:t>
            </w:r>
          </w:p>
          <w:p w14:paraId="4F8FD92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SAPT: 91.2</w:t>
            </w:r>
          </w:p>
        </w:tc>
        <w:tc>
          <w:tcPr>
            <w:tcW w:w="1735" w:type="dxa"/>
          </w:tcPr>
          <w:p w14:paraId="5C8BC8F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Not available</w:t>
            </w:r>
          </w:p>
        </w:tc>
        <w:tc>
          <w:tcPr>
            <w:tcW w:w="1331" w:type="dxa"/>
          </w:tcPr>
          <w:p w14:paraId="79A9DDAF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Not available</w:t>
            </w:r>
          </w:p>
        </w:tc>
      </w:tr>
      <w:tr w:rsidR="00826829" w:rsidRPr="007D0C11" w14:paraId="088DE4D4" w14:textId="77777777" w:rsidTr="00826829">
        <w:tc>
          <w:tcPr>
            <w:tcW w:w="1271" w:type="dxa"/>
          </w:tcPr>
          <w:p w14:paraId="18EFA614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b/>
                <w:color w:val="333333"/>
                <w:sz w:val="22"/>
                <w:szCs w:val="22"/>
                <w:lang w:val="it-IT" w:eastAsia="it-IT"/>
              </w:rPr>
              <w:br/>
              <w:t>MACE</w:t>
            </w:r>
          </w:p>
        </w:tc>
        <w:tc>
          <w:tcPr>
            <w:tcW w:w="1234" w:type="dxa"/>
          </w:tcPr>
          <w:p w14:paraId="3CC315A6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Low incidence of MACE</w:t>
            </w:r>
          </w:p>
        </w:tc>
        <w:tc>
          <w:tcPr>
            <w:tcW w:w="1310" w:type="dxa"/>
          </w:tcPr>
          <w:p w14:paraId="2322469E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No clinically significant differences</w:t>
            </w:r>
          </w:p>
        </w:tc>
        <w:tc>
          <w:tcPr>
            <w:tcW w:w="1065" w:type="dxa"/>
          </w:tcPr>
          <w:p w14:paraId="74FBCF8C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br/>
              <w:t>No clinically significant differences</w:t>
            </w:r>
          </w:p>
        </w:tc>
        <w:tc>
          <w:tcPr>
            <w:tcW w:w="1682" w:type="dxa"/>
          </w:tcPr>
          <w:p w14:paraId="7B5617E1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t>No</w:t>
            </w:r>
          </w:p>
          <w:p w14:paraId="30DF13D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t>Clinically significant difference at 12 months</w:t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+</w:t>
            </w:r>
          </w:p>
          <w:p w14:paraId="7908F7BE" w14:textId="4F01923D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t>Reduction in mortality, MACE and disease progression at 8 years</w:t>
            </w:r>
          </w:p>
        </w:tc>
        <w:tc>
          <w:tcPr>
            <w:tcW w:w="1735" w:type="dxa"/>
          </w:tcPr>
          <w:p w14:paraId="68152FA7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it-IT" w:eastAsia="it-IT"/>
              </w:rPr>
              <w:t>No clinically significant differences</w:t>
            </w:r>
          </w:p>
        </w:tc>
        <w:tc>
          <w:tcPr>
            <w:tcW w:w="1331" w:type="dxa"/>
          </w:tcPr>
          <w:p w14:paraId="0FD20EC9" w14:textId="77777777" w:rsidR="0008051D" w:rsidRPr="00826829" w:rsidRDefault="0008051D" w:rsidP="00CB46F5">
            <w:pPr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</w:pP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</w:r>
            <w:r w:rsidRPr="00826829">
              <w:rPr>
                <w:rFonts w:ascii="Times New Roman" w:hAnsi="Times New Roman"/>
                <w:color w:val="333333"/>
                <w:sz w:val="22"/>
                <w:szCs w:val="22"/>
                <w:lang w:val="en-GB" w:eastAsia="it-IT"/>
              </w:rPr>
              <w:br/>
              <w:t>DAPT reduces incidence of cardiovascular death, MI, and stroke</w:t>
            </w:r>
          </w:p>
        </w:tc>
      </w:tr>
    </w:tbl>
    <w:p w14:paraId="51E63028" w14:textId="77777777" w:rsidR="002E0E01" w:rsidRPr="00826829" w:rsidRDefault="002E0E01" w:rsidP="00AD4A62">
      <w:pPr>
        <w:rPr>
          <w:rFonts w:ascii="Times New Roman" w:hAnsi="Times New Roman" w:cs="Times New Roman"/>
          <w:lang w:val="en-US"/>
        </w:rPr>
      </w:pPr>
    </w:p>
    <w:sectPr w:rsidR="002E0E01" w:rsidRPr="008268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91D"/>
    <w:rsid w:val="00055E8E"/>
    <w:rsid w:val="0008051D"/>
    <w:rsid w:val="000D0B8A"/>
    <w:rsid w:val="00154827"/>
    <w:rsid w:val="001E0B10"/>
    <w:rsid w:val="002421BD"/>
    <w:rsid w:val="00256246"/>
    <w:rsid w:val="002A1C66"/>
    <w:rsid w:val="002E0E01"/>
    <w:rsid w:val="00303122"/>
    <w:rsid w:val="00310002"/>
    <w:rsid w:val="003B2864"/>
    <w:rsid w:val="003E391D"/>
    <w:rsid w:val="00422644"/>
    <w:rsid w:val="00453913"/>
    <w:rsid w:val="00454879"/>
    <w:rsid w:val="004903CB"/>
    <w:rsid w:val="00495E94"/>
    <w:rsid w:val="004B7545"/>
    <w:rsid w:val="004D5B8A"/>
    <w:rsid w:val="00566116"/>
    <w:rsid w:val="005910B2"/>
    <w:rsid w:val="006002F5"/>
    <w:rsid w:val="0060614B"/>
    <w:rsid w:val="00626E60"/>
    <w:rsid w:val="006D0C3A"/>
    <w:rsid w:val="007111E9"/>
    <w:rsid w:val="007316CA"/>
    <w:rsid w:val="007D0C11"/>
    <w:rsid w:val="007F4C21"/>
    <w:rsid w:val="00826829"/>
    <w:rsid w:val="00970F8B"/>
    <w:rsid w:val="00A30860"/>
    <w:rsid w:val="00A87D58"/>
    <w:rsid w:val="00AA3A79"/>
    <w:rsid w:val="00AA5C56"/>
    <w:rsid w:val="00AD4A62"/>
    <w:rsid w:val="00AD52AC"/>
    <w:rsid w:val="00AE03B6"/>
    <w:rsid w:val="00BF64AD"/>
    <w:rsid w:val="00C0417E"/>
    <w:rsid w:val="00C375A8"/>
    <w:rsid w:val="00CE74D4"/>
    <w:rsid w:val="00D94819"/>
    <w:rsid w:val="00E24BD9"/>
    <w:rsid w:val="00EE06F3"/>
    <w:rsid w:val="00EF0F50"/>
    <w:rsid w:val="00F3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9014A"/>
  <w15:chartTrackingRefBased/>
  <w15:docId w15:val="{B43C675E-4CAF-4D40-B15D-2029550CD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E391D"/>
    <w:pPr>
      <w:widowControl w:val="0"/>
      <w:spacing w:before="100" w:beforeAutospacing="1" w:after="100" w:afterAutospacing="1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/>
    </w:rPr>
  </w:style>
  <w:style w:type="table" w:styleId="a4">
    <w:name w:val="Table Grid"/>
    <w:basedOn w:val="a1"/>
    <w:uiPriority w:val="59"/>
    <w:qFormat/>
    <w:rsid w:val="003E391D"/>
    <w:pPr>
      <w:spacing w:after="0" w:line="240" w:lineRule="auto"/>
    </w:pPr>
    <w:rPr>
      <w:rFonts w:ascii="等线" w:eastAsia="等线" w:hAnsi="等线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qFormat/>
    <w:rsid w:val="003E391D"/>
    <w:rPr>
      <w:sz w:val="21"/>
      <w:szCs w:val="21"/>
    </w:rPr>
  </w:style>
  <w:style w:type="character" w:styleId="a6">
    <w:name w:val="Hyperlink"/>
    <w:uiPriority w:val="99"/>
    <w:unhideWhenUsed/>
    <w:qFormat/>
    <w:rsid w:val="003E391D"/>
    <w:rPr>
      <w:color w:val="0563C1"/>
      <w:u w:val="single"/>
    </w:rPr>
  </w:style>
  <w:style w:type="paragraph" w:customStyle="1" w:styleId="a7">
    <w:name w:val="稿件类型"/>
    <w:basedOn w:val="a"/>
    <w:qFormat/>
    <w:rsid w:val="003E391D"/>
    <w:pPr>
      <w:widowControl w:val="0"/>
      <w:adjustRightInd w:val="0"/>
      <w:snapToGrid w:val="0"/>
      <w:spacing w:before="360" w:after="0" w:line="288" w:lineRule="auto"/>
    </w:pPr>
    <w:rPr>
      <w:rFonts w:ascii="Times New Roman" w:eastAsia="宋体" w:hAnsi="Times New Roman" w:cs="Times New Roman"/>
      <w:kern w:val="2"/>
      <w:sz w:val="21"/>
      <w:szCs w:val="21"/>
      <w:lang w:val="en-US" w:eastAsia="zh-CN"/>
    </w:rPr>
  </w:style>
  <w:style w:type="paragraph" w:customStyle="1" w:styleId="a8">
    <w:name w:val="机构信息"/>
    <w:basedOn w:val="a"/>
    <w:link w:val="a9"/>
    <w:qFormat/>
    <w:rsid w:val="003E391D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character" w:customStyle="1" w:styleId="a9">
    <w:name w:val="机构信息 字符"/>
    <w:link w:val="a8"/>
    <w:qFormat/>
    <w:rsid w:val="003E391D"/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paragraph" w:customStyle="1" w:styleId="aa">
    <w:name w:val="通讯作者"/>
    <w:basedOn w:val="a"/>
    <w:qFormat/>
    <w:rsid w:val="003E391D"/>
    <w:pPr>
      <w:widowControl w:val="0"/>
      <w:adjustRightInd w:val="0"/>
      <w:snapToGrid w:val="0"/>
      <w:spacing w:after="0" w:line="288" w:lineRule="auto"/>
      <w:jc w:val="both"/>
    </w:pPr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">
    <w:name w:val="作者信息"/>
    <w:basedOn w:val="a"/>
    <w:qFormat/>
    <w:rsid w:val="003E391D"/>
    <w:pPr>
      <w:widowControl w:val="0"/>
      <w:adjustRightInd w:val="0"/>
      <w:snapToGrid w:val="0"/>
      <w:spacing w:after="240" w:line="288" w:lineRule="auto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c">
    <w:name w:val="annotation text"/>
    <w:basedOn w:val="a"/>
    <w:link w:val="ad"/>
    <w:uiPriority w:val="99"/>
    <w:unhideWhenUsed/>
    <w:qFormat/>
    <w:rsid w:val="006D0C3A"/>
    <w:pPr>
      <w:widowControl w:val="0"/>
      <w:spacing w:after="0" w:line="240" w:lineRule="auto"/>
      <w:ind w:firstLineChars="200" w:firstLine="200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customStyle="1" w:styleId="ad">
    <w:name w:val="批注文字 字符"/>
    <w:basedOn w:val="a0"/>
    <w:link w:val="ac"/>
    <w:uiPriority w:val="99"/>
    <w:qFormat/>
    <w:rsid w:val="006D0C3A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A1C66"/>
    <w:pPr>
      <w:widowControl/>
      <w:spacing w:after="160"/>
      <w:ind w:firstLineChars="0" w:firstLine="0"/>
    </w:pPr>
    <w:rPr>
      <w:rFonts w:asciiTheme="minorHAnsi" w:eastAsiaTheme="minorHAnsi" w:hAnsiTheme="minorHAnsi" w:cstheme="minorBidi"/>
      <w:b/>
      <w:bCs/>
      <w:kern w:val="0"/>
      <w:sz w:val="20"/>
      <w:szCs w:val="20"/>
      <w:lang w:val="it-IT" w:eastAsia="en-US"/>
    </w:rPr>
  </w:style>
  <w:style w:type="character" w:customStyle="1" w:styleId="af">
    <w:name w:val="批注主题 字符"/>
    <w:basedOn w:val="ad"/>
    <w:link w:val="ae"/>
    <w:uiPriority w:val="99"/>
    <w:semiHidden/>
    <w:rsid w:val="002A1C6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zh-CN"/>
    </w:rPr>
  </w:style>
  <w:style w:type="table" w:customStyle="1" w:styleId="5-11">
    <w:name w:val="网格表 5 深色 - 着色 11"/>
    <w:basedOn w:val="a1"/>
    <w:uiPriority w:val="50"/>
    <w:qFormat/>
    <w:rsid w:val="00C0417E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0417E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TableParagraph">
    <w:name w:val="Table Paragraph"/>
    <w:basedOn w:val="a"/>
    <w:uiPriority w:val="1"/>
    <w:qFormat/>
    <w:rsid w:val="00AA5C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styleId="3-3">
    <w:name w:val="Grid Table 3 Accent 3"/>
    <w:basedOn w:val="a1"/>
    <w:uiPriority w:val="48"/>
    <w:rsid w:val="00AA5C56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7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article/pii/0735109788901581?via%3Dihub" TargetMode="External"/><Relationship Id="rId13" Type="http://schemas.openxmlformats.org/officeDocument/2006/relationships/hyperlink" Target="https://www.nejm.org/doi/full/10.1056/nejmoa1409312" TargetMode="External"/><Relationship Id="rId18" Type="http://schemas.openxmlformats.org/officeDocument/2006/relationships/hyperlink" Target="https://www.nejm.org/doi/full/10.1056/nejmoa170845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ciencedirect.com/science/article/pii/S0735109715008013?via%3Dihub" TargetMode="External"/><Relationship Id="rId7" Type="http://schemas.openxmlformats.org/officeDocument/2006/relationships/hyperlink" Target="https://www.ahajournals.org/doi/10.1161/CIRCULATIONAHA.110.009449" TargetMode="External"/><Relationship Id="rId12" Type="http://schemas.openxmlformats.org/officeDocument/2006/relationships/hyperlink" Target="https://www.nejm.org/doi/full/10.1056/nejmoa1611688" TargetMode="External"/><Relationship Id="rId17" Type="http://schemas.openxmlformats.org/officeDocument/2006/relationships/hyperlink" Target="https://www.nejm.org/doi/full/10.1056/nejmoa161159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jthjournal.org/article/S1538-7836(22)15843-5/fulltext" TargetMode="External"/><Relationship Id="rId20" Type="http://schemas.openxmlformats.org/officeDocument/2006/relationships/hyperlink" Target="https://www.thelancet.com/article/S0140-6736(19)31872-0/fulltext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ahajournals.org/doi/10.1161/CIRCULATIONAHA.111.071589" TargetMode="External"/><Relationship Id="rId11" Type="http://schemas.openxmlformats.org/officeDocument/2006/relationships/hyperlink" Target="https://www.thelancet.com/journals/lancet/article/PIIS0140-6736(96)09457-3/fulltext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nejm.org/doi/full/10.1056/NEJM199309023291001" TargetMode="External"/><Relationship Id="rId15" Type="http://schemas.openxmlformats.org/officeDocument/2006/relationships/hyperlink" Target="https://www.nejm.org/doi/full/10.1056/nejmoa170911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academic.oup.com/eurheartj/article/36/20/1252/2293230" TargetMode="External"/><Relationship Id="rId19" Type="http://schemas.openxmlformats.org/officeDocument/2006/relationships/hyperlink" Target="https://www.nejm.org/doi/full/10.1056/NEJMoa1817083" TargetMode="External"/><Relationship Id="rId4" Type="http://schemas.openxmlformats.org/officeDocument/2006/relationships/hyperlink" Target="https://www.nejm.org/doi/full/10.1056/nejmoa060989" TargetMode="External"/><Relationship Id="rId9" Type="http://schemas.openxmlformats.org/officeDocument/2006/relationships/hyperlink" Target="https://www.ahajournals.org/doi/10.1161/CIRCULATIONAHA.111.059022?url_ver=Z39.88-2003&amp;rfr_id=ori:rid:crossref.org&amp;rfr_dat=cr_pub%20%200pubmed" TargetMode="External"/><Relationship Id="rId14" Type="http://schemas.openxmlformats.org/officeDocument/2006/relationships/hyperlink" Target="https://www.nejm.org/doi/full/10.1056/nejmoa1500857" TargetMode="External"/><Relationship Id="rId22" Type="http://schemas.openxmlformats.org/officeDocument/2006/relationships/hyperlink" Target="https://www.thelancet.com/journals/lancet/article/PIIS0140-6736(12)62177-1/fulltex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2184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Galanti</dc:creator>
  <cp:keywords/>
  <dc:description/>
  <cp:lastModifiedBy>Edtior</cp:lastModifiedBy>
  <cp:revision>44</cp:revision>
  <cp:lastPrinted>2024-05-06T02:18:00Z</cp:lastPrinted>
  <dcterms:created xsi:type="dcterms:W3CDTF">2023-12-24T16:26:00Z</dcterms:created>
  <dcterms:modified xsi:type="dcterms:W3CDTF">2024-05-06T02:18:00Z</dcterms:modified>
</cp:coreProperties>
</file>